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07" w:rsidRPr="00DB04DF" w:rsidRDefault="00172D07" w:rsidP="00FA770C">
      <w:pPr>
        <w:pStyle w:val="Ttulo2"/>
        <w:rPr>
          <w:rFonts w:ascii="Times New Roman" w:eastAsia="Times New Roman" w:hAnsi="Times New Roman" w:cs="Times New Roman"/>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r w:rsidRPr="00DB04DF">
        <w:rPr>
          <w:rFonts w:ascii="Times New Roman" w:eastAsia="Times New Roman" w:hAnsi="Times New Roman" w:cs="Times New Roman"/>
          <w:b/>
          <w:lang w:val="es" w:eastAsia="es-ES"/>
        </w:rPr>
        <w:t>RESOLUCIÓN NÚMERO                                          DE 201</w:t>
      </w:r>
      <w:r w:rsidR="00C41E06" w:rsidRPr="00DB04DF">
        <w:rPr>
          <w:rFonts w:ascii="Times New Roman" w:eastAsia="Times New Roman" w:hAnsi="Times New Roman" w:cs="Times New Roman"/>
          <w:b/>
          <w:lang w:val="es" w:eastAsia="es-ES"/>
        </w:rPr>
        <w:t>6</w:t>
      </w:r>
    </w:p>
    <w:p w:rsidR="00172D07" w:rsidRPr="00DB04DF" w:rsidRDefault="00172D07" w:rsidP="00172D07">
      <w:pPr>
        <w:jc w:val="center"/>
        <w:rPr>
          <w:rFonts w:ascii="Times New Roman" w:eastAsia="Times New Roman" w:hAnsi="Times New Roman" w:cs="Times New Roman"/>
          <w:lang w:val="es" w:eastAsia="es-ES"/>
        </w:rPr>
      </w:pPr>
    </w:p>
    <w:p w:rsidR="00172D07" w:rsidRPr="00DB04DF" w:rsidRDefault="00172D07" w:rsidP="00172D07">
      <w:pPr>
        <w:jc w:val="center"/>
        <w:rPr>
          <w:rFonts w:ascii="Times New Roman" w:eastAsia="Times New Roman" w:hAnsi="Times New Roman" w:cs="Times New Roman"/>
          <w:b/>
          <w:lang w:val="es" w:eastAsia="es-ES"/>
        </w:rPr>
      </w:pPr>
    </w:p>
    <w:p w:rsidR="00172D07" w:rsidRPr="00DB04DF" w:rsidRDefault="00172D07" w:rsidP="00172D07">
      <w:pPr>
        <w:jc w:val="center"/>
        <w:rPr>
          <w:rFonts w:ascii="Times New Roman" w:hAnsi="Times New Roman" w:cs="Times New Roman"/>
          <w:b/>
        </w:rPr>
      </w:pPr>
      <w:r w:rsidRPr="00DB04DF">
        <w:rPr>
          <w:rFonts w:ascii="Times New Roman" w:eastAsia="Times New Roman" w:hAnsi="Times New Roman" w:cs="Times New Roman"/>
          <w:b/>
          <w:lang w:val="es" w:eastAsia="es-ES"/>
        </w:rPr>
        <w:t>(                                            )</w:t>
      </w:r>
    </w:p>
    <w:p w:rsidR="00172D07" w:rsidRPr="00DB04DF" w:rsidRDefault="00172D07" w:rsidP="00172D07">
      <w:pPr>
        <w:autoSpaceDE w:val="0"/>
        <w:jc w:val="center"/>
        <w:rPr>
          <w:rFonts w:ascii="Times New Roman" w:eastAsia="Times New Roman" w:hAnsi="Times New Roman" w:cs="Times New Roman"/>
          <w:color w:val="000000"/>
          <w:lang w:eastAsia="es-ES"/>
        </w:rPr>
      </w:pPr>
    </w:p>
    <w:p w:rsidR="00C41E06" w:rsidRPr="00782603" w:rsidRDefault="00C41E06" w:rsidP="00C41E06">
      <w:pPr>
        <w:autoSpaceDE w:val="0"/>
        <w:jc w:val="center"/>
        <w:rPr>
          <w:rFonts w:asciiTheme="minorHAnsi" w:eastAsia="Times New Roman" w:hAnsiTheme="minorHAnsi" w:cs="Times New Roman"/>
          <w:i/>
          <w:color w:val="000000"/>
          <w:lang w:eastAsia="es-ES"/>
        </w:rPr>
      </w:pPr>
      <w:r w:rsidRPr="00782603">
        <w:rPr>
          <w:rFonts w:asciiTheme="minorHAnsi" w:eastAsia="Times New Roman" w:hAnsiTheme="minorHAnsi" w:cs="Times New Roman"/>
          <w:color w:val="000000"/>
          <w:lang w:eastAsia="es-ES"/>
        </w:rPr>
        <w:t>“</w:t>
      </w:r>
      <w:r w:rsidRPr="00782603">
        <w:rPr>
          <w:rFonts w:asciiTheme="minorHAnsi" w:eastAsia="Times New Roman" w:hAnsiTheme="minorHAnsi" w:cs="Times New Roman"/>
          <w:i/>
          <w:color w:val="000000"/>
          <w:lang w:eastAsia="es-ES"/>
        </w:rPr>
        <w:t xml:space="preserve">Por la cual </w:t>
      </w:r>
      <w:r w:rsidR="00C754C4" w:rsidRPr="00782603">
        <w:rPr>
          <w:rFonts w:asciiTheme="minorHAnsi" w:eastAsia="Times New Roman" w:hAnsiTheme="minorHAnsi" w:cs="Times New Roman"/>
          <w:i/>
          <w:color w:val="000000"/>
          <w:lang w:eastAsia="es-ES"/>
        </w:rPr>
        <w:t xml:space="preserve">se modifica el artículo </w:t>
      </w:r>
      <w:r w:rsidR="003E451C" w:rsidRPr="00782603">
        <w:rPr>
          <w:rFonts w:asciiTheme="minorHAnsi" w:eastAsia="Times New Roman" w:hAnsiTheme="minorHAnsi" w:cs="Times New Roman"/>
          <w:i/>
          <w:color w:val="000000"/>
          <w:lang w:eastAsia="es-ES"/>
        </w:rPr>
        <w:t>primero de</w:t>
      </w:r>
      <w:r w:rsidR="002A56E8" w:rsidRPr="00782603">
        <w:rPr>
          <w:rFonts w:asciiTheme="minorHAnsi" w:eastAsia="Times New Roman" w:hAnsiTheme="minorHAnsi" w:cs="Times New Roman"/>
          <w:i/>
          <w:color w:val="000000"/>
          <w:lang w:eastAsia="es-ES"/>
        </w:rPr>
        <w:t xml:space="preserve"> la resolución 000982 de 2015 modificada y adicionada por la resolución 0002819 del 11 de julio de 2016</w:t>
      </w:r>
      <w:r w:rsidRPr="00782603">
        <w:rPr>
          <w:rFonts w:asciiTheme="minorHAnsi" w:eastAsia="Times New Roman" w:hAnsiTheme="minorHAnsi" w:cs="Times New Roman"/>
          <w:i/>
          <w:color w:val="000000"/>
          <w:lang w:eastAsia="es-ES"/>
        </w:rPr>
        <w:t>”</w:t>
      </w:r>
    </w:p>
    <w:p w:rsidR="00172D07" w:rsidRPr="00782603" w:rsidRDefault="00172D07" w:rsidP="00172D07">
      <w:pPr>
        <w:jc w:val="center"/>
        <w:rPr>
          <w:rFonts w:asciiTheme="minorHAnsi" w:eastAsia="Times New Roman" w:hAnsiTheme="minorHAnsi" w:cs="Times New Roman"/>
          <w:b/>
          <w:i/>
          <w:lang w:eastAsia="es-ES"/>
        </w:rPr>
      </w:pPr>
    </w:p>
    <w:p w:rsidR="00BE7EE4" w:rsidRPr="00782603" w:rsidRDefault="00BE7EE4" w:rsidP="00172D07">
      <w:pPr>
        <w:jc w:val="center"/>
        <w:rPr>
          <w:rFonts w:asciiTheme="minorHAnsi" w:eastAsia="Times New Roman" w:hAnsiTheme="minorHAnsi" w:cs="Times New Roman"/>
          <w:b/>
          <w:i/>
          <w:lang w:eastAsia="es-ES"/>
        </w:rPr>
      </w:pPr>
    </w:p>
    <w:p w:rsidR="00172D07" w:rsidRPr="00782603" w:rsidRDefault="00790C8A" w:rsidP="00172D07">
      <w:pPr>
        <w:jc w:val="center"/>
        <w:rPr>
          <w:rFonts w:asciiTheme="minorHAnsi" w:eastAsia="Times New Roman" w:hAnsiTheme="minorHAnsi" w:cs="Times New Roman"/>
          <w:b/>
          <w:lang w:val="es" w:eastAsia="es-ES"/>
        </w:rPr>
      </w:pPr>
      <w:r w:rsidRPr="00782603">
        <w:rPr>
          <w:rFonts w:asciiTheme="minorHAnsi" w:eastAsia="Times New Roman" w:hAnsiTheme="minorHAnsi" w:cs="Times New Roman"/>
          <w:b/>
          <w:lang w:val="es" w:eastAsia="es-ES"/>
        </w:rPr>
        <w:t>EL MINISTRO</w:t>
      </w:r>
      <w:r w:rsidR="00172D07" w:rsidRPr="00782603">
        <w:rPr>
          <w:rFonts w:asciiTheme="minorHAnsi" w:eastAsia="Times New Roman" w:hAnsiTheme="minorHAnsi" w:cs="Times New Roman"/>
          <w:b/>
          <w:lang w:val="es" w:eastAsia="es-ES"/>
        </w:rPr>
        <w:t xml:space="preserve"> DE TRANSPORTE</w:t>
      </w:r>
    </w:p>
    <w:p w:rsidR="00172D07" w:rsidRPr="00782603" w:rsidRDefault="00172D07" w:rsidP="00172D07">
      <w:pPr>
        <w:jc w:val="center"/>
        <w:rPr>
          <w:rFonts w:asciiTheme="minorHAnsi" w:eastAsia="Times New Roman" w:hAnsiTheme="minorHAnsi" w:cs="Times New Roman"/>
          <w:lang w:val="es" w:eastAsia="es-ES"/>
        </w:rPr>
      </w:pPr>
    </w:p>
    <w:p w:rsidR="00F73D53" w:rsidRPr="00782603" w:rsidRDefault="00F73D53" w:rsidP="00172D07">
      <w:pPr>
        <w:jc w:val="center"/>
        <w:rPr>
          <w:rFonts w:asciiTheme="minorHAnsi" w:eastAsia="Times New Roman" w:hAnsiTheme="minorHAnsi" w:cs="Times New Roman"/>
          <w:lang w:val="es" w:eastAsia="es-ES"/>
        </w:rPr>
      </w:pPr>
    </w:p>
    <w:p w:rsidR="00172D07" w:rsidRPr="00782603" w:rsidRDefault="00172D07" w:rsidP="002A56E8">
      <w:pPr>
        <w:jc w:val="both"/>
        <w:rPr>
          <w:rFonts w:asciiTheme="minorHAnsi" w:hAnsiTheme="minorHAnsi" w:cs="Times New Roman"/>
        </w:rPr>
      </w:pPr>
      <w:r w:rsidRPr="00782603">
        <w:rPr>
          <w:rFonts w:asciiTheme="minorHAnsi" w:eastAsia="Times New Roman" w:hAnsiTheme="minorHAnsi" w:cs="Times New Roman"/>
          <w:lang w:eastAsia="es-ES"/>
        </w:rPr>
        <w:t>En ejercicio de las facultades legales y en especial las conferidas por el artículo 21 de la Ley 105 de 1993 modificado por el artículo 1 de la Ley 787 de 2002 y el numeral 6.15 del artícul</w:t>
      </w:r>
      <w:r w:rsidR="003E4DC3" w:rsidRPr="00782603">
        <w:rPr>
          <w:rFonts w:asciiTheme="minorHAnsi" w:eastAsia="Times New Roman" w:hAnsiTheme="minorHAnsi" w:cs="Times New Roman"/>
          <w:lang w:eastAsia="es-ES"/>
        </w:rPr>
        <w:t xml:space="preserve">o 6 </w:t>
      </w:r>
      <w:r w:rsidRPr="00782603">
        <w:rPr>
          <w:rFonts w:asciiTheme="minorHAnsi" w:eastAsia="Times New Roman" w:hAnsiTheme="minorHAnsi" w:cs="Times New Roman"/>
          <w:lang w:eastAsia="es-ES"/>
        </w:rPr>
        <w:t>del Decreto 087 de 2011, y</w:t>
      </w:r>
    </w:p>
    <w:p w:rsidR="00BE7EE4" w:rsidRPr="00782603" w:rsidRDefault="00BE7EE4" w:rsidP="00172D07">
      <w:pPr>
        <w:jc w:val="center"/>
        <w:rPr>
          <w:rFonts w:asciiTheme="minorHAnsi" w:eastAsia="Times New Roman" w:hAnsiTheme="minorHAnsi" w:cs="Times New Roman"/>
          <w:b/>
          <w:lang w:val="es" w:eastAsia="es-ES"/>
        </w:rPr>
      </w:pPr>
    </w:p>
    <w:p w:rsidR="00172D07" w:rsidRPr="00782603" w:rsidRDefault="00172D07" w:rsidP="00172D07">
      <w:pPr>
        <w:jc w:val="center"/>
        <w:rPr>
          <w:rFonts w:asciiTheme="minorHAnsi" w:eastAsia="Times New Roman" w:hAnsiTheme="minorHAnsi" w:cs="Times New Roman"/>
          <w:b/>
          <w:lang w:val="es" w:eastAsia="es-ES"/>
        </w:rPr>
      </w:pPr>
      <w:r w:rsidRPr="00782603">
        <w:rPr>
          <w:rFonts w:asciiTheme="minorHAnsi" w:eastAsia="Times New Roman" w:hAnsiTheme="minorHAnsi" w:cs="Times New Roman"/>
          <w:b/>
          <w:lang w:val="es" w:eastAsia="es-ES"/>
        </w:rPr>
        <w:t>CONSIDERANDO</w:t>
      </w:r>
    </w:p>
    <w:p w:rsidR="00172D07" w:rsidRPr="00782603" w:rsidRDefault="00172D07" w:rsidP="00172D07">
      <w:pPr>
        <w:jc w:val="both"/>
        <w:rPr>
          <w:rFonts w:asciiTheme="minorHAnsi" w:eastAsia="Times New Roman" w:hAnsiTheme="minorHAnsi" w:cs="Times New Roman"/>
          <w:i/>
          <w:lang w:val="es" w:eastAsia="es-ES"/>
        </w:rPr>
      </w:pPr>
    </w:p>
    <w:p w:rsidR="00BE7EE4" w:rsidRPr="00782603" w:rsidRDefault="00BE7EE4" w:rsidP="00172D07">
      <w:pPr>
        <w:jc w:val="both"/>
        <w:rPr>
          <w:rFonts w:asciiTheme="minorHAnsi" w:eastAsia="Times New Roman" w:hAnsiTheme="minorHAnsi" w:cs="Times New Roman"/>
          <w:i/>
          <w:lang w:val="es" w:eastAsia="es-ES"/>
        </w:rPr>
      </w:pPr>
    </w:p>
    <w:p w:rsidR="00172D07" w:rsidRPr="00782603" w:rsidRDefault="00172D07" w:rsidP="00172D07">
      <w:pPr>
        <w:tabs>
          <w:tab w:val="left" w:pos="0"/>
        </w:tabs>
        <w:jc w:val="both"/>
        <w:rPr>
          <w:rFonts w:asciiTheme="minorHAnsi" w:hAnsiTheme="minorHAnsi" w:cs="Times New Roman"/>
        </w:rPr>
      </w:pPr>
      <w:r w:rsidRPr="00782603">
        <w:rPr>
          <w:rFonts w:asciiTheme="minorHAnsi" w:hAnsiTheme="minorHAnsi" w:cs="Times New Roman"/>
        </w:rPr>
        <w:t xml:space="preserve">Que la Ley 105 de 1993, </w:t>
      </w:r>
      <w:r w:rsidRPr="00782603">
        <w:rPr>
          <w:rFonts w:asciiTheme="minorHAnsi" w:hAnsiTheme="minorHAnsi" w:cs="Times New Roman"/>
          <w:i/>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3E4DC3" w:rsidRPr="00782603">
        <w:rPr>
          <w:rFonts w:asciiTheme="minorHAnsi" w:hAnsiTheme="minorHAnsi" w:cs="Times New Roman"/>
        </w:rPr>
        <w:t xml:space="preserve"> </w:t>
      </w:r>
      <w:r w:rsidRPr="00782603">
        <w:rPr>
          <w:rFonts w:asciiTheme="minorHAnsi" w:hAnsiTheme="minorHAnsi" w:cs="Times New Roman"/>
        </w:rPr>
        <w:t>establece:</w:t>
      </w:r>
    </w:p>
    <w:p w:rsidR="00172D07" w:rsidRPr="00782603" w:rsidRDefault="00172D07" w:rsidP="00172D07">
      <w:pPr>
        <w:tabs>
          <w:tab w:val="left" w:pos="0"/>
        </w:tabs>
        <w:jc w:val="both"/>
        <w:rPr>
          <w:rFonts w:asciiTheme="minorHAnsi" w:hAnsiTheme="minorHAnsi" w:cs="Times New Roman"/>
        </w:rPr>
      </w:pPr>
    </w:p>
    <w:p w:rsidR="00172D07" w:rsidRPr="00782603" w:rsidRDefault="00172D07" w:rsidP="00172D07">
      <w:pPr>
        <w:ind w:left="567" w:right="618"/>
        <w:jc w:val="both"/>
        <w:rPr>
          <w:rFonts w:asciiTheme="minorHAnsi" w:hAnsiTheme="minorHAnsi" w:cs="Times New Roman"/>
          <w:i/>
        </w:rPr>
      </w:pPr>
      <w:r w:rsidRPr="00782603">
        <w:rPr>
          <w:rFonts w:asciiTheme="minorHAnsi" w:hAnsiTheme="minorHAnsi" w:cs="Times New Roman"/>
          <w:i/>
        </w:rPr>
        <w:t>“</w:t>
      </w:r>
      <w:r w:rsidRPr="00CF1BC5">
        <w:rPr>
          <w:rFonts w:asciiTheme="minorHAnsi" w:hAnsiTheme="minorHAnsi" w:cs="Times New Roman"/>
          <w:b/>
          <w:i/>
        </w:rPr>
        <w:t>ARTICULO 21</w:t>
      </w:r>
      <w:r w:rsidRPr="00782603">
        <w:rPr>
          <w:rFonts w:asciiTheme="minorHAnsi" w:hAnsiTheme="minorHAnsi" w:cs="Times New Roman"/>
          <w:i/>
        </w:rPr>
        <w:t xml:space="preserve">. Tasas, tarifas y </w:t>
      </w:r>
      <w:r w:rsidR="00491D4B" w:rsidRPr="00782603">
        <w:rPr>
          <w:rFonts w:asciiTheme="minorHAnsi" w:hAnsiTheme="minorHAnsi" w:cs="Times New Roman"/>
          <w:i/>
        </w:rPr>
        <w:t xml:space="preserve">peajes en la infraestructura de </w:t>
      </w:r>
      <w:r w:rsidRPr="00782603">
        <w:rPr>
          <w:rFonts w:asciiTheme="minorHAnsi" w:hAnsiTheme="minorHAnsi" w:cs="Times New Roman"/>
          <w:i/>
        </w:rPr>
        <w:t>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72D07" w:rsidRPr="00782603" w:rsidRDefault="00172D07" w:rsidP="00172D07">
      <w:pPr>
        <w:ind w:left="567" w:right="618"/>
        <w:jc w:val="both"/>
        <w:rPr>
          <w:rFonts w:asciiTheme="minorHAnsi" w:hAnsiTheme="minorHAnsi" w:cs="Times New Roman"/>
          <w:i/>
        </w:rPr>
      </w:pPr>
      <w:r w:rsidRPr="00782603">
        <w:rPr>
          <w:rFonts w:asciiTheme="minorHAnsi" w:hAnsiTheme="minorHAnsi" w:cs="Times New Roman"/>
          <w:i/>
        </w:rPr>
        <w:t xml:space="preserve"> </w:t>
      </w:r>
    </w:p>
    <w:p w:rsidR="00172D07" w:rsidRPr="00782603" w:rsidRDefault="00172D07" w:rsidP="00172D07">
      <w:pPr>
        <w:ind w:left="567" w:right="618"/>
        <w:jc w:val="both"/>
        <w:rPr>
          <w:rFonts w:asciiTheme="minorHAnsi" w:hAnsiTheme="minorHAnsi" w:cs="Times New Roman"/>
          <w:i/>
        </w:rPr>
      </w:pPr>
      <w:r w:rsidRPr="00782603">
        <w:rPr>
          <w:rFonts w:asciiTheme="minorHAnsi" w:hAnsiTheme="minorHAnsi" w:cs="Times New Roman"/>
          <w:i/>
        </w:rPr>
        <w:t>Para estos efectos, la Nación establecerá peajes, tarifas y tasas sobre el uso de la infraestructura nacional de transporte y los recursos provenientes de su cobro se usarán exclusivamente para ese modo de transporte.”</w:t>
      </w:r>
    </w:p>
    <w:p w:rsidR="00172D07" w:rsidRPr="00782603" w:rsidRDefault="00172D07" w:rsidP="00172D07">
      <w:pPr>
        <w:jc w:val="both"/>
        <w:rPr>
          <w:rFonts w:asciiTheme="minorHAnsi" w:eastAsia="Times New Roman" w:hAnsiTheme="minorHAnsi" w:cs="Times New Roman"/>
          <w:i/>
          <w:lang w:val="es" w:eastAsia="es-ES"/>
        </w:rPr>
      </w:pPr>
    </w:p>
    <w:p w:rsidR="00172D07" w:rsidRPr="00782603" w:rsidRDefault="00172D07" w:rsidP="00172D07">
      <w:pPr>
        <w:tabs>
          <w:tab w:val="left" w:pos="0"/>
        </w:tabs>
        <w:jc w:val="both"/>
        <w:rPr>
          <w:rFonts w:asciiTheme="minorHAnsi" w:hAnsiTheme="minorHAnsi" w:cs="Times New Roman"/>
        </w:rPr>
      </w:pPr>
      <w:r w:rsidRPr="00782603">
        <w:rPr>
          <w:rFonts w:asciiTheme="minorHAnsi" w:eastAsia="Times New Roman" w:hAnsiTheme="minorHAnsi" w:cs="Times New Roman"/>
          <w:lang w:val="es" w:eastAsia="es-ES"/>
        </w:rPr>
        <w:t xml:space="preserve">Que el Decreto 087 de 2011 </w:t>
      </w:r>
      <w:r w:rsidRPr="00782603">
        <w:rPr>
          <w:rFonts w:asciiTheme="minorHAnsi" w:eastAsia="Times New Roman" w:hAnsiTheme="minorHAnsi" w:cs="Times New Roman"/>
          <w:i/>
          <w:lang w:val="es" w:eastAsia="es-ES"/>
        </w:rPr>
        <w:t>“Por el cual se modifica la estructura del Ministerio de Transporte, y se determinan las funciones de sus dependencias”</w:t>
      </w:r>
      <w:r w:rsidRPr="00782603">
        <w:rPr>
          <w:rFonts w:asciiTheme="minorHAnsi" w:eastAsia="Times New Roman" w:hAnsiTheme="minorHAnsi" w:cs="Times New Roman"/>
          <w:lang w:val="es" w:eastAsia="es-ES"/>
        </w:rPr>
        <w:t xml:space="preserve"> estableció en los numerales 6.14 y 6.15 del artículo 6:</w:t>
      </w:r>
    </w:p>
    <w:p w:rsidR="00172D07" w:rsidRPr="00782603" w:rsidRDefault="00172D07" w:rsidP="00172D07">
      <w:pPr>
        <w:tabs>
          <w:tab w:val="left" w:pos="0"/>
        </w:tabs>
        <w:jc w:val="both"/>
        <w:rPr>
          <w:rFonts w:asciiTheme="minorHAnsi" w:eastAsia="Times New Roman" w:hAnsiTheme="minorHAnsi" w:cs="Times New Roman"/>
          <w:lang w:val="es" w:eastAsia="es-ES"/>
        </w:rPr>
      </w:pPr>
    </w:p>
    <w:p w:rsidR="00172D07" w:rsidRPr="00782603" w:rsidRDefault="002D3179" w:rsidP="00172D07">
      <w:pPr>
        <w:ind w:left="851" w:right="616"/>
        <w:jc w:val="both"/>
        <w:rPr>
          <w:rFonts w:asciiTheme="minorHAnsi" w:eastAsia="Times New Roman" w:hAnsiTheme="minorHAnsi" w:cs="Times New Roman"/>
          <w:i/>
          <w:lang w:val="es" w:eastAsia="es-ES"/>
        </w:rPr>
      </w:pPr>
      <w:r w:rsidRPr="00782603">
        <w:rPr>
          <w:rFonts w:asciiTheme="minorHAnsi" w:eastAsia="Times New Roman" w:hAnsiTheme="minorHAnsi" w:cs="Times New Roman"/>
          <w:i/>
          <w:lang w:val="es" w:eastAsia="es-ES"/>
        </w:rPr>
        <w:t xml:space="preserve"> </w:t>
      </w:r>
      <w:r w:rsidR="00172D07" w:rsidRPr="00782603">
        <w:rPr>
          <w:rFonts w:asciiTheme="minorHAnsi" w:eastAsia="Times New Roman" w:hAnsiTheme="minorHAnsi" w:cs="Times New Roman"/>
          <w:i/>
          <w:lang w:val="es" w:eastAsia="es-ES"/>
        </w:rPr>
        <w:t>6.15. Establecer los peajes, tarifas, tasas y derechos a cobrar por el uso de la infraestructura de los modos de transporte, excepto el aéreo.”</w:t>
      </w:r>
    </w:p>
    <w:p w:rsidR="00C41E06" w:rsidRPr="00782603" w:rsidRDefault="006657EA" w:rsidP="00C41E06">
      <w:pPr>
        <w:jc w:val="both"/>
        <w:rPr>
          <w:rFonts w:asciiTheme="minorHAnsi" w:hAnsiTheme="minorHAnsi" w:cs="Times New Roman"/>
        </w:rPr>
      </w:pPr>
      <w:r w:rsidRPr="00782603">
        <w:rPr>
          <w:rFonts w:asciiTheme="minorHAnsi" w:hAnsiTheme="minorHAnsi" w:cs="Times New Roman"/>
        </w:rPr>
        <w:lastRenderedPageBreak/>
        <w:t xml:space="preserve">Que mediante la Resolución 982 de 2015, el Ministerio de Transporte establece nuevas categorías vehiculares y las tarifas a cobrar en la estación de Peaje Carimagua, a partir del momento en que se suscriba el acta de inicio del contrato de concesión que se derive del trámite de la iniciativa privada presentada por Construcciones El Cóndor </w:t>
      </w:r>
      <w:r w:rsidR="003718A6" w:rsidRPr="00782603">
        <w:rPr>
          <w:rFonts w:asciiTheme="minorHAnsi" w:hAnsiTheme="minorHAnsi" w:cs="Times New Roman"/>
        </w:rPr>
        <w:t>S.A., denominado</w:t>
      </w:r>
      <w:r w:rsidRPr="00782603">
        <w:rPr>
          <w:rFonts w:asciiTheme="minorHAnsi" w:hAnsiTheme="minorHAnsi" w:cs="Times New Roman"/>
        </w:rPr>
        <w:t xml:space="preserve"> “Conexión </w:t>
      </w:r>
      <w:proofErr w:type="spellStart"/>
      <w:r w:rsidRPr="00782603">
        <w:rPr>
          <w:rFonts w:asciiTheme="minorHAnsi" w:hAnsiTheme="minorHAnsi" w:cs="Times New Roman"/>
        </w:rPr>
        <w:t>Víal</w:t>
      </w:r>
      <w:proofErr w:type="spellEnd"/>
      <w:r w:rsidRPr="00782603">
        <w:rPr>
          <w:rFonts w:asciiTheme="minorHAnsi" w:hAnsiTheme="minorHAnsi" w:cs="Times New Roman"/>
        </w:rPr>
        <w:t xml:space="preserve"> Antioquia- Bolívar”</w:t>
      </w:r>
    </w:p>
    <w:p w:rsidR="006657EA" w:rsidRPr="00782603" w:rsidRDefault="006657EA" w:rsidP="00C41E06">
      <w:pPr>
        <w:jc w:val="both"/>
        <w:rPr>
          <w:rFonts w:asciiTheme="minorHAnsi" w:hAnsiTheme="minorHAnsi" w:cs="Times New Roman"/>
        </w:rPr>
      </w:pPr>
    </w:p>
    <w:p w:rsidR="006657EA" w:rsidRPr="00782603" w:rsidRDefault="006657EA" w:rsidP="00C41E06">
      <w:pPr>
        <w:jc w:val="both"/>
        <w:rPr>
          <w:rFonts w:asciiTheme="minorHAnsi" w:hAnsiTheme="minorHAnsi" w:cs="Times New Roman"/>
        </w:rPr>
      </w:pPr>
      <w:r w:rsidRPr="00782603">
        <w:rPr>
          <w:rFonts w:asciiTheme="minorHAnsi" w:hAnsiTheme="minorHAnsi" w:cs="Times New Roman"/>
        </w:rPr>
        <w:t xml:space="preserve">Que la Agencia Nacional de </w:t>
      </w:r>
      <w:r w:rsidR="003718A6" w:rsidRPr="00782603">
        <w:rPr>
          <w:rFonts w:asciiTheme="minorHAnsi" w:hAnsiTheme="minorHAnsi" w:cs="Times New Roman"/>
        </w:rPr>
        <w:t>Infraestructura suscribió</w:t>
      </w:r>
      <w:r w:rsidRPr="00782603">
        <w:rPr>
          <w:rFonts w:asciiTheme="minorHAnsi" w:hAnsiTheme="minorHAnsi" w:cs="Times New Roman"/>
        </w:rPr>
        <w:t xml:space="preserve"> el contrato No. 016 de 2015, con la firma CONCESIÓN RUTA AL MAR S.A.S., cuya acta de inicio fue suscrita el 27 de noviembre de 2015, fecha en la cual fueron implementadas las nuevas tarifas de peaje en la estación de Carimagua.</w:t>
      </w:r>
    </w:p>
    <w:p w:rsidR="006657EA" w:rsidRPr="00782603" w:rsidRDefault="006657EA" w:rsidP="00C41E06">
      <w:pPr>
        <w:jc w:val="both"/>
        <w:rPr>
          <w:rFonts w:asciiTheme="minorHAnsi" w:hAnsiTheme="minorHAnsi" w:cs="Times New Roman"/>
        </w:rPr>
      </w:pPr>
    </w:p>
    <w:p w:rsidR="003718A6" w:rsidRPr="00782603" w:rsidRDefault="00D376ED" w:rsidP="00C41E06">
      <w:pPr>
        <w:jc w:val="both"/>
        <w:rPr>
          <w:rFonts w:asciiTheme="minorHAnsi" w:hAnsiTheme="minorHAnsi" w:cs="Times New Roman"/>
        </w:rPr>
      </w:pPr>
      <w:r w:rsidRPr="00782603">
        <w:rPr>
          <w:rFonts w:asciiTheme="minorHAnsi" w:hAnsiTheme="minorHAnsi" w:cs="Times New Roman"/>
        </w:rPr>
        <w:t xml:space="preserve">Que </w:t>
      </w:r>
      <w:r w:rsidR="003718A6" w:rsidRPr="00782603">
        <w:rPr>
          <w:rFonts w:asciiTheme="minorHAnsi" w:hAnsiTheme="minorHAnsi" w:cs="Times New Roman"/>
        </w:rPr>
        <w:t xml:space="preserve">se adicionó un parágrafo tercero al artículo 2 de la resolución 982 de 2015 mediante la resolución 2819 del 11 de julio de 2016, donde se suspende el cobro de las categorías </w:t>
      </w:r>
      <w:r w:rsidR="00F07D58" w:rsidRPr="00782603">
        <w:rPr>
          <w:rFonts w:asciiTheme="minorHAnsi" w:hAnsiTheme="minorHAnsi" w:cs="Times New Roman"/>
        </w:rPr>
        <w:t>vehiculares 6 y 7</w:t>
      </w:r>
      <w:r w:rsidRPr="00782603">
        <w:rPr>
          <w:rFonts w:asciiTheme="minorHAnsi" w:hAnsiTheme="minorHAnsi" w:cs="Times New Roman"/>
        </w:rPr>
        <w:t xml:space="preserve"> en la Estación de Peaje Carimagua</w:t>
      </w:r>
      <w:r w:rsidR="00D73C76" w:rsidRPr="00782603">
        <w:rPr>
          <w:rFonts w:asciiTheme="minorHAnsi" w:hAnsiTheme="minorHAnsi" w:cs="Times New Roman"/>
        </w:rPr>
        <w:t>,</w:t>
      </w:r>
      <w:r w:rsidR="00F07D58" w:rsidRPr="00782603">
        <w:rPr>
          <w:rFonts w:asciiTheme="minorHAnsi" w:hAnsiTheme="minorHAnsi" w:cs="Times New Roman"/>
        </w:rPr>
        <w:t xml:space="preserve"> hasta tanto ocurra uno de los siguientes hechos:</w:t>
      </w:r>
    </w:p>
    <w:p w:rsidR="00F07D58" w:rsidRPr="00782603" w:rsidRDefault="00F07D58" w:rsidP="00C41E06">
      <w:pPr>
        <w:jc w:val="both"/>
        <w:rPr>
          <w:rFonts w:asciiTheme="minorHAnsi" w:hAnsiTheme="minorHAnsi" w:cs="Times New Roman"/>
        </w:rPr>
      </w:pPr>
    </w:p>
    <w:p w:rsidR="00F07D58" w:rsidRPr="00782603" w:rsidRDefault="00F07D58" w:rsidP="00F07D58">
      <w:pPr>
        <w:pStyle w:val="Prrafodelista"/>
        <w:numPr>
          <w:ilvl w:val="0"/>
          <w:numId w:val="16"/>
        </w:numPr>
        <w:ind w:left="1134" w:hanging="283"/>
        <w:jc w:val="both"/>
        <w:rPr>
          <w:rFonts w:asciiTheme="minorHAnsi" w:hAnsiTheme="minorHAnsi" w:cs="Times New Roman"/>
        </w:rPr>
      </w:pPr>
      <w:r w:rsidRPr="00782603">
        <w:rPr>
          <w:rFonts w:asciiTheme="minorHAnsi" w:hAnsiTheme="minorHAnsi" w:cs="Times New Roman"/>
        </w:rPr>
        <w:t>Durante un periodo de tiempo de 2.5 años o</w:t>
      </w:r>
    </w:p>
    <w:p w:rsidR="00F07D58" w:rsidRPr="00782603" w:rsidRDefault="00F07D58" w:rsidP="00F07D58">
      <w:pPr>
        <w:pStyle w:val="Prrafodelista"/>
        <w:numPr>
          <w:ilvl w:val="0"/>
          <w:numId w:val="16"/>
        </w:numPr>
        <w:ind w:left="1134" w:hanging="283"/>
        <w:jc w:val="both"/>
        <w:rPr>
          <w:rFonts w:asciiTheme="minorHAnsi" w:hAnsiTheme="minorHAnsi" w:cs="Times New Roman"/>
        </w:rPr>
      </w:pPr>
      <w:r w:rsidRPr="00782603">
        <w:rPr>
          <w:rFonts w:asciiTheme="minorHAnsi" w:hAnsiTheme="minorHAnsi" w:cs="Times New Roman"/>
        </w:rPr>
        <w:t>Hasta tanto se inicie la operación de peaje San Carlos asociada a la Unidad Funcional 3 del Contrato de Concesión No. 016 de 2015, o</w:t>
      </w:r>
    </w:p>
    <w:p w:rsidR="00F07D58" w:rsidRPr="00782603" w:rsidRDefault="00F07D58" w:rsidP="00F07D58">
      <w:pPr>
        <w:pStyle w:val="Prrafodelista"/>
        <w:numPr>
          <w:ilvl w:val="0"/>
          <w:numId w:val="16"/>
        </w:numPr>
        <w:ind w:left="1134" w:hanging="283"/>
        <w:jc w:val="both"/>
        <w:rPr>
          <w:rFonts w:asciiTheme="minorHAnsi" w:hAnsiTheme="minorHAnsi" w:cs="Times New Roman"/>
        </w:rPr>
      </w:pPr>
      <w:r w:rsidRPr="00782603">
        <w:rPr>
          <w:rFonts w:asciiTheme="minorHAnsi" w:hAnsiTheme="minorHAnsi" w:cs="Times New Roman"/>
        </w:rPr>
        <w:t xml:space="preserve"> Se haya invertido el 50% del valor de las intervenciones estimadas para la Unidad Funcional 3 del Contrato de Concesión No. 016 de 2015, siempre y cuando haya circulación en dicha Unidad Funcional, lo que ocurra primero.</w:t>
      </w:r>
    </w:p>
    <w:p w:rsidR="00F07D58" w:rsidRPr="00782603" w:rsidRDefault="00F07D58" w:rsidP="00F07D58">
      <w:pPr>
        <w:pStyle w:val="Prrafodelista"/>
        <w:ind w:left="1134"/>
        <w:jc w:val="both"/>
        <w:rPr>
          <w:rFonts w:asciiTheme="minorHAnsi" w:hAnsiTheme="minorHAnsi" w:cs="Times New Roman"/>
        </w:rPr>
      </w:pPr>
    </w:p>
    <w:p w:rsidR="00F07D58" w:rsidRPr="00782603" w:rsidRDefault="00F07D58" w:rsidP="00D376ED">
      <w:pPr>
        <w:ind w:left="851"/>
        <w:jc w:val="both"/>
        <w:rPr>
          <w:rFonts w:asciiTheme="minorHAnsi" w:hAnsiTheme="minorHAnsi" w:cs="Times New Roman"/>
        </w:rPr>
      </w:pPr>
      <w:r w:rsidRPr="00782603">
        <w:rPr>
          <w:rFonts w:asciiTheme="minorHAnsi" w:hAnsiTheme="minorHAnsi" w:cs="Times New Roman"/>
        </w:rPr>
        <w:t xml:space="preserve">Tendrán derecho a la suspensión siempre y cuando el usuario pague la tarifa de las estaciones de Peaje “San Onofre </w:t>
      </w:r>
      <w:r w:rsidR="008E3419" w:rsidRPr="00782603">
        <w:rPr>
          <w:rFonts w:asciiTheme="minorHAnsi" w:hAnsiTheme="minorHAnsi" w:cs="Times New Roman"/>
        </w:rPr>
        <w:t>o</w:t>
      </w:r>
      <w:r w:rsidRPr="00782603">
        <w:rPr>
          <w:rFonts w:asciiTheme="minorHAnsi" w:hAnsiTheme="minorHAnsi" w:cs="Times New Roman"/>
        </w:rPr>
        <w:t xml:space="preserve"> Los Manguitos y pase </w:t>
      </w:r>
      <w:r w:rsidR="00D376ED" w:rsidRPr="00782603">
        <w:rPr>
          <w:rFonts w:asciiTheme="minorHAnsi" w:hAnsiTheme="minorHAnsi" w:cs="Times New Roman"/>
        </w:rPr>
        <w:t xml:space="preserve">posteriormente </w:t>
      </w:r>
      <w:r w:rsidRPr="00782603">
        <w:rPr>
          <w:rFonts w:asciiTheme="minorHAnsi" w:hAnsiTheme="minorHAnsi" w:cs="Times New Roman"/>
        </w:rPr>
        <w:t xml:space="preserve">dentro </w:t>
      </w:r>
      <w:r w:rsidR="008E3419" w:rsidRPr="00782603">
        <w:rPr>
          <w:rFonts w:asciiTheme="minorHAnsi" w:hAnsiTheme="minorHAnsi" w:cs="Times New Roman"/>
        </w:rPr>
        <w:t>del mismo día calendario</w:t>
      </w:r>
      <w:r w:rsidR="00D376ED" w:rsidRPr="00782603">
        <w:rPr>
          <w:rFonts w:asciiTheme="minorHAnsi" w:hAnsiTheme="minorHAnsi" w:cs="Times New Roman"/>
        </w:rPr>
        <w:t>, por la Estación de Peaje “Carimagua”, hecho que será</w:t>
      </w:r>
      <w:r w:rsidR="008E3419" w:rsidRPr="00782603">
        <w:rPr>
          <w:rFonts w:asciiTheme="minorHAnsi" w:hAnsiTheme="minorHAnsi" w:cs="Times New Roman"/>
        </w:rPr>
        <w:t xml:space="preserve"> demostrado </w:t>
      </w:r>
      <w:r w:rsidR="00D376ED" w:rsidRPr="00782603">
        <w:rPr>
          <w:rFonts w:asciiTheme="minorHAnsi" w:hAnsiTheme="minorHAnsi" w:cs="Times New Roman"/>
        </w:rPr>
        <w:t>con la presentación del</w:t>
      </w:r>
      <w:r w:rsidR="008E3419" w:rsidRPr="00782603">
        <w:rPr>
          <w:rFonts w:asciiTheme="minorHAnsi" w:hAnsiTheme="minorHAnsi" w:cs="Times New Roman"/>
        </w:rPr>
        <w:t xml:space="preserve"> tiquete</w:t>
      </w:r>
      <w:r w:rsidR="00D376ED" w:rsidRPr="00782603">
        <w:rPr>
          <w:rFonts w:asciiTheme="minorHAnsi" w:hAnsiTheme="minorHAnsi" w:cs="Times New Roman"/>
        </w:rPr>
        <w:t>.</w:t>
      </w:r>
    </w:p>
    <w:p w:rsidR="008E3419" w:rsidRPr="00782603" w:rsidRDefault="008E3419" w:rsidP="00F07D58">
      <w:pPr>
        <w:jc w:val="both"/>
        <w:rPr>
          <w:rFonts w:asciiTheme="minorHAnsi" w:hAnsiTheme="minorHAnsi" w:cs="Times New Roman"/>
        </w:rPr>
      </w:pPr>
    </w:p>
    <w:p w:rsidR="00D376ED" w:rsidRPr="00782603" w:rsidRDefault="00974994" w:rsidP="00F07D58">
      <w:pPr>
        <w:jc w:val="both"/>
        <w:rPr>
          <w:rFonts w:asciiTheme="minorHAnsi" w:hAnsiTheme="minorHAnsi" w:cs="Times New Roman"/>
        </w:rPr>
      </w:pPr>
      <w:r w:rsidRPr="00782603">
        <w:rPr>
          <w:rFonts w:asciiTheme="minorHAnsi" w:hAnsiTheme="minorHAnsi" w:cs="Times New Roman"/>
        </w:rPr>
        <w:t>Que la Resolución 000982 de 2015 establece en su artículo primero lo siguiente:</w:t>
      </w:r>
    </w:p>
    <w:p w:rsidR="00974994" w:rsidRPr="00782603" w:rsidRDefault="00974994" w:rsidP="00F07D58">
      <w:pPr>
        <w:jc w:val="both"/>
        <w:rPr>
          <w:rFonts w:asciiTheme="minorHAnsi" w:hAnsiTheme="minorHAnsi" w:cs="Times New Roman"/>
        </w:rPr>
      </w:pPr>
    </w:p>
    <w:p w:rsidR="00974994" w:rsidRPr="00782603" w:rsidRDefault="00974994" w:rsidP="00974994">
      <w:pPr>
        <w:ind w:left="851"/>
        <w:jc w:val="both"/>
        <w:rPr>
          <w:rFonts w:asciiTheme="minorHAnsi" w:hAnsiTheme="minorHAnsi" w:cs="Times New Roman"/>
          <w:i/>
        </w:rPr>
      </w:pPr>
      <w:r w:rsidRPr="00782603">
        <w:rPr>
          <w:rFonts w:asciiTheme="minorHAnsi" w:hAnsiTheme="minorHAnsi" w:cs="Times New Roman"/>
        </w:rPr>
        <w:t>“</w:t>
      </w:r>
      <w:r w:rsidRPr="00782603">
        <w:rPr>
          <w:rFonts w:asciiTheme="minorHAnsi" w:hAnsiTheme="minorHAnsi" w:cs="Times New Roman"/>
          <w:b/>
          <w:i/>
        </w:rPr>
        <w:t>ARTÍCULO PRIMERO</w:t>
      </w:r>
      <w:r w:rsidRPr="00782603">
        <w:rPr>
          <w:rFonts w:asciiTheme="minorHAnsi" w:hAnsiTheme="minorHAnsi" w:cs="Times New Roman"/>
          <w:i/>
        </w:rPr>
        <w:t xml:space="preserve">: </w:t>
      </w:r>
      <w:r w:rsidR="006B4028" w:rsidRPr="00782603">
        <w:rPr>
          <w:rFonts w:asciiTheme="minorHAnsi" w:hAnsiTheme="minorHAnsi" w:cs="Times New Roman"/>
          <w:i/>
        </w:rPr>
        <w:t>Reubicar la estación de peaje, denominada Carimagua del PR 26+300 al PR 46+000 de la vía Planeta Rica – La Ye.</w:t>
      </w:r>
    </w:p>
    <w:p w:rsidR="006B4028" w:rsidRPr="00782603" w:rsidRDefault="006B4028" w:rsidP="00974994">
      <w:pPr>
        <w:ind w:left="851"/>
        <w:jc w:val="both"/>
        <w:rPr>
          <w:rFonts w:asciiTheme="minorHAnsi" w:hAnsiTheme="minorHAnsi" w:cs="Times New Roman"/>
          <w:i/>
        </w:rPr>
      </w:pPr>
    </w:p>
    <w:p w:rsidR="006B4028" w:rsidRPr="00782603" w:rsidRDefault="006B4028" w:rsidP="00974994">
      <w:pPr>
        <w:ind w:left="851"/>
        <w:jc w:val="both"/>
        <w:rPr>
          <w:rFonts w:asciiTheme="minorHAnsi" w:hAnsiTheme="minorHAnsi" w:cs="Times New Roman"/>
          <w:i/>
        </w:rPr>
      </w:pPr>
      <w:r w:rsidRPr="00782603">
        <w:rPr>
          <w:rFonts w:asciiTheme="minorHAnsi" w:hAnsiTheme="minorHAnsi" w:cs="Times New Roman"/>
          <w:i/>
        </w:rPr>
        <w:t xml:space="preserve">PARÁGRAFO PRIMERO: La reubicación de la estación de peaje Carimagua procederá después de la suscripción del contrato de concesión que se derive del trámite del proyecto de iniciativa privada para la conexión vial Antioquía – Bolívar. </w:t>
      </w:r>
    </w:p>
    <w:p w:rsidR="006B4028" w:rsidRPr="00782603" w:rsidRDefault="006B4028" w:rsidP="00974994">
      <w:pPr>
        <w:ind w:left="851"/>
        <w:jc w:val="both"/>
        <w:rPr>
          <w:rFonts w:asciiTheme="minorHAnsi" w:hAnsiTheme="minorHAnsi" w:cs="Times New Roman"/>
          <w:i/>
        </w:rPr>
      </w:pPr>
    </w:p>
    <w:p w:rsidR="006B4028" w:rsidRPr="00782603" w:rsidRDefault="006B4028" w:rsidP="00974994">
      <w:pPr>
        <w:ind w:left="851"/>
        <w:jc w:val="both"/>
        <w:rPr>
          <w:rFonts w:asciiTheme="minorHAnsi" w:hAnsiTheme="minorHAnsi" w:cs="Times New Roman"/>
          <w:i/>
        </w:rPr>
      </w:pPr>
      <w:r w:rsidRPr="00782603">
        <w:rPr>
          <w:rFonts w:asciiTheme="minorHAnsi" w:hAnsiTheme="minorHAnsi" w:cs="Times New Roman"/>
          <w:i/>
        </w:rPr>
        <w:t>La Estación de Peaje anteriormente mencionada será trasladada e instalada por cuenta del concesionario que suscribe el contrato de concesión que se derive del trámite de la iniciativa privada proyecto Conexión Vial Antioquia.- Bolívar, sin derecho a remuneración independiente por fuera del modelo financiero de dicho proyecto.</w:t>
      </w:r>
      <w:r w:rsidR="00DD621E" w:rsidRPr="00782603">
        <w:rPr>
          <w:rFonts w:asciiTheme="minorHAnsi" w:hAnsiTheme="minorHAnsi" w:cs="Times New Roman"/>
          <w:i/>
        </w:rPr>
        <w:t>”</w:t>
      </w:r>
    </w:p>
    <w:p w:rsidR="006B4028" w:rsidRPr="00782603" w:rsidRDefault="006B4028" w:rsidP="00974994">
      <w:pPr>
        <w:ind w:left="851"/>
        <w:jc w:val="both"/>
        <w:rPr>
          <w:rFonts w:asciiTheme="minorHAnsi" w:hAnsiTheme="minorHAnsi" w:cs="Times New Roman"/>
        </w:rPr>
      </w:pPr>
    </w:p>
    <w:p w:rsidR="0042180C" w:rsidRPr="00782603" w:rsidRDefault="0047413A" w:rsidP="00F07D58">
      <w:pPr>
        <w:jc w:val="both"/>
        <w:rPr>
          <w:rFonts w:asciiTheme="minorHAnsi" w:hAnsiTheme="minorHAnsi"/>
          <w:i/>
        </w:rPr>
      </w:pPr>
      <w:r w:rsidRPr="00782603">
        <w:rPr>
          <w:rFonts w:asciiTheme="minorHAnsi" w:hAnsiTheme="minorHAnsi" w:cs="Times New Roman"/>
        </w:rPr>
        <w:t xml:space="preserve">Que </w:t>
      </w:r>
      <w:r w:rsidR="006E071E" w:rsidRPr="00782603">
        <w:rPr>
          <w:rFonts w:asciiTheme="minorHAnsi" w:hAnsiTheme="minorHAnsi" w:cs="Times New Roman"/>
        </w:rPr>
        <w:t>debido a que el peaje de Manguitos se trasladó del PR</w:t>
      </w:r>
      <w:r w:rsidR="00463504" w:rsidRPr="00782603">
        <w:rPr>
          <w:rFonts w:asciiTheme="minorHAnsi" w:hAnsiTheme="minorHAnsi" w:cs="Times New Roman"/>
        </w:rPr>
        <w:t>60+000</w:t>
      </w:r>
      <w:r w:rsidR="006E071E" w:rsidRPr="00782603">
        <w:rPr>
          <w:rFonts w:asciiTheme="minorHAnsi" w:hAnsiTheme="minorHAnsi" w:cs="Times New Roman"/>
        </w:rPr>
        <w:t xml:space="preserve"> establecido en el Contrato de Concesión alejándose de la Estación de Peaje de Carimagua, no se hace necesario reubicar dicha estación, lo cual es certificado por la Interventoría mediante comunicado con radicado No. </w:t>
      </w:r>
      <w:r w:rsidR="008008D4" w:rsidRPr="00782603">
        <w:rPr>
          <w:rFonts w:asciiTheme="minorHAnsi" w:hAnsiTheme="minorHAnsi" w:cs="Times New Roman"/>
        </w:rPr>
        <w:t>2016409086724-2</w:t>
      </w:r>
      <w:r w:rsidR="006E071E" w:rsidRPr="00782603">
        <w:rPr>
          <w:rFonts w:asciiTheme="minorHAnsi" w:hAnsiTheme="minorHAnsi" w:cs="Times New Roman"/>
        </w:rPr>
        <w:t xml:space="preserve"> del </w:t>
      </w:r>
      <w:r w:rsidR="008008D4" w:rsidRPr="00782603">
        <w:rPr>
          <w:rFonts w:asciiTheme="minorHAnsi" w:hAnsiTheme="minorHAnsi" w:cs="Times New Roman"/>
        </w:rPr>
        <w:t xml:space="preserve">27 </w:t>
      </w:r>
      <w:r w:rsidR="006E071E" w:rsidRPr="00782603">
        <w:rPr>
          <w:rFonts w:asciiTheme="minorHAnsi" w:hAnsiTheme="minorHAnsi" w:cs="Times New Roman"/>
        </w:rPr>
        <w:t xml:space="preserve">de </w:t>
      </w:r>
      <w:r w:rsidR="008008D4" w:rsidRPr="00782603">
        <w:rPr>
          <w:rFonts w:asciiTheme="minorHAnsi" w:hAnsiTheme="minorHAnsi" w:cs="Times New Roman"/>
        </w:rPr>
        <w:t>septiembre</w:t>
      </w:r>
      <w:r w:rsidR="006E071E" w:rsidRPr="00782603">
        <w:rPr>
          <w:rFonts w:asciiTheme="minorHAnsi" w:hAnsiTheme="minorHAnsi" w:cs="Times New Roman"/>
        </w:rPr>
        <w:t xml:space="preserve"> de 2016 enunciando lo siguiente: </w:t>
      </w:r>
      <w:r w:rsidR="00463504" w:rsidRPr="00782603">
        <w:rPr>
          <w:rFonts w:asciiTheme="minorHAnsi" w:hAnsiTheme="minorHAnsi" w:cs="Times New Roman"/>
        </w:rPr>
        <w:t xml:space="preserve">“(…) </w:t>
      </w:r>
      <w:r w:rsidR="00463504" w:rsidRPr="00782603">
        <w:rPr>
          <w:rFonts w:asciiTheme="minorHAnsi" w:hAnsiTheme="minorHAnsi" w:cs="Times New Roman"/>
          <w:i/>
        </w:rPr>
        <w:t>la necesidad inicial que se tuvo para considerar</w:t>
      </w:r>
      <w:r w:rsidR="00463504" w:rsidRPr="00782603">
        <w:rPr>
          <w:rFonts w:asciiTheme="minorHAnsi" w:hAnsiTheme="minorHAnsi" w:cs="Times New Roman"/>
        </w:rPr>
        <w:t xml:space="preserve"> </w:t>
      </w:r>
      <w:r w:rsidR="00463504" w:rsidRPr="00782603">
        <w:rPr>
          <w:rFonts w:asciiTheme="minorHAnsi" w:hAnsiTheme="minorHAnsi"/>
          <w:i/>
        </w:rPr>
        <w:t xml:space="preserve">la </w:t>
      </w:r>
      <w:r w:rsidR="00463504" w:rsidRPr="00782603">
        <w:rPr>
          <w:rFonts w:asciiTheme="minorHAnsi" w:hAnsiTheme="minorHAnsi"/>
          <w:i/>
        </w:rPr>
        <w:lastRenderedPageBreak/>
        <w:t xml:space="preserve">reubicación de dicha estación (distancia menor a 40 km entre estaciones), con la construcción del peaje “Los Manguitos” en el PR52+200 </w:t>
      </w:r>
      <w:r w:rsidR="00463504" w:rsidRPr="00782603">
        <w:rPr>
          <w:rFonts w:asciiTheme="minorHAnsi" w:hAnsiTheme="minorHAnsi"/>
          <w:b/>
          <w:i/>
        </w:rPr>
        <w:t>asociado a la UFI 2</w:t>
      </w:r>
      <w:r w:rsidR="00463504" w:rsidRPr="00782603">
        <w:rPr>
          <w:rFonts w:asciiTheme="minorHAnsi" w:hAnsiTheme="minorHAnsi"/>
          <w:i/>
        </w:rPr>
        <w:t>, deja una distancia de más de 40 km entre estas dos estaciones, lo que anula la necesidad de su reubicación (…)”</w:t>
      </w:r>
    </w:p>
    <w:p w:rsidR="0042180C" w:rsidRPr="00782603" w:rsidRDefault="0042180C" w:rsidP="00F07D58">
      <w:pPr>
        <w:jc w:val="both"/>
        <w:rPr>
          <w:rFonts w:asciiTheme="minorHAnsi" w:hAnsiTheme="minorHAnsi"/>
          <w:i/>
        </w:rPr>
      </w:pPr>
    </w:p>
    <w:p w:rsidR="008E3419" w:rsidRPr="00782603" w:rsidRDefault="008E3419" w:rsidP="008E3419">
      <w:pPr>
        <w:jc w:val="both"/>
        <w:rPr>
          <w:rFonts w:asciiTheme="minorHAnsi" w:hAnsiTheme="minorHAnsi" w:cs="Times New Roman"/>
        </w:rPr>
      </w:pPr>
      <w:r w:rsidRPr="00782603">
        <w:rPr>
          <w:rFonts w:asciiTheme="minorHAnsi" w:hAnsiTheme="minorHAnsi" w:cs="Times New Roman"/>
        </w:rPr>
        <w:t xml:space="preserve">Que el contenido de la presente Resolución, fue publicado en la página web de la Agencia Nacional de Infraestructura ANI el día ___ de ___ del ___, en cumplimiento a lo determinado en el numeral 8 del artículo 8 de la Ley 1437 de 2011, con el objeto de recibir opiniones, sugerencias o propuestas alternativas.  </w:t>
      </w:r>
    </w:p>
    <w:p w:rsidR="00974994" w:rsidRPr="00782603" w:rsidRDefault="00974994" w:rsidP="008E3419">
      <w:pPr>
        <w:jc w:val="both"/>
        <w:rPr>
          <w:rFonts w:asciiTheme="minorHAnsi" w:hAnsiTheme="minorHAnsi" w:cs="Times New Roman"/>
        </w:rPr>
      </w:pPr>
    </w:p>
    <w:p w:rsidR="003718A6" w:rsidRPr="00782603" w:rsidRDefault="008E3419" w:rsidP="008E3419">
      <w:pPr>
        <w:jc w:val="both"/>
        <w:rPr>
          <w:rFonts w:asciiTheme="minorHAnsi" w:hAnsiTheme="minorHAnsi" w:cs="Times New Roman"/>
        </w:rPr>
      </w:pPr>
      <w:r w:rsidRPr="00782603">
        <w:rPr>
          <w:rFonts w:asciiTheme="minorHAnsi" w:hAnsiTheme="minorHAnsi" w:cs="Times New Roman"/>
        </w:rPr>
        <w:t>Que los comentarios recibidos fueron evaluados, atendidos y los pertinentes fueron incorporados en el contenido del presente acto administrativo.</w:t>
      </w:r>
    </w:p>
    <w:p w:rsidR="003718A6" w:rsidRPr="00782603" w:rsidRDefault="003718A6" w:rsidP="00C41E06">
      <w:pPr>
        <w:jc w:val="both"/>
        <w:rPr>
          <w:rFonts w:asciiTheme="minorHAnsi" w:hAnsiTheme="minorHAnsi" w:cs="Times New Roman"/>
        </w:rPr>
      </w:pPr>
    </w:p>
    <w:p w:rsidR="00974994" w:rsidRPr="00782603" w:rsidRDefault="00974994" w:rsidP="00172D07">
      <w:pPr>
        <w:rPr>
          <w:rFonts w:asciiTheme="minorHAnsi" w:eastAsia="Times New Roman" w:hAnsiTheme="minorHAnsi" w:cs="Times New Roman"/>
          <w:b/>
          <w:lang w:val="es-CO" w:eastAsia="es-ES"/>
        </w:rPr>
      </w:pPr>
    </w:p>
    <w:p w:rsidR="00172D07" w:rsidRPr="00782603" w:rsidRDefault="00172D07" w:rsidP="00172D07">
      <w:pPr>
        <w:jc w:val="center"/>
        <w:rPr>
          <w:rFonts w:asciiTheme="minorHAnsi" w:eastAsia="Times New Roman" w:hAnsiTheme="minorHAnsi" w:cs="Times New Roman"/>
          <w:b/>
          <w:lang w:val="es" w:eastAsia="es-ES"/>
        </w:rPr>
      </w:pPr>
      <w:r w:rsidRPr="00782603">
        <w:rPr>
          <w:rFonts w:asciiTheme="minorHAnsi" w:eastAsia="Times New Roman" w:hAnsiTheme="minorHAnsi" w:cs="Times New Roman"/>
          <w:b/>
          <w:lang w:val="es" w:eastAsia="es-ES"/>
        </w:rPr>
        <w:t>RESUELVE:</w:t>
      </w:r>
    </w:p>
    <w:p w:rsidR="00F73D53" w:rsidRPr="00782603" w:rsidRDefault="00F73D53" w:rsidP="00172D07">
      <w:pPr>
        <w:jc w:val="both"/>
        <w:rPr>
          <w:rFonts w:asciiTheme="minorHAnsi" w:eastAsia="Times New Roman" w:hAnsiTheme="minorHAnsi" w:cs="Times New Roman"/>
          <w:b/>
          <w:lang w:val="es" w:eastAsia="es-ES"/>
        </w:rPr>
      </w:pPr>
    </w:p>
    <w:p w:rsidR="00BE6FB5" w:rsidRDefault="00B74440" w:rsidP="00974994">
      <w:pPr>
        <w:widowControl/>
        <w:suppressAutoHyphens w:val="0"/>
        <w:jc w:val="both"/>
        <w:textAlignment w:val="auto"/>
        <w:rPr>
          <w:rFonts w:asciiTheme="minorHAnsi" w:eastAsia="Times New Roman" w:hAnsiTheme="minorHAnsi" w:cs="Times New Roman"/>
          <w:kern w:val="0"/>
          <w:lang w:eastAsia="es-ES" w:bidi="ar-SA"/>
        </w:rPr>
      </w:pPr>
      <w:r w:rsidRPr="00782603">
        <w:rPr>
          <w:rFonts w:asciiTheme="minorHAnsi" w:eastAsia="Times New Roman" w:hAnsiTheme="minorHAnsi" w:cs="Times New Roman"/>
          <w:b/>
          <w:kern w:val="0"/>
          <w:lang w:val="es-ES_tradnl" w:eastAsia="es-ES" w:bidi="ar-SA"/>
        </w:rPr>
        <w:t>ARTÍCULO PRIMERO:</w:t>
      </w:r>
      <w:r w:rsidRPr="00782603">
        <w:rPr>
          <w:rFonts w:asciiTheme="minorHAnsi" w:eastAsia="Times New Roman" w:hAnsiTheme="minorHAnsi" w:cs="Times New Roman"/>
          <w:kern w:val="0"/>
          <w:lang w:eastAsia="es-ES" w:bidi="ar-SA"/>
        </w:rPr>
        <w:t xml:space="preserve"> </w:t>
      </w:r>
      <w:r w:rsidR="00A00E66">
        <w:rPr>
          <w:rFonts w:asciiTheme="minorHAnsi" w:eastAsia="Times New Roman" w:hAnsiTheme="minorHAnsi" w:cs="Times New Roman"/>
          <w:kern w:val="0"/>
          <w:lang w:eastAsia="es-ES" w:bidi="ar-SA"/>
        </w:rPr>
        <w:t>Modificar el artículo primero de la</w:t>
      </w:r>
      <w:r w:rsidR="00974994" w:rsidRPr="00782603">
        <w:rPr>
          <w:rFonts w:asciiTheme="minorHAnsi" w:eastAsia="Times New Roman" w:hAnsiTheme="minorHAnsi" w:cs="Times New Roman"/>
          <w:kern w:val="0"/>
          <w:lang w:eastAsia="es-ES" w:bidi="ar-SA"/>
        </w:rPr>
        <w:t xml:space="preserve"> Resolución 000982 de 2015</w:t>
      </w:r>
      <w:r w:rsidR="00A00E66">
        <w:rPr>
          <w:rFonts w:asciiTheme="minorHAnsi" w:eastAsia="Times New Roman" w:hAnsiTheme="minorHAnsi" w:cs="Times New Roman"/>
          <w:kern w:val="0"/>
          <w:lang w:eastAsia="es-ES" w:bidi="ar-SA"/>
        </w:rPr>
        <w:t>, el cual quedará así:</w:t>
      </w:r>
    </w:p>
    <w:p w:rsidR="00A00E66" w:rsidRDefault="00A00E66" w:rsidP="00974994">
      <w:pPr>
        <w:widowControl/>
        <w:suppressAutoHyphens w:val="0"/>
        <w:jc w:val="both"/>
        <w:textAlignment w:val="auto"/>
        <w:rPr>
          <w:rFonts w:asciiTheme="minorHAnsi" w:eastAsia="Times New Roman" w:hAnsiTheme="minorHAnsi" w:cs="Times New Roman"/>
          <w:kern w:val="0"/>
          <w:lang w:eastAsia="es-ES" w:bidi="ar-SA"/>
        </w:rPr>
      </w:pPr>
    </w:p>
    <w:p w:rsidR="0069474F" w:rsidRPr="0069474F" w:rsidRDefault="00A00E66" w:rsidP="005C1D2F">
      <w:pPr>
        <w:widowControl/>
        <w:suppressAutoHyphens w:val="0"/>
        <w:ind w:left="851"/>
        <w:jc w:val="both"/>
        <w:textAlignment w:val="auto"/>
        <w:rPr>
          <w:rFonts w:ascii="Calibri" w:hAnsi="Calibri" w:cs="Times New Roman"/>
          <w:i/>
        </w:rPr>
      </w:pPr>
      <w:r>
        <w:rPr>
          <w:rFonts w:asciiTheme="minorHAnsi" w:eastAsia="Times New Roman" w:hAnsiTheme="minorHAnsi" w:cs="Times New Roman"/>
          <w:kern w:val="0"/>
          <w:lang w:eastAsia="es-ES" w:bidi="ar-SA"/>
        </w:rPr>
        <w:t>“</w:t>
      </w:r>
      <w:r w:rsidRPr="00A00E66">
        <w:rPr>
          <w:rFonts w:asciiTheme="minorHAnsi" w:eastAsia="Times New Roman" w:hAnsiTheme="minorHAnsi" w:cs="Times New Roman"/>
          <w:b/>
          <w:i/>
          <w:kern w:val="0"/>
          <w:lang w:eastAsia="es-ES" w:bidi="ar-SA"/>
        </w:rPr>
        <w:t>ARTÍCULO PRIMERO</w:t>
      </w:r>
      <w:r w:rsidRPr="00A00E66">
        <w:rPr>
          <w:rFonts w:asciiTheme="minorHAnsi" w:eastAsia="Times New Roman" w:hAnsiTheme="minorHAnsi" w:cs="Times New Roman"/>
          <w:i/>
          <w:kern w:val="0"/>
          <w:lang w:eastAsia="es-ES" w:bidi="ar-SA"/>
        </w:rPr>
        <w:t xml:space="preserve">: </w:t>
      </w:r>
      <w:r w:rsidR="0069474F" w:rsidRPr="0069474F">
        <w:rPr>
          <w:rFonts w:ascii="Calibri" w:hAnsi="Calibri" w:cs="Times New Roman"/>
          <w:i/>
        </w:rPr>
        <w:t xml:space="preserve">La estación de peaje denominada Carimagua </w:t>
      </w:r>
      <w:r w:rsidR="0069474F">
        <w:rPr>
          <w:rFonts w:ascii="Calibri" w:hAnsi="Calibri" w:cs="Times New Roman"/>
          <w:i/>
        </w:rPr>
        <w:t xml:space="preserve">no será trasladada </w:t>
      </w:r>
      <w:r w:rsidR="0069474F" w:rsidRPr="0069474F">
        <w:rPr>
          <w:rFonts w:ascii="Calibri" w:hAnsi="Calibri" w:cs="Times New Roman"/>
          <w:i/>
        </w:rPr>
        <w:t xml:space="preserve">del </w:t>
      </w:r>
      <w:r w:rsidR="0069474F">
        <w:rPr>
          <w:rFonts w:ascii="Calibri" w:hAnsi="Calibri" w:cs="Times New Roman"/>
          <w:i/>
        </w:rPr>
        <w:t xml:space="preserve">sitio de ubicación actual </w:t>
      </w:r>
      <w:r w:rsidR="0069474F" w:rsidRPr="0069474F">
        <w:rPr>
          <w:rFonts w:ascii="Calibri" w:hAnsi="Calibri" w:cs="Times New Roman"/>
          <w:i/>
        </w:rPr>
        <w:t>PR 26+</w:t>
      </w:r>
      <w:proofErr w:type="gramStart"/>
      <w:r w:rsidR="0069474F" w:rsidRPr="0069474F">
        <w:rPr>
          <w:rFonts w:ascii="Calibri" w:hAnsi="Calibri" w:cs="Times New Roman"/>
          <w:i/>
        </w:rPr>
        <w:t>300  vía</w:t>
      </w:r>
      <w:proofErr w:type="gramEnd"/>
      <w:r w:rsidR="0069474F" w:rsidRPr="0069474F">
        <w:rPr>
          <w:rFonts w:ascii="Calibri" w:hAnsi="Calibri" w:cs="Times New Roman"/>
          <w:i/>
        </w:rPr>
        <w:t xml:space="preserve"> Planeta Rica – La Ye.</w:t>
      </w:r>
    </w:p>
    <w:p w:rsidR="0069474F" w:rsidRDefault="0069474F" w:rsidP="00A00E66">
      <w:pPr>
        <w:widowControl/>
        <w:suppressAutoHyphens w:val="0"/>
        <w:ind w:left="851"/>
        <w:jc w:val="both"/>
        <w:textAlignment w:val="auto"/>
        <w:rPr>
          <w:rFonts w:asciiTheme="minorHAnsi" w:eastAsia="Times New Roman" w:hAnsiTheme="minorHAnsi" w:cs="Times New Roman"/>
          <w:kern w:val="0"/>
          <w:lang w:eastAsia="es-ES" w:bidi="ar-SA"/>
        </w:rPr>
      </w:pPr>
    </w:p>
    <w:p w:rsidR="006915CC" w:rsidRPr="00782603" w:rsidRDefault="0040021F" w:rsidP="003D7BDA">
      <w:pPr>
        <w:tabs>
          <w:tab w:val="left" w:pos="0"/>
        </w:tabs>
        <w:jc w:val="both"/>
        <w:rPr>
          <w:rFonts w:asciiTheme="minorHAnsi" w:hAnsiTheme="minorHAnsi" w:cs="Times New Roman"/>
          <w:sz w:val="22"/>
          <w:szCs w:val="22"/>
        </w:rPr>
      </w:pPr>
      <w:bookmarkStart w:id="0" w:name="_GoBack"/>
      <w:bookmarkEnd w:id="0"/>
      <w:r w:rsidRPr="00782603">
        <w:rPr>
          <w:rFonts w:asciiTheme="minorHAnsi" w:eastAsia="Times New Roman" w:hAnsiTheme="minorHAnsi" w:cs="Times New Roman"/>
          <w:b/>
          <w:lang w:val="es" w:eastAsia="es-ES"/>
        </w:rPr>
        <w:t>ARTÍCULO SEGUNDO:</w:t>
      </w:r>
      <w:r w:rsidRPr="00782603">
        <w:rPr>
          <w:rFonts w:asciiTheme="minorHAnsi" w:eastAsia="Times New Roman" w:hAnsiTheme="minorHAnsi" w:cs="Times New Roman"/>
          <w:lang w:val="es" w:eastAsia="es-ES"/>
        </w:rPr>
        <w:t xml:space="preserve"> </w:t>
      </w:r>
      <w:r w:rsidR="00BE6FB5" w:rsidRPr="00782603">
        <w:rPr>
          <w:rFonts w:asciiTheme="minorHAnsi" w:eastAsia="Times New Roman" w:hAnsiTheme="minorHAnsi" w:cs="Times New Roman"/>
          <w:lang w:val="es" w:eastAsia="es-ES"/>
        </w:rPr>
        <w:t xml:space="preserve">los demás términos de la Resolución </w:t>
      </w:r>
      <w:r w:rsidR="00974994" w:rsidRPr="00782603">
        <w:rPr>
          <w:rFonts w:asciiTheme="minorHAnsi" w:eastAsia="Times New Roman" w:hAnsiTheme="minorHAnsi" w:cs="Times New Roman"/>
          <w:lang w:val="es" w:eastAsia="es-ES"/>
        </w:rPr>
        <w:t>000</w:t>
      </w:r>
      <w:r w:rsidR="00BE6FB5" w:rsidRPr="00782603">
        <w:rPr>
          <w:rFonts w:asciiTheme="minorHAnsi" w:eastAsia="Times New Roman" w:hAnsiTheme="minorHAnsi" w:cs="Times New Roman"/>
          <w:lang w:val="es" w:eastAsia="es-ES"/>
        </w:rPr>
        <w:t>982 de 2015</w:t>
      </w:r>
      <w:r w:rsidR="00974994" w:rsidRPr="00782603">
        <w:rPr>
          <w:rFonts w:asciiTheme="minorHAnsi" w:eastAsia="Times New Roman" w:hAnsiTheme="minorHAnsi" w:cs="Times New Roman"/>
          <w:lang w:val="es" w:eastAsia="es-ES"/>
        </w:rPr>
        <w:t xml:space="preserve">, modificada por la resolución </w:t>
      </w:r>
      <w:r w:rsidR="00BF5778" w:rsidRPr="00782603">
        <w:rPr>
          <w:rFonts w:asciiTheme="minorHAnsi" w:eastAsia="Times New Roman" w:hAnsiTheme="minorHAnsi" w:cs="Times New Roman"/>
          <w:lang w:val="es" w:eastAsia="es-ES"/>
        </w:rPr>
        <w:t>28</w:t>
      </w:r>
      <w:r w:rsidR="00BF5778">
        <w:rPr>
          <w:rFonts w:asciiTheme="minorHAnsi" w:eastAsia="Times New Roman" w:hAnsiTheme="minorHAnsi" w:cs="Times New Roman"/>
          <w:lang w:val="es" w:eastAsia="es-ES"/>
        </w:rPr>
        <w:t>1</w:t>
      </w:r>
      <w:r w:rsidR="00BF5778" w:rsidRPr="00782603">
        <w:rPr>
          <w:rFonts w:asciiTheme="minorHAnsi" w:eastAsia="Times New Roman" w:hAnsiTheme="minorHAnsi" w:cs="Times New Roman"/>
          <w:lang w:val="es" w:eastAsia="es-ES"/>
        </w:rPr>
        <w:t xml:space="preserve">9 </w:t>
      </w:r>
      <w:r w:rsidR="00974994" w:rsidRPr="00782603">
        <w:rPr>
          <w:rFonts w:asciiTheme="minorHAnsi" w:eastAsia="Times New Roman" w:hAnsiTheme="minorHAnsi" w:cs="Times New Roman"/>
          <w:lang w:val="es" w:eastAsia="es-ES"/>
        </w:rPr>
        <w:t>de 2016,</w:t>
      </w:r>
      <w:r w:rsidR="00BE6FB5" w:rsidRPr="00782603">
        <w:rPr>
          <w:rFonts w:asciiTheme="minorHAnsi" w:eastAsia="Times New Roman" w:hAnsiTheme="minorHAnsi" w:cs="Times New Roman"/>
          <w:lang w:val="es" w:eastAsia="es-ES"/>
        </w:rPr>
        <w:t xml:space="preserve"> continúan vigentes</w:t>
      </w:r>
      <w:r w:rsidR="00AC33B2" w:rsidRPr="00782603">
        <w:rPr>
          <w:rFonts w:asciiTheme="minorHAnsi" w:eastAsia="Times New Roman" w:hAnsiTheme="minorHAnsi" w:cs="Times New Roman"/>
          <w:lang w:val="es" w:eastAsia="es-ES"/>
        </w:rPr>
        <w:t>.</w:t>
      </w:r>
    </w:p>
    <w:p w:rsidR="006915CC" w:rsidRPr="00782603" w:rsidRDefault="006915CC" w:rsidP="006915CC">
      <w:pPr>
        <w:jc w:val="both"/>
        <w:rPr>
          <w:rFonts w:asciiTheme="minorHAnsi" w:eastAsia="Times New Roman" w:hAnsiTheme="minorHAnsi" w:cs="Times New Roman"/>
          <w:color w:val="000000"/>
          <w:sz w:val="22"/>
          <w:szCs w:val="22"/>
          <w:lang w:eastAsia="es-CO"/>
        </w:rPr>
      </w:pPr>
    </w:p>
    <w:p w:rsidR="009D62AB" w:rsidRPr="00CF1BC5" w:rsidRDefault="009D62AB" w:rsidP="000F5470">
      <w:pPr>
        <w:jc w:val="both"/>
        <w:rPr>
          <w:rFonts w:asciiTheme="minorHAnsi" w:eastAsia="Times New Roman" w:hAnsiTheme="minorHAnsi" w:cs="Times New Roman"/>
          <w:lang w:val="es" w:eastAsia="es-ES"/>
        </w:rPr>
      </w:pPr>
      <w:r w:rsidRPr="00CF1BC5">
        <w:rPr>
          <w:rFonts w:asciiTheme="minorHAnsi" w:eastAsia="Times New Roman" w:hAnsiTheme="minorHAnsi" w:cs="Times New Roman"/>
          <w:b/>
          <w:lang w:val="es" w:eastAsia="es-ES"/>
        </w:rPr>
        <w:t xml:space="preserve">ARTICULO </w:t>
      </w:r>
      <w:r w:rsidR="00BE6FB5" w:rsidRPr="00CF1BC5">
        <w:rPr>
          <w:rFonts w:asciiTheme="minorHAnsi" w:eastAsia="Times New Roman" w:hAnsiTheme="minorHAnsi" w:cs="Times New Roman"/>
          <w:b/>
          <w:lang w:val="es" w:eastAsia="es-ES"/>
        </w:rPr>
        <w:t>TERCERO</w:t>
      </w:r>
      <w:r w:rsidRPr="00CF1BC5">
        <w:rPr>
          <w:rFonts w:asciiTheme="minorHAnsi" w:eastAsia="Times New Roman" w:hAnsiTheme="minorHAnsi" w:cs="Times New Roman"/>
          <w:b/>
          <w:lang w:val="es" w:eastAsia="es-ES"/>
        </w:rPr>
        <w:t xml:space="preserve">: </w:t>
      </w:r>
      <w:r w:rsidRPr="00CF1BC5">
        <w:rPr>
          <w:rFonts w:asciiTheme="minorHAnsi" w:eastAsia="Times New Roman" w:hAnsiTheme="minorHAnsi" w:cs="Times New Roman"/>
          <w:lang w:val="es" w:eastAsia="es-ES"/>
        </w:rPr>
        <w:t xml:space="preserve">La presente resolución rige a partir de su publicación y deroga todas aquellas disposiciones que le sean contrarias. </w:t>
      </w:r>
    </w:p>
    <w:p w:rsidR="009D62AB" w:rsidRPr="00CF1BC5" w:rsidRDefault="009D62AB" w:rsidP="000F5470">
      <w:pPr>
        <w:jc w:val="both"/>
        <w:rPr>
          <w:rFonts w:asciiTheme="minorHAnsi" w:eastAsia="Times New Roman" w:hAnsiTheme="minorHAnsi" w:cs="Times New Roman"/>
          <w:lang w:val="es" w:eastAsia="es-ES"/>
        </w:rPr>
      </w:pPr>
    </w:p>
    <w:p w:rsidR="009D62AB" w:rsidRPr="00CF1BC5" w:rsidRDefault="009D62AB" w:rsidP="000F5470">
      <w:pPr>
        <w:jc w:val="both"/>
        <w:rPr>
          <w:rFonts w:asciiTheme="minorHAnsi" w:eastAsia="Times New Roman" w:hAnsiTheme="minorHAnsi" w:cs="Times New Roman"/>
          <w:b/>
          <w:lang w:val="es" w:eastAsia="es-ES"/>
        </w:rPr>
      </w:pPr>
      <w:r w:rsidRPr="00CF1BC5">
        <w:rPr>
          <w:rFonts w:asciiTheme="minorHAnsi" w:eastAsia="Times New Roman" w:hAnsiTheme="minorHAnsi" w:cs="Times New Roman"/>
          <w:b/>
          <w:lang w:val="es" w:eastAsia="es-ES"/>
        </w:rPr>
        <w:t>PUBLIQUESE Y CUMPLASE,</w:t>
      </w:r>
    </w:p>
    <w:p w:rsidR="009D62AB" w:rsidRPr="00CF1BC5" w:rsidRDefault="009D62AB" w:rsidP="000F5470">
      <w:pPr>
        <w:jc w:val="both"/>
        <w:rPr>
          <w:rFonts w:asciiTheme="minorHAnsi" w:eastAsia="Times New Roman" w:hAnsiTheme="minorHAnsi" w:cs="Times New Roman"/>
          <w:b/>
          <w:lang w:val="es" w:eastAsia="es-ES"/>
        </w:rPr>
      </w:pPr>
    </w:p>
    <w:p w:rsidR="009D62AB" w:rsidRPr="00CF1BC5" w:rsidRDefault="009D62AB" w:rsidP="000F5470">
      <w:pPr>
        <w:jc w:val="both"/>
        <w:rPr>
          <w:rFonts w:asciiTheme="minorHAnsi" w:eastAsia="Times New Roman" w:hAnsiTheme="minorHAnsi" w:cs="Times New Roman"/>
          <w:lang w:val="es" w:eastAsia="es-ES"/>
        </w:rPr>
      </w:pPr>
      <w:r w:rsidRPr="00CF1BC5">
        <w:rPr>
          <w:rFonts w:asciiTheme="minorHAnsi" w:eastAsia="Times New Roman" w:hAnsiTheme="minorHAnsi" w:cs="Times New Roman"/>
          <w:lang w:val="es" w:eastAsia="es-ES"/>
        </w:rPr>
        <w:t xml:space="preserve">Dada en Bogotá D.C, a los </w:t>
      </w:r>
    </w:p>
    <w:p w:rsidR="009D62AB" w:rsidRPr="00782603" w:rsidRDefault="009D62AB" w:rsidP="000F5470">
      <w:pPr>
        <w:jc w:val="both"/>
        <w:rPr>
          <w:rFonts w:asciiTheme="minorHAnsi" w:eastAsia="Times New Roman" w:hAnsiTheme="minorHAnsi" w:cs="Times New Roman"/>
          <w:b/>
          <w:sz w:val="22"/>
          <w:szCs w:val="22"/>
          <w:lang w:val="es" w:eastAsia="es-ES"/>
        </w:rPr>
      </w:pPr>
    </w:p>
    <w:p w:rsidR="00172D07" w:rsidRDefault="00172D07" w:rsidP="00172D07">
      <w:pPr>
        <w:tabs>
          <w:tab w:val="left" w:pos="0"/>
        </w:tabs>
        <w:jc w:val="both"/>
        <w:rPr>
          <w:rFonts w:asciiTheme="minorHAnsi" w:eastAsia="Times New Roman" w:hAnsiTheme="minorHAnsi" w:cs="Times New Roman"/>
          <w:lang w:val="es" w:eastAsia="es-ES"/>
        </w:rPr>
      </w:pPr>
    </w:p>
    <w:p w:rsidR="001053BE" w:rsidRPr="00782603" w:rsidRDefault="001053BE" w:rsidP="00172D07">
      <w:pPr>
        <w:tabs>
          <w:tab w:val="left" w:pos="0"/>
        </w:tabs>
        <w:jc w:val="both"/>
        <w:rPr>
          <w:rFonts w:asciiTheme="minorHAnsi" w:eastAsia="Times New Roman" w:hAnsiTheme="minorHAnsi" w:cs="Times New Roman"/>
          <w:lang w:val="es" w:eastAsia="es-ES"/>
        </w:rPr>
      </w:pPr>
    </w:p>
    <w:p w:rsidR="00E81C90" w:rsidRDefault="00E81C90" w:rsidP="00172D07">
      <w:pPr>
        <w:tabs>
          <w:tab w:val="left" w:pos="0"/>
        </w:tabs>
        <w:jc w:val="both"/>
        <w:rPr>
          <w:rFonts w:asciiTheme="minorHAnsi" w:eastAsia="Times New Roman" w:hAnsiTheme="minorHAnsi" w:cs="Times New Roman"/>
          <w:lang w:val="es" w:eastAsia="es-ES"/>
        </w:rPr>
      </w:pPr>
    </w:p>
    <w:p w:rsidR="00172D07" w:rsidRPr="00782603" w:rsidRDefault="00BA6C8E" w:rsidP="00172D07">
      <w:pPr>
        <w:tabs>
          <w:tab w:val="left" w:pos="0"/>
        </w:tabs>
        <w:jc w:val="center"/>
        <w:rPr>
          <w:rFonts w:asciiTheme="minorHAnsi" w:eastAsia="Times New Roman" w:hAnsiTheme="minorHAnsi" w:cs="Times New Roman"/>
          <w:b/>
          <w:sz w:val="28"/>
          <w:lang w:val="es" w:eastAsia="es-ES"/>
        </w:rPr>
      </w:pPr>
      <w:r w:rsidRPr="00782603">
        <w:rPr>
          <w:rFonts w:asciiTheme="minorHAnsi" w:eastAsia="Times New Roman" w:hAnsiTheme="minorHAnsi" w:cs="Times New Roman"/>
          <w:b/>
          <w:sz w:val="28"/>
          <w:lang w:val="es" w:eastAsia="es-ES"/>
        </w:rPr>
        <w:t>JORGE EDUARDO ROJAS</w:t>
      </w:r>
      <w:r w:rsidR="00C15BA0">
        <w:rPr>
          <w:rFonts w:asciiTheme="minorHAnsi" w:eastAsia="Times New Roman" w:hAnsiTheme="minorHAnsi" w:cs="Times New Roman"/>
          <w:b/>
          <w:sz w:val="28"/>
          <w:lang w:val="es" w:eastAsia="es-ES"/>
        </w:rPr>
        <w:t xml:space="preserve"> </w:t>
      </w:r>
      <w:r w:rsidR="001C5712">
        <w:rPr>
          <w:rFonts w:asciiTheme="minorHAnsi" w:eastAsia="Times New Roman" w:hAnsiTheme="minorHAnsi" w:cs="Times New Roman"/>
          <w:b/>
          <w:sz w:val="28"/>
          <w:lang w:val="es" w:eastAsia="es-ES"/>
        </w:rPr>
        <w:t>GIRALDO</w:t>
      </w:r>
    </w:p>
    <w:p w:rsidR="00172D07" w:rsidRPr="00DB04DF" w:rsidRDefault="00172D07" w:rsidP="00172D07">
      <w:pPr>
        <w:tabs>
          <w:tab w:val="left" w:pos="0"/>
        </w:tabs>
        <w:jc w:val="center"/>
        <w:rPr>
          <w:rFonts w:ascii="Times New Roman" w:hAnsi="Times New Roman" w:cs="Times New Roman"/>
          <w:sz w:val="28"/>
        </w:rPr>
      </w:pPr>
      <w:r w:rsidRPr="00782603">
        <w:rPr>
          <w:rFonts w:asciiTheme="minorHAnsi" w:eastAsia="Times New Roman" w:hAnsiTheme="minorHAnsi" w:cs="Times New Roman"/>
          <w:b/>
          <w:sz w:val="28"/>
          <w:lang w:val="es" w:eastAsia="es-ES"/>
        </w:rPr>
        <w:t>Ministr</w:t>
      </w:r>
      <w:r w:rsidR="00BA6C8E" w:rsidRPr="00782603">
        <w:rPr>
          <w:rFonts w:asciiTheme="minorHAnsi" w:eastAsia="Times New Roman" w:hAnsiTheme="minorHAnsi" w:cs="Times New Roman"/>
          <w:b/>
          <w:sz w:val="28"/>
          <w:lang w:val="es" w:eastAsia="es-ES"/>
        </w:rPr>
        <w:t>o</w:t>
      </w:r>
      <w:r w:rsidRPr="00782603">
        <w:rPr>
          <w:rFonts w:asciiTheme="minorHAnsi" w:eastAsia="Times New Roman" w:hAnsiTheme="minorHAnsi" w:cs="Times New Roman"/>
          <w:b/>
          <w:sz w:val="28"/>
          <w:lang w:val="es" w:eastAsia="es-ES"/>
        </w:rPr>
        <w:t xml:space="preserve"> de Transporte</w:t>
      </w:r>
    </w:p>
    <w:p w:rsidR="00811B25" w:rsidRDefault="00811B25" w:rsidP="00172D07">
      <w:pPr>
        <w:tabs>
          <w:tab w:val="left" w:pos="-720"/>
        </w:tabs>
        <w:jc w:val="both"/>
        <w:rPr>
          <w:rFonts w:ascii="Times New Roman" w:eastAsia="Times New Roman" w:hAnsi="Times New Roman" w:cs="Times New Roman"/>
          <w:spacing w:val="-3"/>
          <w:lang w:eastAsia="es-ES"/>
        </w:rPr>
      </w:pPr>
    </w:p>
    <w:p w:rsidR="00172D07" w:rsidRPr="00141C2F" w:rsidRDefault="00172D07" w:rsidP="00172D07">
      <w:pPr>
        <w:tabs>
          <w:tab w:val="left" w:pos="-720"/>
        </w:tabs>
        <w:jc w:val="both"/>
        <w:rPr>
          <w:rFonts w:ascii="Times New Roman" w:eastAsia="Times New Roman" w:hAnsi="Times New Roman" w:cs="Times New Roman"/>
          <w:spacing w:val="-3"/>
          <w:lang w:eastAsia="es-ES"/>
        </w:rPr>
      </w:pPr>
      <w:r w:rsidRPr="00141C2F">
        <w:rPr>
          <w:rFonts w:ascii="Times New Roman" w:eastAsia="Times New Roman" w:hAnsi="Times New Roman" w:cs="Times New Roman"/>
          <w:spacing w:val="-3"/>
          <w:lang w:eastAsia="es-ES"/>
        </w:rPr>
        <w:tab/>
      </w:r>
    </w:p>
    <w:p w:rsidR="007D7798" w:rsidRPr="00CF1BC5" w:rsidRDefault="007D7798" w:rsidP="007D7798">
      <w:pPr>
        <w:rPr>
          <w:rFonts w:asciiTheme="minorHAnsi" w:hAnsiTheme="minorHAnsi" w:cs="Times New Roman"/>
          <w:sz w:val="16"/>
          <w:szCs w:val="16"/>
        </w:rPr>
      </w:pPr>
      <w:r w:rsidRPr="00CF1BC5">
        <w:rPr>
          <w:rFonts w:asciiTheme="minorHAnsi" w:hAnsiTheme="minorHAnsi" w:cs="Times New Roman"/>
          <w:sz w:val="16"/>
          <w:szCs w:val="16"/>
        </w:rPr>
        <w:t xml:space="preserve">Proyectó: </w:t>
      </w:r>
      <w:r w:rsidR="00327A8D" w:rsidRPr="00CF1BC5">
        <w:rPr>
          <w:rFonts w:asciiTheme="minorHAnsi" w:hAnsiTheme="minorHAnsi" w:cs="Times New Roman"/>
          <w:sz w:val="16"/>
          <w:szCs w:val="16"/>
        </w:rPr>
        <w:t>Yolanda Traslaviña Prada</w:t>
      </w:r>
      <w:r w:rsidRPr="00CF1BC5">
        <w:rPr>
          <w:rFonts w:asciiTheme="minorHAnsi" w:hAnsiTheme="minorHAnsi" w:cs="Times New Roman"/>
          <w:sz w:val="16"/>
          <w:szCs w:val="16"/>
        </w:rPr>
        <w:t xml:space="preserve"> - Líder equipo de apoyo a la supervisión </w:t>
      </w:r>
      <w:r w:rsidR="008D0A1F" w:rsidRPr="00CF1BC5">
        <w:rPr>
          <w:rFonts w:asciiTheme="minorHAnsi" w:hAnsiTheme="minorHAnsi" w:cs="Times New Roman"/>
          <w:sz w:val="16"/>
          <w:szCs w:val="16"/>
        </w:rPr>
        <w:t>–</w:t>
      </w:r>
      <w:r w:rsidRPr="00CF1BC5">
        <w:rPr>
          <w:rFonts w:asciiTheme="minorHAnsi" w:hAnsiTheme="minorHAnsi" w:cs="Times New Roman"/>
          <w:sz w:val="16"/>
          <w:szCs w:val="16"/>
        </w:rPr>
        <w:t xml:space="preserve"> ANI</w:t>
      </w:r>
    </w:p>
    <w:p w:rsidR="008D0A1F" w:rsidRPr="00CF1BC5" w:rsidRDefault="008D0A1F" w:rsidP="008D0A1F">
      <w:pPr>
        <w:rPr>
          <w:rFonts w:asciiTheme="minorHAnsi" w:hAnsiTheme="minorHAnsi" w:cs="Times New Roman"/>
          <w:sz w:val="16"/>
          <w:szCs w:val="16"/>
        </w:rPr>
      </w:pPr>
      <w:r w:rsidRPr="00CF1BC5">
        <w:rPr>
          <w:rFonts w:asciiTheme="minorHAnsi" w:hAnsiTheme="minorHAnsi" w:cs="Times New Roman"/>
          <w:sz w:val="16"/>
          <w:szCs w:val="16"/>
        </w:rPr>
        <w:t xml:space="preserve">                </w:t>
      </w:r>
      <w:r w:rsidR="00C15BA0">
        <w:rPr>
          <w:rFonts w:asciiTheme="minorHAnsi" w:hAnsiTheme="minorHAnsi" w:cs="Times New Roman"/>
          <w:sz w:val="16"/>
          <w:szCs w:val="16"/>
        </w:rPr>
        <w:t xml:space="preserve"> </w:t>
      </w:r>
      <w:r w:rsidRPr="00CF1BC5">
        <w:rPr>
          <w:rFonts w:asciiTheme="minorHAnsi" w:hAnsiTheme="minorHAnsi" w:cs="Times New Roman"/>
          <w:sz w:val="16"/>
          <w:szCs w:val="16"/>
        </w:rPr>
        <w:t xml:space="preserve"> </w:t>
      </w:r>
      <w:r w:rsidR="00C15BA0">
        <w:rPr>
          <w:rFonts w:asciiTheme="minorHAnsi" w:hAnsiTheme="minorHAnsi" w:cs="Times New Roman"/>
          <w:sz w:val="16"/>
          <w:szCs w:val="16"/>
        </w:rPr>
        <w:t>L</w:t>
      </w:r>
      <w:r w:rsidRPr="00CF1BC5">
        <w:rPr>
          <w:rFonts w:asciiTheme="minorHAnsi" w:hAnsiTheme="minorHAnsi" w:cs="Times New Roman"/>
          <w:sz w:val="16"/>
          <w:szCs w:val="16"/>
        </w:rPr>
        <w:t xml:space="preserve">ola Ramírez </w:t>
      </w:r>
      <w:r w:rsidR="009F4C1B" w:rsidRPr="00CF1BC5">
        <w:rPr>
          <w:rFonts w:asciiTheme="minorHAnsi" w:hAnsiTheme="minorHAnsi" w:cs="Times New Roman"/>
          <w:sz w:val="16"/>
          <w:szCs w:val="16"/>
        </w:rPr>
        <w:t>Quijano –</w:t>
      </w:r>
      <w:r w:rsidRPr="00CF1BC5">
        <w:rPr>
          <w:rFonts w:asciiTheme="minorHAnsi" w:hAnsiTheme="minorHAnsi" w:cs="Times New Roman"/>
          <w:sz w:val="16"/>
          <w:szCs w:val="16"/>
        </w:rPr>
        <w:t xml:space="preserve"> Contratista Vicepresidencia Jurídica - ANI</w:t>
      </w:r>
    </w:p>
    <w:p w:rsidR="008D0A1F" w:rsidRPr="00CF1BC5" w:rsidRDefault="008D0A1F" w:rsidP="007D7798">
      <w:pPr>
        <w:rPr>
          <w:rFonts w:asciiTheme="minorHAnsi" w:hAnsiTheme="minorHAnsi" w:cs="Times New Roman"/>
          <w:sz w:val="16"/>
          <w:szCs w:val="16"/>
        </w:rPr>
      </w:pPr>
      <w:r w:rsidRPr="00CF1BC5">
        <w:rPr>
          <w:rFonts w:asciiTheme="minorHAnsi" w:hAnsiTheme="minorHAnsi" w:cs="Times New Roman"/>
          <w:sz w:val="16"/>
          <w:szCs w:val="16"/>
        </w:rPr>
        <w:t xml:space="preserve">              </w:t>
      </w:r>
      <w:r w:rsidR="00C15BA0">
        <w:rPr>
          <w:rFonts w:asciiTheme="minorHAnsi" w:hAnsiTheme="minorHAnsi" w:cs="Times New Roman"/>
          <w:sz w:val="16"/>
          <w:szCs w:val="16"/>
        </w:rPr>
        <w:t xml:space="preserve"> </w:t>
      </w:r>
      <w:r w:rsidRPr="00CF1BC5">
        <w:rPr>
          <w:rFonts w:asciiTheme="minorHAnsi" w:hAnsiTheme="minorHAnsi" w:cs="Times New Roman"/>
          <w:sz w:val="16"/>
          <w:szCs w:val="16"/>
        </w:rPr>
        <w:t xml:space="preserve">  </w:t>
      </w:r>
      <w:r w:rsidR="00DD621E" w:rsidRPr="00CF1BC5">
        <w:rPr>
          <w:rFonts w:asciiTheme="minorHAnsi" w:hAnsiTheme="minorHAnsi" w:cs="Times New Roman"/>
          <w:sz w:val="16"/>
          <w:szCs w:val="16"/>
        </w:rPr>
        <w:t>Sebastián Mesa Mora</w:t>
      </w:r>
      <w:r w:rsidRPr="00CF1BC5">
        <w:rPr>
          <w:rFonts w:asciiTheme="minorHAnsi" w:hAnsiTheme="minorHAnsi" w:cs="Times New Roman"/>
          <w:sz w:val="16"/>
          <w:szCs w:val="16"/>
        </w:rPr>
        <w:t xml:space="preserve"> – Apoyo financiero a la supervisión</w:t>
      </w:r>
    </w:p>
    <w:p w:rsidR="007D7798" w:rsidRPr="00CF1BC5" w:rsidRDefault="007D7798" w:rsidP="007D7798">
      <w:pPr>
        <w:rPr>
          <w:rFonts w:asciiTheme="minorHAnsi" w:hAnsiTheme="minorHAnsi" w:cs="Times New Roman"/>
          <w:sz w:val="16"/>
          <w:szCs w:val="16"/>
        </w:rPr>
      </w:pPr>
      <w:r w:rsidRPr="00CF1BC5">
        <w:rPr>
          <w:rFonts w:asciiTheme="minorHAnsi" w:hAnsiTheme="minorHAnsi" w:cs="Times New Roman"/>
          <w:sz w:val="16"/>
          <w:szCs w:val="16"/>
        </w:rPr>
        <w:t>Revisó:</w:t>
      </w:r>
      <w:r w:rsidR="008D0A1F" w:rsidRPr="00CF1BC5">
        <w:rPr>
          <w:rFonts w:asciiTheme="minorHAnsi" w:hAnsiTheme="minorHAnsi" w:cs="Times New Roman"/>
          <w:sz w:val="16"/>
          <w:szCs w:val="16"/>
        </w:rPr>
        <w:t xml:space="preserve">   </w:t>
      </w:r>
      <w:r w:rsidRPr="00CF1BC5">
        <w:rPr>
          <w:rFonts w:asciiTheme="minorHAnsi" w:hAnsiTheme="minorHAnsi" w:cs="Times New Roman"/>
          <w:sz w:val="16"/>
          <w:szCs w:val="16"/>
        </w:rPr>
        <w:t xml:space="preserve"> </w:t>
      </w:r>
      <w:r w:rsidR="00DD621E" w:rsidRPr="00CF1BC5">
        <w:rPr>
          <w:rFonts w:asciiTheme="minorHAnsi" w:hAnsiTheme="minorHAnsi" w:cs="Times New Roman"/>
          <w:sz w:val="16"/>
          <w:szCs w:val="16"/>
        </w:rPr>
        <w:t>Alberto Augusto Rodriguez Ortíz</w:t>
      </w:r>
      <w:r w:rsidRPr="00CF1BC5">
        <w:rPr>
          <w:rFonts w:asciiTheme="minorHAnsi" w:hAnsiTheme="minorHAnsi" w:cs="Times New Roman"/>
          <w:sz w:val="16"/>
          <w:szCs w:val="16"/>
        </w:rPr>
        <w:t xml:space="preserve"> – Gerente de Proyectos Vicepresidencia de Gestión Contractual - ANI</w:t>
      </w:r>
    </w:p>
    <w:p w:rsidR="008D0A1F" w:rsidRDefault="008D0A1F" w:rsidP="007D7798">
      <w:pPr>
        <w:rPr>
          <w:rFonts w:asciiTheme="minorHAnsi" w:hAnsiTheme="minorHAnsi" w:cs="Times New Roman"/>
          <w:sz w:val="16"/>
          <w:szCs w:val="16"/>
        </w:rPr>
      </w:pPr>
      <w:r w:rsidRPr="00CF1BC5">
        <w:rPr>
          <w:rFonts w:asciiTheme="minorHAnsi" w:hAnsiTheme="minorHAnsi" w:cs="Times New Roman"/>
          <w:sz w:val="16"/>
          <w:szCs w:val="16"/>
        </w:rPr>
        <w:t xml:space="preserve">                 </w:t>
      </w:r>
      <w:r w:rsidR="00C15BA0">
        <w:rPr>
          <w:rFonts w:asciiTheme="minorHAnsi" w:hAnsiTheme="minorHAnsi" w:cs="Times New Roman"/>
          <w:sz w:val="16"/>
          <w:szCs w:val="16"/>
        </w:rPr>
        <w:t>Gabriel Vélez Calderón</w:t>
      </w:r>
      <w:r w:rsidRPr="00CF1BC5">
        <w:rPr>
          <w:rFonts w:asciiTheme="minorHAnsi" w:hAnsiTheme="minorHAnsi" w:cs="Times New Roman"/>
          <w:sz w:val="16"/>
          <w:szCs w:val="16"/>
        </w:rPr>
        <w:t xml:space="preserve"> - Vicepresidente </w:t>
      </w:r>
      <w:r w:rsidR="009F4C1B" w:rsidRPr="00CF1BC5">
        <w:rPr>
          <w:rFonts w:asciiTheme="minorHAnsi" w:hAnsiTheme="minorHAnsi" w:cs="Times New Roman"/>
          <w:sz w:val="16"/>
          <w:szCs w:val="16"/>
        </w:rPr>
        <w:t>Jurídico (</w:t>
      </w:r>
      <w:r w:rsidRPr="00CF1BC5">
        <w:rPr>
          <w:rFonts w:asciiTheme="minorHAnsi" w:hAnsiTheme="minorHAnsi" w:cs="Times New Roman"/>
          <w:sz w:val="16"/>
          <w:szCs w:val="16"/>
        </w:rPr>
        <w:t>E)- ANI</w:t>
      </w:r>
    </w:p>
    <w:p w:rsidR="00C15BA0" w:rsidRPr="00CF1BC5" w:rsidRDefault="00C15BA0" w:rsidP="007D7798">
      <w:pPr>
        <w:rPr>
          <w:rFonts w:asciiTheme="minorHAnsi" w:hAnsiTheme="minorHAnsi" w:cs="Times New Roman"/>
          <w:sz w:val="16"/>
          <w:szCs w:val="16"/>
        </w:rPr>
      </w:pPr>
      <w:r>
        <w:rPr>
          <w:rFonts w:asciiTheme="minorHAnsi" w:hAnsiTheme="minorHAnsi" w:cs="Times New Roman"/>
          <w:sz w:val="16"/>
          <w:szCs w:val="16"/>
        </w:rPr>
        <w:t xml:space="preserve">                 Oscar Laureano Rosero Jimenez – Gerente Financiero 2 VGC-ANI.</w:t>
      </w:r>
    </w:p>
    <w:p w:rsidR="008D0A1F" w:rsidRPr="00CF1BC5" w:rsidRDefault="009F4C1B" w:rsidP="007D7798">
      <w:pPr>
        <w:rPr>
          <w:rFonts w:asciiTheme="minorHAnsi" w:hAnsiTheme="minorHAnsi" w:cs="Times New Roman"/>
          <w:sz w:val="16"/>
          <w:szCs w:val="16"/>
        </w:rPr>
      </w:pPr>
      <w:r w:rsidRPr="00CF1BC5">
        <w:rPr>
          <w:rFonts w:asciiTheme="minorHAnsi" w:hAnsiTheme="minorHAnsi" w:cs="Times New Roman"/>
          <w:sz w:val="16"/>
          <w:szCs w:val="16"/>
        </w:rPr>
        <w:t xml:space="preserve">                 Henry García Loaiza – INVIAS</w:t>
      </w:r>
    </w:p>
    <w:p w:rsidR="009F4C1B" w:rsidRDefault="009F4C1B" w:rsidP="007D7798">
      <w:pPr>
        <w:rPr>
          <w:rFonts w:ascii="Times New Roman" w:hAnsi="Times New Roman" w:cs="Times New Roman"/>
          <w:sz w:val="16"/>
          <w:szCs w:val="16"/>
        </w:rPr>
      </w:pPr>
      <w:r>
        <w:rPr>
          <w:rFonts w:ascii="Times New Roman" w:hAnsi="Times New Roman" w:cs="Times New Roman"/>
          <w:sz w:val="16"/>
          <w:szCs w:val="16"/>
        </w:rPr>
        <w:t xml:space="preserve">                Gisella Fernanda Beltrán Zambrano – Coordinadora Grupo Conceptos y Apoyo Legal (E)</w:t>
      </w:r>
    </w:p>
    <w:p w:rsidR="007D7798" w:rsidRDefault="009F4C1B" w:rsidP="007D7798">
      <w:pPr>
        <w:rPr>
          <w:rFonts w:ascii="Times New Roman" w:hAnsi="Times New Roman" w:cs="Times New Roman"/>
          <w:sz w:val="16"/>
          <w:szCs w:val="16"/>
        </w:rPr>
      </w:pPr>
      <w:r w:rsidRPr="009F4C1B">
        <w:rPr>
          <w:rFonts w:ascii="Times New Roman" w:hAnsi="Times New Roman" w:cs="Times New Roman"/>
          <w:sz w:val="16"/>
          <w:szCs w:val="16"/>
        </w:rPr>
        <w:t>Aprobó</w:t>
      </w:r>
      <w:r>
        <w:rPr>
          <w:rFonts w:ascii="Times New Roman" w:hAnsi="Times New Roman" w:cs="Times New Roman"/>
          <w:sz w:val="16"/>
          <w:szCs w:val="16"/>
        </w:rPr>
        <w:t xml:space="preserve">:   </w:t>
      </w:r>
      <w:r w:rsidR="00C15BA0">
        <w:rPr>
          <w:rFonts w:ascii="Times New Roman" w:hAnsi="Times New Roman" w:cs="Times New Roman"/>
          <w:sz w:val="16"/>
          <w:szCs w:val="16"/>
        </w:rPr>
        <w:t>Luis Eduardo Rodríguez</w:t>
      </w:r>
      <w:r w:rsidR="007D7798" w:rsidRPr="008D0A1F">
        <w:rPr>
          <w:rFonts w:ascii="Times New Roman" w:hAnsi="Times New Roman" w:cs="Times New Roman"/>
          <w:sz w:val="16"/>
          <w:szCs w:val="16"/>
        </w:rPr>
        <w:t xml:space="preserve"> – Vicepresidente de Gestión Contractual</w:t>
      </w:r>
      <w:r w:rsidR="008D0A1F" w:rsidRPr="008D0A1F">
        <w:rPr>
          <w:rFonts w:ascii="Times New Roman" w:hAnsi="Times New Roman" w:cs="Times New Roman"/>
          <w:sz w:val="16"/>
          <w:szCs w:val="16"/>
        </w:rPr>
        <w:t xml:space="preserve"> (E)</w:t>
      </w:r>
      <w:r w:rsidR="007D7798" w:rsidRPr="008D0A1F">
        <w:rPr>
          <w:rFonts w:ascii="Times New Roman" w:hAnsi="Times New Roman" w:cs="Times New Roman"/>
          <w:sz w:val="16"/>
          <w:szCs w:val="16"/>
        </w:rPr>
        <w:t>- ANI</w:t>
      </w:r>
    </w:p>
    <w:p w:rsidR="00C15BA0" w:rsidRPr="008D0A1F" w:rsidRDefault="00C15BA0" w:rsidP="007D7798">
      <w:pPr>
        <w:rPr>
          <w:rFonts w:ascii="Times New Roman" w:hAnsi="Times New Roman" w:cs="Times New Roman"/>
          <w:sz w:val="16"/>
          <w:szCs w:val="16"/>
        </w:rPr>
      </w:pPr>
      <w:r>
        <w:rPr>
          <w:rFonts w:ascii="Times New Roman" w:hAnsi="Times New Roman" w:cs="Times New Roman"/>
          <w:sz w:val="16"/>
          <w:szCs w:val="16"/>
        </w:rPr>
        <w:t xml:space="preserve">                </w:t>
      </w:r>
      <w:r>
        <w:rPr>
          <w:rFonts w:asciiTheme="minorHAnsi" w:hAnsiTheme="minorHAnsi" w:cs="Times New Roman"/>
          <w:sz w:val="16"/>
          <w:szCs w:val="16"/>
        </w:rPr>
        <w:t xml:space="preserve">Fernando </w:t>
      </w:r>
      <w:proofErr w:type="spellStart"/>
      <w:r>
        <w:rPr>
          <w:rFonts w:asciiTheme="minorHAnsi" w:hAnsiTheme="minorHAnsi" w:cs="Times New Roman"/>
          <w:sz w:val="16"/>
          <w:szCs w:val="16"/>
        </w:rPr>
        <w:t>Iregui</w:t>
      </w:r>
      <w:proofErr w:type="spellEnd"/>
      <w:r>
        <w:rPr>
          <w:rFonts w:asciiTheme="minorHAnsi" w:hAnsiTheme="minorHAnsi" w:cs="Times New Roman"/>
          <w:sz w:val="16"/>
          <w:szCs w:val="16"/>
        </w:rPr>
        <w:t xml:space="preserve"> Mejía -</w:t>
      </w:r>
      <w:r w:rsidRPr="00CF1BC5">
        <w:rPr>
          <w:rFonts w:asciiTheme="minorHAnsi" w:hAnsiTheme="minorHAnsi" w:cs="Times New Roman"/>
          <w:sz w:val="16"/>
          <w:szCs w:val="16"/>
        </w:rPr>
        <w:t xml:space="preserve"> Vicepresidente Jurídico - ANI</w:t>
      </w:r>
    </w:p>
    <w:p w:rsidR="009F4C1B"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Luis Roberto </w:t>
      </w:r>
      <w:proofErr w:type="spellStart"/>
      <w:r>
        <w:rPr>
          <w:rFonts w:ascii="Times New Roman" w:eastAsia="Times New Roman" w:hAnsi="Times New Roman" w:cs="Times New Roman"/>
          <w:spacing w:val="-3"/>
          <w:sz w:val="16"/>
          <w:szCs w:val="16"/>
          <w:lang w:eastAsia="es-ES"/>
        </w:rPr>
        <w:t>D´Pablo</w:t>
      </w:r>
      <w:proofErr w:type="spellEnd"/>
      <w:r>
        <w:rPr>
          <w:rFonts w:ascii="Times New Roman" w:eastAsia="Times New Roman" w:hAnsi="Times New Roman" w:cs="Times New Roman"/>
          <w:spacing w:val="-3"/>
          <w:sz w:val="16"/>
          <w:szCs w:val="16"/>
          <w:lang w:eastAsia="es-ES"/>
        </w:rPr>
        <w:t xml:space="preserve"> Ramirez – Director Técnico – INVIAS</w:t>
      </w:r>
    </w:p>
    <w:p w:rsidR="00172D07" w:rsidRPr="008D0A1F"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Pr>
          <w:rFonts w:ascii="Times New Roman" w:eastAsia="Times New Roman" w:hAnsi="Times New Roman" w:cs="Times New Roman"/>
          <w:spacing w:val="-3"/>
          <w:sz w:val="16"/>
          <w:szCs w:val="16"/>
          <w:lang w:eastAsia="es-ES"/>
        </w:rPr>
        <w:t>Amparo Lotero Zuluaga</w:t>
      </w:r>
      <w:r w:rsidR="00172D07" w:rsidRPr="008D0A1F">
        <w:rPr>
          <w:rFonts w:ascii="Times New Roman" w:eastAsia="Times New Roman" w:hAnsi="Times New Roman" w:cs="Times New Roman"/>
          <w:spacing w:val="-3"/>
          <w:sz w:val="16"/>
          <w:szCs w:val="16"/>
          <w:lang w:eastAsia="es-ES"/>
        </w:rPr>
        <w:t>-Jefe Oficina Asesora Jurídica M</w:t>
      </w:r>
      <w:r>
        <w:rPr>
          <w:rFonts w:ascii="Times New Roman" w:eastAsia="Times New Roman" w:hAnsi="Times New Roman" w:cs="Times New Roman"/>
          <w:spacing w:val="-3"/>
          <w:sz w:val="16"/>
          <w:szCs w:val="16"/>
          <w:lang w:eastAsia="es-ES"/>
        </w:rPr>
        <w:t xml:space="preserve">inisterio de </w:t>
      </w:r>
      <w:r w:rsidR="00172D07" w:rsidRPr="008D0A1F">
        <w:rPr>
          <w:rFonts w:ascii="Times New Roman" w:eastAsia="Times New Roman" w:hAnsi="Times New Roman" w:cs="Times New Roman"/>
          <w:spacing w:val="-3"/>
          <w:sz w:val="16"/>
          <w:szCs w:val="16"/>
          <w:lang w:eastAsia="es-ES"/>
        </w:rPr>
        <w:t>T</w:t>
      </w:r>
      <w:r>
        <w:rPr>
          <w:rFonts w:ascii="Times New Roman" w:eastAsia="Times New Roman" w:hAnsi="Times New Roman" w:cs="Times New Roman"/>
          <w:spacing w:val="-3"/>
          <w:sz w:val="16"/>
          <w:szCs w:val="16"/>
          <w:lang w:eastAsia="es-ES"/>
        </w:rPr>
        <w:t>ransporte (E)</w:t>
      </w:r>
    </w:p>
    <w:p w:rsidR="00480935" w:rsidRPr="008D0A1F"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sidR="00480935" w:rsidRPr="008D0A1F">
        <w:rPr>
          <w:rFonts w:ascii="Times New Roman" w:eastAsia="Times New Roman" w:hAnsi="Times New Roman" w:cs="Times New Roman"/>
          <w:spacing w:val="-3"/>
          <w:sz w:val="16"/>
          <w:szCs w:val="16"/>
          <w:lang w:eastAsia="es-ES"/>
        </w:rPr>
        <w:t>Mario Franco Morales- Coordinador GEF- Oficina Regulación Económica Ministerio de Transporte</w:t>
      </w:r>
    </w:p>
    <w:p w:rsidR="00172D07" w:rsidRPr="008D0A1F" w:rsidRDefault="009F4C1B" w:rsidP="009F4C1B">
      <w:pPr>
        <w:tabs>
          <w:tab w:val="left" w:pos="-720"/>
          <w:tab w:val="left" w:pos="709"/>
        </w:tabs>
        <w:jc w:val="both"/>
        <w:rPr>
          <w:rFonts w:ascii="Times New Roman" w:hAnsi="Times New Roman" w:cs="Times New Roman"/>
          <w:sz w:val="16"/>
          <w:szCs w:val="16"/>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sidR="00480935" w:rsidRPr="00CF1BC5">
        <w:rPr>
          <w:rFonts w:ascii="Times New Roman" w:eastAsia="Times New Roman" w:hAnsi="Times New Roman" w:cs="Times New Roman"/>
          <w:spacing w:val="-3"/>
          <w:sz w:val="16"/>
          <w:szCs w:val="16"/>
          <w:highlight w:val="yellow"/>
          <w:lang w:eastAsia="es-ES"/>
        </w:rPr>
        <w:t>Oscar Acosta Manrique</w:t>
      </w:r>
      <w:r w:rsidR="00172D07" w:rsidRPr="008D0A1F">
        <w:rPr>
          <w:rFonts w:ascii="Times New Roman" w:eastAsia="Times New Roman" w:hAnsi="Times New Roman" w:cs="Times New Roman"/>
          <w:spacing w:val="-3"/>
          <w:sz w:val="16"/>
          <w:szCs w:val="16"/>
          <w:lang w:eastAsia="es-ES"/>
        </w:rPr>
        <w:t xml:space="preserve">-Jefe Oficina Regulación Económica Ministerio de Transporte.                                      </w:t>
      </w:r>
    </w:p>
    <w:p w:rsidR="00EB1C83" w:rsidRPr="008D0A1F" w:rsidRDefault="00EB1C83">
      <w:pPr>
        <w:rPr>
          <w:rFonts w:ascii="Times New Roman" w:hAnsi="Times New Roman" w:cs="Times New Roman"/>
          <w:sz w:val="16"/>
          <w:szCs w:val="16"/>
        </w:rPr>
      </w:pPr>
    </w:p>
    <w:sectPr w:rsidR="00EB1C83" w:rsidRPr="008D0A1F" w:rsidSect="00B74440">
      <w:headerReference w:type="default" r:id="rId8"/>
      <w:headerReference w:type="first" r:id="rId9"/>
      <w:pgSz w:w="11907" w:h="18711" w:code="60"/>
      <w:pgMar w:top="1418" w:right="1701" w:bottom="1418" w:left="1985"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63" w:rsidRDefault="00C23F63" w:rsidP="00FC6D58">
      <w:r>
        <w:separator/>
      </w:r>
    </w:p>
  </w:endnote>
  <w:endnote w:type="continuationSeparator" w:id="0">
    <w:p w:rsidR="00C23F63" w:rsidRDefault="00C23F63"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Arial"/>
    <w:charset w:val="00"/>
    <w:family w:val="auto"/>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63" w:rsidRDefault="00C23F63" w:rsidP="00FC6D58">
      <w:r>
        <w:separator/>
      </w:r>
    </w:p>
  </w:footnote>
  <w:footnote w:type="continuationSeparator" w:id="0">
    <w:p w:rsidR="00C23F63" w:rsidRDefault="00C23F63"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51" w:rsidRDefault="00E01C37">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sidR="001E5916">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sidR="001E5916">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BF5778">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rsidR="00C41E06" w:rsidRDefault="00C41E06">
    <w:pPr>
      <w:pStyle w:val="Standard"/>
      <w:tabs>
        <w:tab w:val="left" w:pos="-720"/>
      </w:tabs>
      <w:jc w:val="both"/>
    </w:pPr>
  </w:p>
  <w:p w:rsidR="00884654" w:rsidRPr="00DB04DF" w:rsidRDefault="00884654" w:rsidP="00884654">
    <w:pPr>
      <w:autoSpaceDE w:val="0"/>
      <w:jc w:val="center"/>
      <w:rPr>
        <w:rFonts w:ascii="Times New Roman" w:eastAsia="Times New Roman" w:hAnsi="Times New Roman" w:cs="Times New Roman"/>
        <w:i/>
        <w:color w:val="000000"/>
        <w:lang w:eastAsia="es-ES"/>
      </w:rPr>
    </w:pPr>
    <w:r w:rsidRPr="00DB04DF">
      <w:rPr>
        <w:rFonts w:ascii="Times New Roman" w:eastAsia="Times New Roman" w:hAnsi="Times New Roman" w:cs="Times New Roman"/>
        <w:color w:val="000000"/>
        <w:lang w:eastAsia="es-ES"/>
      </w:rPr>
      <w:t>“</w:t>
    </w:r>
    <w:r w:rsidRPr="00DB04DF">
      <w:rPr>
        <w:rFonts w:ascii="Times New Roman" w:eastAsia="Times New Roman" w:hAnsi="Times New Roman" w:cs="Times New Roman"/>
        <w:i/>
        <w:color w:val="000000"/>
        <w:lang w:eastAsia="es-ES"/>
      </w:rPr>
      <w:t xml:space="preserve">Por la cual </w:t>
    </w:r>
    <w:r>
      <w:rPr>
        <w:rFonts w:ascii="Times New Roman" w:eastAsia="Times New Roman" w:hAnsi="Times New Roman" w:cs="Times New Roman"/>
        <w:i/>
        <w:color w:val="000000"/>
        <w:lang w:eastAsia="es-ES"/>
      </w:rPr>
      <w:t>se modifica el artículo primero de la resolución 000982 de 2015 modificada y adicionada por la resolución 0002819 del 11 de julio de 2016</w:t>
    </w:r>
    <w:r w:rsidRPr="00DB04DF">
      <w:rPr>
        <w:rFonts w:ascii="Times New Roman" w:eastAsia="Times New Roman" w:hAnsi="Times New Roman" w:cs="Times New Roman"/>
        <w:i/>
        <w:color w:val="000000"/>
        <w:lang w:eastAsia="es-ES"/>
      </w:rPr>
      <w:t>”</w:t>
    </w:r>
  </w:p>
  <w:p w:rsidR="00B14C51" w:rsidRDefault="00C23F63">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51" w:rsidRDefault="00E01C37">
    <w:pPr>
      <w:pStyle w:val="Encabezado"/>
    </w:pPr>
    <w:r>
      <w:rPr>
        <w:noProof/>
        <w:lang w:val="es-CO" w:eastAsia="es-CO" w:bidi="ar-SA"/>
      </w:rPr>
      <w:drawing>
        <wp:anchor distT="0" distB="0" distL="114300" distR="114300" simplePos="0" relativeHeight="251657216" behindDoc="0" locked="0" layoutInCell="1" allowOverlap="1" wp14:anchorId="5AE88877" wp14:editId="25C82E00">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45"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B14C51" w:rsidRDefault="00C23F63">
    <w:pPr>
      <w:pStyle w:val="Encabezado"/>
    </w:pPr>
  </w:p>
  <w:p w:rsidR="00B14C51" w:rsidRDefault="00E01C37">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0B9977A4" wp14:editId="198F868D">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46"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B14C51" w:rsidRDefault="00E01C37">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B14C51" w:rsidRDefault="00C23F63">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941FC"/>
    <w:multiLevelType w:val="hybridMultilevel"/>
    <w:tmpl w:val="A1E66810"/>
    <w:lvl w:ilvl="0" w:tplc="DAA46664">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F30D79"/>
    <w:multiLevelType w:val="hybridMultilevel"/>
    <w:tmpl w:val="B7C0C226"/>
    <w:lvl w:ilvl="0" w:tplc="A9CC776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4C42F3"/>
    <w:multiLevelType w:val="hybridMultilevel"/>
    <w:tmpl w:val="B9C2DD10"/>
    <w:lvl w:ilvl="0" w:tplc="0C4C29CC">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9D1610"/>
    <w:multiLevelType w:val="hybridMultilevel"/>
    <w:tmpl w:val="45F434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940B20"/>
    <w:multiLevelType w:val="hybridMultilevel"/>
    <w:tmpl w:val="824AB1B6"/>
    <w:lvl w:ilvl="0" w:tplc="131EB558">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143005"/>
    <w:multiLevelType w:val="hybridMultilevel"/>
    <w:tmpl w:val="76EE27B8"/>
    <w:lvl w:ilvl="0" w:tplc="16144290">
      <w:start w:val="1"/>
      <w:numFmt w:val="lowerRoman"/>
      <w:lvlText w:val="%1)"/>
      <w:lvlJc w:val="left"/>
      <w:pPr>
        <w:ind w:left="1800" w:hanging="720"/>
      </w:pPr>
      <w:rPr>
        <w:rFonts w:ascii="Times New Roman" w:eastAsia="Times New Roman" w:hAnsi="Times New Roman" w:cs="Times New Roman"/>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DBE5FE5"/>
    <w:multiLevelType w:val="hybridMultilevel"/>
    <w:tmpl w:val="205CCB6A"/>
    <w:lvl w:ilvl="0" w:tplc="8FD42BDC">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3DFE6793"/>
    <w:multiLevelType w:val="hybridMultilevel"/>
    <w:tmpl w:val="3D08A532"/>
    <w:lvl w:ilvl="0" w:tplc="1E2277BE">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2D62251"/>
    <w:multiLevelType w:val="hybridMultilevel"/>
    <w:tmpl w:val="205CCB6A"/>
    <w:lvl w:ilvl="0" w:tplc="8FD42BDC">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E532BF"/>
    <w:multiLevelType w:val="hybridMultilevel"/>
    <w:tmpl w:val="09623334"/>
    <w:lvl w:ilvl="0" w:tplc="F85CA14A">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3"/>
  </w:num>
  <w:num w:numId="5">
    <w:abstractNumId w:val="4"/>
  </w:num>
  <w:num w:numId="6">
    <w:abstractNumId w:val="0"/>
  </w:num>
  <w:num w:numId="7">
    <w:abstractNumId w:val="14"/>
  </w:num>
  <w:num w:numId="8">
    <w:abstractNumId w:val="2"/>
  </w:num>
  <w:num w:numId="9">
    <w:abstractNumId w:val="9"/>
  </w:num>
  <w:num w:numId="10">
    <w:abstractNumId w:val="7"/>
  </w:num>
  <w:num w:numId="11">
    <w:abstractNumId w:val="13"/>
  </w:num>
  <w:num w:numId="12">
    <w:abstractNumId w:val="1"/>
  </w:num>
  <w:num w:numId="13">
    <w:abstractNumId w:val="10"/>
  </w:num>
  <w:num w:numId="14">
    <w:abstractNumId w:val="17"/>
  </w:num>
  <w:num w:numId="15">
    <w:abstractNumId w:val="6"/>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2642"/>
    <w:rsid w:val="000207A8"/>
    <w:rsid w:val="00031D36"/>
    <w:rsid w:val="00032FD9"/>
    <w:rsid w:val="00037E6B"/>
    <w:rsid w:val="000816B8"/>
    <w:rsid w:val="000A4F26"/>
    <w:rsid w:val="000A5DC5"/>
    <w:rsid w:val="000A79BA"/>
    <w:rsid w:val="000A7C6B"/>
    <w:rsid w:val="000C25C5"/>
    <w:rsid w:val="000F5470"/>
    <w:rsid w:val="001053BE"/>
    <w:rsid w:val="00120191"/>
    <w:rsid w:val="00126180"/>
    <w:rsid w:val="00134D2B"/>
    <w:rsid w:val="00141C2F"/>
    <w:rsid w:val="0014389F"/>
    <w:rsid w:val="00145029"/>
    <w:rsid w:val="001555EC"/>
    <w:rsid w:val="00172D07"/>
    <w:rsid w:val="001739C1"/>
    <w:rsid w:val="00177018"/>
    <w:rsid w:val="0018277B"/>
    <w:rsid w:val="0018314E"/>
    <w:rsid w:val="00186B49"/>
    <w:rsid w:val="00187431"/>
    <w:rsid w:val="001958CF"/>
    <w:rsid w:val="00197609"/>
    <w:rsid w:val="001979B2"/>
    <w:rsid w:val="001C028F"/>
    <w:rsid w:val="001C5712"/>
    <w:rsid w:val="001E5916"/>
    <w:rsid w:val="001F1FF2"/>
    <w:rsid w:val="001F6699"/>
    <w:rsid w:val="001F7F65"/>
    <w:rsid w:val="00212739"/>
    <w:rsid w:val="002226E4"/>
    <w:rsid w:val="00231DB2"/>
    <w:rsid w:val="00234C17"/>
    <w:rsid w:val="002442DA"/>
    <w:rsid w:val="00244767"/>
    <w:rsid w:val="002544BB"/>
    <w:rsid w:val="0027529A"/>
    <w:rsid w:val="0028145D"/>
    <w:rsid w:val="00286781"/>
    <w:rsid w:val="00286825"/>
    <w:rsid w:val="00287F01"/>
    <w:rsid w:val="002928F0"/>
    <w:rsid w:val="002A56E8"/>
    <w:rsid w:val="002B5A34"/>
    <w:rsid w:val="002B5D91"/>
    <w:rsid w:val="002C3186"/>
    <w:rsid w:val="002D3179"/>
    <w:rsid w:val="002E0497"/>
    <w:rsid w:val="0030449E"/>
    <w:rsid w:val="0031051F"/>
    <w:rsid w:val="00327A8D"/>
    <w:rsid w:val="003452FD"/>
    <w:rsid w:val="00357DBB"/>
    <w:rsid w:val="003630FB"/>
    <w:rsid w:val="003655FB"/>
    <w:rsid w:val="00365AFF"/>
    <w:rsid w:val="00367A11"/>
    <w:rsid w:val="003718A6"/>
    <w:rsid w:val="00393C29"/>
    <w:rsid w:val="003A49DE"/>
    <w:rsid w:val="003D036E"/>
    <w:rsid w:val="003D0C81"/>
    <w:rsid w:val="003D2D7A"/>
    <w:rsid w:val="003D3FCC"/>
    <w:rsid w:val="003D7BDA"/>
    <w:rsid w:val="003E3B53"/>
    <w:rsid w:val="003E451C"/>
    <w:rsid w:val="003E4DC3"/>
    <w:rsid w:val="0040021F"/>
    <w:rsid w:val="00412581"/>
    <w:rsid w:val="0042180C"/>
    <w:rsid w:val="00430A99"/>
    <w:rsid w:val="00434CE7"/>
    <w:rsid w:val="0043586F"/>
    <w:rsid w:val="004477C4"/>
    <w:rsid w:val="00450EC9"/>
    <w:rsid w:val="00463504"/>
    <w:rsid w:val="00466188"/>
    <w:rsid w:val="00472F21"/>
    <w:rsid w:val="0047413A"/>
    <w:rsid w:val="00480935"/>
    <w:rsid w:val="00481DF2"/>
    <w:rsid w:val="0049077C"/>
    <w:rsid w:val="00491D4B"/>
    <w:rsid w:val="00493159"/>
    <w:rsid w:val="004A40BE"/>
    <w:rsid w:val="004A61FE"/>
    <w:rsid w:val="004B6068"/>
    <w:rsid w:val="004D7697"/>
    <w:rsid w:val="00504997"/>
    <w:rsid w:val="00537F5D"/>
    <w:rsid w:val="00553AE6"/>
    <w:rsid w:val="00560332"/>
    <w:rsid w:val="005A4F24"/>
    <w:rsid w:val="005B0351"/>
    <w:rsid w:val="005B76B9"/>
    <w:rsid w:val="005C0C61"/>
    <w:rsid w:val="005C1D2F"/>
    <w:rsid w:val="005D11B0"/>
    <w:rsid w:val="005D6663"/>
    <w:rsid w:val="005E2ACF"/>
    <w:rsid w:val="005E4299"/>
    <w:rsid w:val="005F5C50"/>
    <w:rsid w:val="005F70B3"/>
    <w:rsid w:val="005F7DCC"/>
    <w:rsid w:val="00602586"/>
    <w:rsid w:val="00602E6E"/>
    <w:rsid w:val="006034EC"/>
    <w:rsid w:val="00615489"/>
    <w:rsid w:val="00621C33"/>
    <w:rsid w:val="006252C0"/>
    <w:rsid w:val="00626FAD"/>
    <w:rsid w:val="00631CE6"/>
    <w:rsid w:val="00633EC8"/>
    <w:rsid w:val="0063669D"/>
    <w:rsid w:val="00651E11"/>
    <w:rsid w:val="006657EA"/>
    <w:rsid w:val="00675681"/>
    <w:rsid w:val="00680B85"/>
    <w:rsid w:val="006915CC"/>
    <w:rsid w:val="0069474F"/>
    <w:rsid w:val="006B4028"/>
    <w:rsid w:val="006C2B92"/>
    <w:rsid w:val="006C77B7"/>
    <w:rsid w:val="006D656E"/>
    <w:rsid w:val="006E04CA"/>
    <w:rsid w:val="006E071E"/>
    <w:rsid w:val="006E0923"/>
    <w:rsid w:val="00707977"/>
    <w:rsid w:val="007140AF"/>
    <w:rsid w:val="007221FB"/>
    <w:rsid w:val="00751155"/>
    <w:rsid w:val="0075210A"/>
    <w:rsid w:val="007548B6"/>
    <w:rsid w:val="00762160"/>
    <w:rsid w:val="00762560"/>
    <w:rsid w:val="00771BD1"/>
    <w:rsid w:val="007727F1"/>
    <w:rsid w:val="00782603"/>
    <w:rsid w:val="00783C64"/>
    <w:rsid w:val="00790C8A"/>
    <w:rsid w:val="007A0D98"/>
    <w:rsid w:val="007B3CB3"/>
    <w:rsid w:val="007D5289"/>
    <w:rsid w:val="007D7798"/>
    <w:rsid w:val="007E1184"/>
    <w:rsid w:val="007E63D1"/>
    <w:rsid w:val="00800384"/>
    <w:rsid w:val="0080040B"/>
    <w:rsid w:val="008008D4"/>
    <w:rsid w:val="00802A6B"/>
    <w:rsid w:val="0080638A"/>
    <w:rsid w:val="00811B25"/>
    <w:rsid w:val="00821561"/>
    <w:rsid w:val="008235A8"/>
    <w:rsid w:val="00824155"/>
    <w:rsid w:val="00827AFA"/>
    <w:rsid w:val="0083345C"/>
    <w:rsid w:val="008446C1"/>
    <w:rsid w:val="00846CAC"/>
    <w:rsid w:val="00857CD0"/>
    <w:rsid w:val="00863698"/>
    <w:rsid w:val="00871E24"/>
    <w:rsid w:val="00880040"/>
    <w:rsid w:val="00884654"/>
    <w:rsid w:val="008856E0"/>
    <w:rsid w:val="008A4B70"/>
    <w:rsid w:val="008C508C"/>
    <w:rsid w:val="008D0A1F"/>
    <w:rsid w:val="008D288C"/>
    <w:rsid w:val="008D5A60"/>
    <w:rsid w:val="008E3419"/>
    <w:rsid w:val="008E389B"/>
    <w:rsid w:val="008F7D98"/>
    <w:rsid w:val="00913602"/>
    <w:rsid w:val="009152C8"/>
    <w:rsid w:val="00930B7B"/>
    <w:rsid w:val="009332FD"/>
    <w:rsid w:val="009400E9"/>
    <w:rsid w:val="0095077B"/>
    <w:rsid w:val="00960212"/>
    <w:rsid w:val="00965119"/>
    <w:rsid w:val="00974994"/>
    <w:rsid w:val="00977045"/>
    <w:rsid w:val="009860C0"/>
    <w:rsid w:val="0098726E"/>
    <w:rsid w:val="009973E0"/>
    <w:rsid w:val="009A15E5"/>
    <w:rsid w:val="009B5F2C"/>
    <w:rsid w:val="009B6367"/>
    <w:rsid w:val="009C12B6"/>
    <w:rsid w:val="009C6E5B"/>
    <w:rsid w:val="009D62AB"/>
    <w:rsid w:val="009F2A0B"/>
    <w:rsid w:val="009F3A00"/>
    <w:rsid w:val="009F4C1B"/>
    <w:rsid w:val="00A00E66"/>
    <w:rsid w:val="00A03261"/>
    <w:rsid w:val="00A07D1E"/>
    <w:rsid w:val="00A17296"/>
    <w:rsid w:val="00A21428"/>
    <w:rsid w:val="00A2225B"/>
    <w:rsid w:val="00A43089"/>
    <w:rsid w:val="00A433E6"/>
    <w:rsid w:val="00A660B0"/>
    <w:rsid w:val="00A727C6"/>
    <w:rsid w:val="00A73226"/>
    <w:rsid w:val="00A81A6C"/>
    <w:rsid w:val="00AB426F"/>
    <w:rsid w:val="00AC32EC"/>
    <w:rsid w:val="00AC33B2"/>
    <w:rsid w:val="00AC579E"/>
    <w:rsid w:val="00AC7302"/>
    <w:rsid w:val="00AD2EDE"/>
    <w:rsid w:val="00AD5A40"/>
    <w:rsid w:val="00AE1F04"/>
    <w:rsid w:val="00AF40A3"/>
    <w:rsid w:val="00AF6391"/>
    <w:rsid w:val="00B10F5A"/>
    <w:rsid w:val="00B15290"/>
    <w:rsid w:val="00B23ABF"/>
    <w:rsid w:val="00B33972"/>
    <w:rsid w:val="00B417EC"/>
    <w:rsid w:val="00B46117"/>
    <w:rsid w:val="00B47773"/>
    <w:rsid w:val="00B50443"/>
    <w:rsid w:val="00B66FF4"/>
    <w:rsid w:val="00B74440"/>
    <w:rsid w:val="00B81388"/>
    <w:rsid w:val="00B868F2"/>
    <w:rsid w:val="00BA6C8E"/>
    <w:rsid w:val="00BB023F"/>
    <w:rsid w:val="00BB7411"/>
    <w:rsid w:val="00BC7360"/>
    <w:rsid w:val="00BE6FB5"/>
    <w:rsid w:val="00BE7EE4"/>
    <w:rsid w:val="00BF3995"/>
    <w:rsid w:val="00BF5778"/>
    <w:rsid w:val="00BF7F64"/>
    <w:rsid w:val="00C03959"/>
    <w:rsid w:val="00C10F8D"/>
    <w:rsid w:val="00C1533E"/>
    <w:rsid w:val="00C15433"/>
    <w:rsid w:val="00C15BA0"/>
    <w:rsid w:val="00C2077C"/>
    <w:rsid w:val="00C22ACF"/>
    <w:rsid w:val="00C23F63"/>
    <w:rsid w:val="00C307DE"/>
    <w:rsid w:val="00C30C61"/>
    <w:rsid w:val="00C41E06"/>
    <w:rsid w:val="00C42670"/>
    <w:rsid w:val="00C4419C"/>
    <w:rsid w:val="00C46979"/>
    <w:rsid w:val="00C47494"/>
    <w:rsid w:val="00C717FB"/>
    <w:rsid w:val="00C7386A"/>
    <w:rsid w:val="00C754C4"/>
    <w:rsid w:val="00CB1F1E"/>
    <w:rsid w:val="00CB2839"/>
    <w:rsid w:val="00CB2966"/>
    <w:rsid w:val="00CC1A38"/>
    <w:rsid w:val="00CF1BC5"/>
    <w:rsid w:val="00CF2246"/>
    <w:rsid w:val="00CF2442"/>
    <w:rsid w:val="00D0605D"/>
    <w:rsid w:val="00D14D13"/>
    <w:rsid w:val="00D245DF"/>
    <w:rsid w:val="00D376ED"/>
    <w:rsid w:val="00D43468"/>
    <w:rsid w:val="00D45F16"/>
    <w:rsid w:val="00D4721C"/>
    <w:rsid w:val="00D54581"/>
    <w:rsid w:val="00D71E30"/>
    <w:rsid w:val="00D73C76"/>
    <w:rsid w:val="00D76B10"/>
    <w:rsid w:val="00D83B95"/>
    <w:rsid w:val="00D84F75"/>
    <w:rsid w:val="00D87680"/>
    <w:rsid w:val="00D91E91"/>
    <w:rsid w:val="00D93634"/>
    <w:rsid w:val="00DB04DF"/>
    <w:rsid w:val="00DD621E"/>
    <w:rsid w:val="00DE6E2A"/>
    <w:rsid w:val="00DF797A"/>
    <w:rsid w:val="00E01C37"/>
    <w:rsid w:val="00E04DAE"/>
    <w:rsid w:val="00E11A20"/>
    <w:rsid w:val="00E324D7"/>
    <w:rsid w:val="00E4196B"/>
    <w:rsid w:val="00E45D2D"/>
    <w:rsid w:val="00E54A33"/>
    <w:rsid w:val="00E81C90"/>
    <w:rsid w:val="00E82818"/>
    <w:rsid w:val="00E8294F"/>
    <w:rsid w:val="00E86535"/>
    <w:rsid w:val="00EB1C83"/>
    <w:rsid w:val="00EC69D1"/>
    <w:rsid w:val="00EE517D"/>
    <w:rsid w:val="00EE6D77"/>
    <w:rsid w:val="00F05125"/>
    <w:rsid w:val="00F07D58"/>
    <w:rsid w:val="00F107F6"/>
    <w:rsid w:val="00F13AC8"/>
    <w:rsid w:val="00F26D8A"/>
    <w:rsid w:val="00F37CC9"/>
    <w:rsid w:val="00F56524"/>
    <w:rsid w:val="00F57E7C"/>
    <w:rsid w:val="00F64B8E"/>
    <w:rsid w:val="00F73D53"/>
    <w:rsid w:val="00FA0AA0"/>
    <w:rsid w:val="00FA770C"/>
    <w:rsid w:val="00FA7D17"/>
    <w:rsid w:val="00FB3096"/>
    <w:rsid w:val="00FC59A0"/>
    <w:rsid w:val="00FC6D58"/>
    <w:rsid w:val="00FD3941"/>
    <w:rsid w:val="00FD499F"/>
    <w:rsid w:val="00FE3054"/>
    <w:rsid w:val="00FE7D69"/>
    <w:rsid w:val="00FF4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2486"/>
  <w15:docId w15:val="{A34DF655-A7C4-4569-96F4-1BDFED03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C754C4"/>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2">
    <w:name w:val="heading 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basedOn w:val="Standard"/>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3870">
      <w:bodyDiv w:val="1"/>
      <w:marLeft w:val="0"/>
      <w:marRight w:val="0"/>
      <w:marTop w:val="0"/>
      <w:marBottom w:val="0"/>
      <w:divBdr>
        <w:top w:val="none" w:sz="0" w:space="0" w:color="auto"/>
        <w:left w:val="none" w:sz="0" w:space="0" w:color="auto"/>
        <w:bottom w:val="none" w:sz="0" w:space="0" w:color="auto"/>
        <w:right w:val="none" w:sz="0" w:space="0" w:color="auto"/>
      </w:divBdr>
    </w:div>
    <w:div w:id="776095522">
      <w:bodyDiv w:val="1"/>
      <w:marLeft w:val="0"/>
      <w:marRight w:val="0"/>
      <w:marTop w:val="0"/>
      <w:marBottom w:val="0"/>
      <w:divBdr>
        <w:top w:val="none" w:sz="0" w:space="0" w:color="auto"/>
        <w:left w:val="none" w:sz="0" w:space="0" w:color="auto"/>
        <w:bottom w:val="none" w:sz="0" w:space="0" w:color="auto"/>
        <w:right w:val="none" w:sz="0" w:space="0" w:color="auto"/>
      </w:divBdr>
    </w:div>
    <w:div w:id="1196430353">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 w:id="19670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474B-91F5-4860-A814-066433A8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Marly de Jesus Agamez Gomez</cp:lastModifiedBy>
  <cp:revision>4</cp:revision>
  <cp:lastPrinted>2016-04-13T21:09:00Z</cp:lastPrinted>
  <dcterms:created xsi:type="dcterms:W3CDTF">2016-11-11T19:50:00Z</dcterms:created>
  <dcterms:modified xsi:type="dcterms:W3CDTF">2016-11-11T19:56:00Z</dcterms:modified>
</cp:coreProperties>
</file>