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45B" w:rsidRPr="00855874" w:rsidRDefault="00813634" w:rsidP="00855874">
      <w:pPr>
        <w:keepNext/>
        <w:tabs>
          <w:tab w:val="left" w:pos="4253"/>
        </w:tabs>
        <w:rPr>
          <w:rFonts w:ascii="Work Sans" w:hAnsi="Work Sans" w:cs="Times New Roman"/>
          <w:b/>
          <w:color w:val="0000FF"/>
          <w:sz w:val="28"/>
          <w:szCs w:val="28"/>
          <w:u w:val="single"/>
        </w:rPr>
      </w:pPr>
      <w:bookmarkStart w:id="0" w:name="_Hlk12028112"/>
      <w:bookmarkStart w:id="1" w:name="_GoBack"/>
      <w:bookmarkEnd w:id="1"/>
      <w:r w:rsidRPr="008900F6">
        <w:rPr>
          <w:rFonts w:ascii="Work Sans" w:hAnsi="Work Sans" w:cs="Futura Bk BT"/>
          <w:b/>
          <w:lang w:bidi="ar-SA"/>
        </w:rPr>
        <w:t>RESOLUCIÓN NÚMERO</w:t>
      </w:r>
      <w:r w:rsidR="00744271">
        <w:rPr>
          <w:rFonts w:ascii="Work Sans" w:hAnsi="Work Sans" w:cs="Futura Bk BT"/>
          <w:b/>
          <w:lang w:bidi="ar-SA"/>
        </w:rPr>
        <w:tab/>
      </w:r>
      <w:r w:rsidR="00744271">
        <w:rPr>
          <w:rFonts w:ascii="Work Sans" w:hAnsi="Work Sans" w:cs="Futura Bk BT"/>
          <w:b/>
          <w:lang w:bidi="ar-SA"/>
        </w:rPr>
        <w:tab/>
      </w:r>
      <w:r w:rsidR="00744271">
        <w:rPr>
          <w:rFonts w:ascii="Work Sans" w:hAnsi="Work Sans" w:cs="Futura Bk BT"/>
          <w:b/>
          <w:lang w:bidi="ar-SA"/>
        </w:rPr>
        <w:tab/>
        <w:t xml:space="preserve">        </w:t>
      </w:r>
      <w:r w:rsidR="00744271">
        <w:rPr>
          <w:rFonts w:ascii="Work Sans" w:hAnsi="Work Sans" w:cs="Futura Bk BT"/>
          <w:b/>
          <w:lang w:bidi="ar-SA"/>
        </w:rPr>
        <w:tab/>
      </w:r>
      <w:r w:rsidR="00744271">
        <w:rPr>
          <w:rFonts w:ascii="Work Sans" w:hAnsi="Work Sans" w:cs="Futura Bk BT"/>
          <w:b/>
          <w:lang w:bidi="ar-SA"/>
        </w:rPr>
        <w:tab/>
      </w:r>
      <w:r w:rsidRPr="008900F6">
        <w:rPr>
          <w:rFonts w:ascii="Work Sans" w:hAnsi="Work Sans" w:cs="Futura Bk BT"/>
          <w:b/>
          <w:lang w:bidi="ar-SA"/>
        </w:rPr>
        <w:t>DE 2019</w:t>
      </w:r>
    </w:p>
    <w:p w:rsidR="008D345B" w:rsidRPr="008900F6" w:rsidRDefault="008D345B">
      <w:pPr>
        <w:widowControl/>
        <w:rPr>
          <w:rFonts w:ascii="Work Sans" w:hAnsi="Work Sans" w:cs="Courier New"/>
          <w:lang w:bidi="ar-SA"/>
        </w:rPr>
      </w:pPr>
    </w:p>
    <w:p w:rsidR="008D345B" w:rsidRPr="008900F6" w:rsidRDefault="008D345B">
      <w:pPr>
        <w:widowControl/>
        <w:rPr>
          <w:rFonts w:ascii="Work Sans" w:hAnsi="Work Sans" w:cs="Courier New"/>
          <w:lang w:bidi="ar-SA"/>
        </w:rPr>
      </w:pPr>
    </w:p>
    <w:p w:rsidR="008D345B" w:rsidRPr="007B0CC2" w:rsidRDefault="00813634">
      <w:pPr>
        <w:widowControl/>
        <w:jc w:val="center"/>
        <w:rPr>
          <w:sz w:val="20"/>
          <w:szCs w:val="20"/>
        </w:rPr>
      </w:pPr>
      <w:r w:rsidRPr="007B0CC2">
        <w:rPr>
          <w:rFonts w:ascii="Work Sans" w:hAnsi="Work Sans" w:cs="Futura Bk BT"/>
          <w:b/>
          <w:sz w:val="20"/>
          <w:szCs w:val="20"/>
          <w:lang w:bidi="ar-SA"/>
        </w:rPr>
        <w:t>(</w:t>
      </w:r>
      <w:r w:rsidR="00201647">
        <w:rPr>
          <w:rFonts w:ascii="Work Sans" w:hAnsi="Work Sans" w:cs="Futura Bk BT"/>
          <w:b/>
          <w:sz w:val="20"/>
          <w:szCs w:val="20"/>
          <w:lang w:bidi="ar-SA"/>
        </w:rPr>
        <w:t xml:space="preserve">                  </w:t>
      </w:r>
      <w:r w:rsidR="00744271">
        <w:rPr>
          <w:rFonts w:ascii="Work Sans" w:hAnsi="Work Sans" w:cs="Futura Bk BT"/>
          <w:b/>
          <w:sz w:val="20"/>
          <w:szCs w:val="20"/>
          <w:lang w:bidi="ar-SA"/>
        </w:rPr>
        <w:t xml:space="preserve">                     </w:t>
      </w:r>
      <w:r w:rsidR="00201647">
        <w:rPr>
          <w:rFonts w:ascii="Work Sans" w:hAnsi="Work Sans" w:cs="Futura Bk BT"/>
          <w:b/>
          <w:sz w:val="20"/>
          <w:szCs w:val="20"/>
          <w:lang w:bidi="ar-SA"/>
        </w:rPr>
        <w:t xml:space="preserve">                </w:t>
      </w:r>
      <w:r w:rsidRPr="007B0CC2">
        <w:rPr>
          <w:rFonts w:ascii="Work Sans" w:hAnsi="Work Sans" w:cs="Futura Bk BT"/>
          <w:b/>
          <w:sz w:val="20"/>
          <w:szCs w:val="20"/>
          <w:lang w:bidi="ar-SA"/>
        </w:rPr>
        <w:t>)</w:t>
      </w:r>
    </w:p>
    <w:p w:rsidR="008D345B" w:rsidRPr="007B0CC2" w:rsidRDefault="008D345B">
      <w:pPr>
        <w:jc w:val="center"/>
        <w:rPr>
          <w:rFonts w:ascii="Work Sans" w:hAnsi="Work Sans" w:cs="Arial"/>
          <w:sz w:val="20"/>
          <w:szCs w:val="20"/>
        </w:rPr>
      </w:pPr>
    </w:p>
    <w:p w:rsidR="008D345B" w:rsidRPr="00744271" w:rsidRDefault="008D345B">
      <w:pPr>
        <w:jc w:val="center"/>
        <w:rPr>
          <w:rFonts w:ascii="Work Sans" w:hAnsi="Work Sans" w:cs="Arial"/>
          <w:sz w:val="20"/>
          <w:szCs w:val="20"/>
        </w:rPr>
      </w:pPr>
    </w:p>
    <w:p w:rsidR="008D345B" w:rsidRPr="00744271" w:rsidRDefault="00813634">
      <w:pPr>
        <w:jc w:val="center"/>
        <w:rPr>
          <w:sz w:val="20"/>
          <w:szCs w:val="20"/>
        </w:rPr>
      </w:pPr>
      <w:r w:rsidRPr="00744271">
        <w:rPr>
          <w:rFonts w:ascii="Work Sans" w:hAnsi="Work Sans" w:cs="Arial"/>
          <w:sz w:val="20"/>
          <w:szCs w:val="20"/>
        </w:rPr>
        <w:t xml:space="preserve"> </w:t>
      </w:r>
      <w:r w:rsidRPr="00744271">
        <w:rPr>
          <w:rFonts w:ascii="Work Sans" w:hAnsi="Work Sans" w:cs="Arial"/>
          <w:iCs/>
          <w:sz w:val="20"/>
          <w:szCs w:val="20"/>
        </w:rPr>
        <w:t xml:space="preserve">“Por la cual se establecen tarifas </w:t>
      </w:r>
      <w:r w:rsidR="00E13BFF" w:rsidRPr="00744271">
        <w:rPr>
          <w:rFonts w:ascii="Work Sans" w:hAnsi="Work Sans" w:cs="Arial"/>
          <w:iCs/>
          <w:sz w:val="20"/>
          <w:szCs w:val="20"/>
        </w:rPr>
        <w:t xml:space="preserve">de manera temporal </w:t>
      </w:r>
      <w:r w:rsidRPr="00744271">
        <w:rPr>
          <w:rFonts w:ascii="Work Sans" w:hAnsi="Work Sans" w:cs="Arial"/>
          <w:iCs/>
          <w:sz w:val="20"/>
          <w:szCs w:val="20"/>
        </w:rPr>
        <w:t>en la Estación de P</w:t>
      </w:r>
      <w:r w:rsidR="00744271" w:rsidRPr="00744271">
        <w:rPr>
          <w:rFonts w:ascii="Work Sans" w:hAnsi="Work Sans" w:cs="Arial"/>
          <w:iCs/>
          <w:sz w:val="20"/>
          <w:szCs w:val="20"/>
        </w:rPr>
        <w:t>eaje denominada Altamira ubicada</w:t>
      </w:r>
      <w:r w:rsidRPr="00744271">
        <w:rPr>
          <w:rFonts w:ascii="Work Sans" w:hAnsi="Work Sans" w:cs="Arial"/>
          <w:iCs/>
          <w:sz w:val="20"/>
          <w:szCs w:val="20"/>
        </w:rPr>
        <w:t xml:space="preserve"> en el PR 60+500, con ocasión de la </w:t>
      </w:r>
      <w:r w:rsidR="00920DC9" w:rsidRPr="00744271">
        <w:rPr>
          <w:rFonts w:ascii="Work Sans" w:hAnsi="Work Sans" w:cs="Arial"/>
          <w:iCs/>
          <w:sz w:val="20"/>
          <w:szCs w:val="20"/>
        </w:rPr>
        <w:t xml:space="preserve">pérdida de la banca </w:t>
      </w:r>
      <w:r w:rsidRPr="00744271">
        <w:rPr>
          <w:rFonts w:ascii="Work Sans" w:hAnsi="Work Sans" w:cs="Arial"/>
          <w:iCs/>
          <w:sz w:val="20"/>
          <w:szCs w:val="20"/>
        </w:rPr>
        <w:t>entre el PR20+060 al PR21+0150</w:t>
      </w:r>
      <w:r w:rsidR="00FD1340" w:rsidRPr="00744271">
        <w:rPr>
          <w:rFonts w:ascii="Work Sans" w:hAnsi="Work Sans" w:cs="Arial"/>
          <w:iCs/>
          <w:sz w:val="20"/>
          <w:szCs w:val="20"/>
        </w:rPr>
        <w:t xml:space="preserve"> </w:t>
      </w:r>
      <w:r w:rsidRPr="00744271">
        <w:rPr>
          <w:rFonts w:ascii="Work Sans" w:hAnsi="Work Sans" w:cs="Arial"/>
          <w:iCs/>
          <w:sz w:val="20"/>
          <w:szCs w:val="20"/>
        </w:rPr>
        <w:t>de la Vía Gigante-Garzón, código 4505, Departamento del Huila”</w:t>
      </w:r>
    </w:p>
    <w:bookmarkEnd w:id="0"/>
    <w:p w:rsidR="008D345B" w:rsidRPr="007B0CC2" w:rsidRDefault="008D345B">
      <w:pPr>
        <w:jc w:val="center"/>
        <w:rPr>
          <w:rFonts w:ascii="Work Sans" w:hAnsi="Work Sans" w:cs="Arial"/>
          <w:i/>
          <w:sz w:val="20"/>
          <w:szCs w:val="20"/>
        </w:rPr>
      </w:pPr>
    </w:p>
    <w:p w:rsidR="008D345B" w:rsidRPr="007B0CC2" w:rsidRDefault="008D345B">
      <w:pPr>
        <w:jc w:val="center"/>
        <w:rPr>
          <w:rFonts w:ascii="Work Sans" w:hAnsi="Work Sans" w:cs="Arial"/>
          <w:i/>
          <w:sz w:val="20"/>
          <w:szCs w:val="20"/>
        </w:rPr>
      </w:pPr>
    </w:p>
    <w:p w:rsidR="008D345B" w:rsidRPr="007B0CC2" w:rsidRDefault="00183E2F">
      <w:pPr>
        <w:ind w:right="-1"/>
        <w:jc w:val="center"/>
        <w:rPr>
          <w:rFonts w:ascii="Work Sans" w:hAnsi="Work Sans" w:cs="Arial"/>
          <w:b/>
          <w:sz w:val="20"/>
          <w:szCs w:val="20"/>
        </w:rPr>
      </w:pPr>
      <w:r w:rsidRPr="00183E2F">
        <w:rPr>
          <w:rFonts w:ascii="Work Sans" w:hAnsi="Work Sans" w:cs="Arial"/>
          <w:b/>
          <w:sz w:val="20"/>
          <w:szCs w:val="20"/>
        </w:rPr>
        <w:t>LA MINISTRA DE TRANSPORTE</w:t>
      </w:r>
    </w:p>
    <w:p w:rsidR="008D345B" w:rsidRDefault="008D345B">
      <w:pPr>
        <w:ind w:right="-1"/>
        <w:jc w:val="both"/>
        <w:rPr>
          <w:rFonts w:ascii="Work Sans" w:hAnsi="Work Sans" w:cs="Arial"/>
          <w:sz w:val="20"/>
          <w:szCs w:val="20"/>
        </w:rPr>
      </w:pPr>
    </w:p>
    <w:p w:rsidR="00017D3C" w:rsidRPr="007B0CC2" w:rsidRDefault="00017D3C">
      <w:pPr>
        <w:ind w:right="-1"/>
        <w:jc w:val="both"/>
        <w:rPr>
          <w:rFonts w:ascii="Work Sans" w:hAnsi="Work Sans" w:cs="Arial"/>
          <w:sz w:val="20"/>
          <w:szCs w:val="20"/>
        </w:rPr>
      </w:pPr>
    </w:p>
    <w:p w:rsidR="008D345B" w:rsidRDefault="00813634">
      <w:pPr>
        <w:widowControl/>
        <w:ind w:right="40"/>
        <w:jc w:val="both"/>
        <w:textAlignment w:val="auto"/>
        <w:rPr>
          <w:rFonts w:ascii="Work Sans" w:hAnsi="Work Sans" w:cs="Courier New"/>
          <w:sz w:val="20"/>
          <w:szCs w:val="20"/>
          <w:lang w:bidi="ar-SA"/>
        </w:rPr>
      </w:pPr>
      <w:r w:rsidRPr="007B0CC2">
        <w:rPr>
          <w:rFonts w:ascii="Work Sans" w:hAnsi="Work Sans" w:cs="Courier New"/>
          <w:sz w:val="20"/>
          <w:szCs w:val="20"/>
          <w:lang w:bidi="ar-SA"/>
        </w:rPr>
        <w:t>En ejercicio de las facultades legales y en especial las conferidas por el artículo 21 de la Ley 105 de 1993 modificado parcialmente por el artículo 1 de la Ley 787 de 2002, el numeral 6.15 del artículo 6 del Decreto 087 de 2011</w:t>
      </w:r>
      <w:r w:rsidR="00BB7625">
        <w:rPr>
          <w:rFonts w:ascii="Work Sans" w:hAnsi="Work Sans" w:cs="Courier New"/>
          <w:sz w:val="20"/>
          <w:szCs w:val="20"/>
          <w:lang w:bidi="ar-SA"/>
        </w:rPr>
        <w:t xml:space="preserve"> y,</w:t>
      </w:r>
    </w:p>
    <w:p w:rsidR="00017D3C" w:rsidRPr="007B0CC2" w:rsidRDefault="00017D3C">
      <w:pPr>
        <w:widowControl/>
        <w:ind w:right="40"/>
        <w:jc w:val="both"/>
        <w:textAlignment w:val="auto"/>
        <w:rPr>
          <w:rFonts w:ascii="Work Sans" w:hAnsi="Work Sans" w:cs="Courier New"/>
          <w:sz w:val="20"/>
          <w:szCs w:val="20"/>
          <w:lang w:bidi="ar-SA"/>
        </w:rPr>
      </w:pPr>
    </w:p>
    <w:p w:rsidR="008D345B" w:rsidRPr="007B0CC2" w:rsidRDefault="008D345B">
      <w:pPr>
        <w:ind w:right="-1"/>
        <w:jc w:val="both"/>
        <w:rPr>
          <w:rFonts w:ascii="Work Sans" w:hAnsi="Work Sans" w:cs="Arial"/>
          <w:sz w:val="20"/>
          <w:szCs w:val="20"/>
        </w:rPr>
      </w:pPr>
    </w:p>
    <w:p w:rsidR="008D345B" w:rsidRPr="007B0CC2" w:rsidRDefault="00813634">
      <w:pPr>
        <w:ind w:right="-1"/>
        <w:jc w:val="center"/>
        <w:rPr>
          <w:rFonts w:ascii="Work Sans" w:hAnsi="Work Sans" w:cs="Arial"/>
          <w:b/>
          <w:sz w:val="20"/>
          <w:szCs w:val="20"/>
        </w:rPr>
      </w:pPr>
      <w:r w:rsidRPr="007B0CC2">
        <w:rPr>
          <w:rFonts w:ascii="Work Sans" w:hAnsi="Work Sans" w:cs="Arial"/>
          <w:b/>
          <w:sz w:val="20"/>
          <w:szCs w:val="20"/>
        </w:rPr>
        <w:t>C O N S I D E R A N D O:</w:t>
      </w:r>
    </w:p>
    <w:p w:rsidR="008D345B" w:rsidRPr="007B0CC2" w:rsidRDefault="008D345B">
      <w:pPr>
        <w:ind w:right="-1"/>
        <w:jc w:val="center"/>
        <w:rPr>
          <w:rFonts w:ascii="Work Sans" w:hAnsi="Work Sans" w:cs="Arial"/>
          <w:b/>
          <w:sz w:val="20"/>
          <w:szCs w:val="20"/>
        </w:rPr>
      </w:pPr>
    </w:p>
    <w:p w:rsidR="008D345B" w:rsidRPr="007B0CC2" w:rsidRDefault="00813634">
      <w:pPr>
        <w:ind w:right="-1"/>
        <w:jc w:val="both"/>
        <w:rPr>
          <w:rFonts w:ascii="Work Sans" w:hAnsi="Work Sans"/>
          <w:sz w:val="20"/>
          <w:szCs w:val="20"/>
        </w:rPr>
      </w:pPr>
      <w:r w:rsidRPr="007B0CC2">
        <w:rPr>
          <w:rFonts w:ascii="Work Sans" w:hAnsi="Work Sans"/>
          <w:sz w:val="20"/>
          <w:szCs w:val="20"/>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 modificado por el artículo 1° de la Ley 787 de 2002, establece:</w:t>
      </w:r>
    </w:p>
    <w:p w:rsidR="008D345B" w:rsidRPr="007B0CC2" w:rsidRDefault="008D345B">
      <w:pPr>
        <w:ind w:right="-1"/>
        <w:jc w:val="both"/>
        <w:rPr>
          <w:rFonts w:ascii="Work Sans" w:hAnsi="Work Sans"/>
          <w:sz w:val="20"/>
          <w:szCs w:val="20"/>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 "Artículo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Para estos efectos, la Nación establecerá peajes, tarifas y tasas sobre el uso de la infraestructura nacional de transporte y los recursos provenientes de su cobro se usarán exclusivamente para ese modo de transporte. </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Todos los servicios que la Nación o sus entidades descentralizadas presten a los usuarios accesoriamente a la utilización de la infraestructura Nacional de Transporte, estarán sujetos al cobro de tasas o tarifas. </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Para la fijación y cobro de tasas, tarifas y peajes, se observarán los siguientes principios: </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a) Los ingresos provenientes de la utilización de la infraestructura de transporte, deberán garantizar su adecuado mantenimiento, operación y desarrollo; </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Policá Judicial;</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c) El valor de las tasas o tarifas será determinado por la autoridad competente; su recaudo estará a cargo de las entidades públicas o privadas, responsables de la prestación del servicio;</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d) Las tasas de peaje serán diferenciales, es decir, se fijarán en proporción a las distancias recorridas, las características vehiculares </w:t>
      </w:r>
      <w:r w:rsidRPr="007B0CC2">
        <w:rPr>
          <w:rFonts w:ascii="Work Sans" w:hAnsi="Work Sans"/>
          <w:i/>
          <w:sz w:val="18"/>
          <w:szCs w:val="18"/>
        </w:rPr>
        <w:lastRenderedPageBreak/>
        <w:t>y sus respectivos costos de operación;</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 xml:space="preserve">e) Para la determinación del valor del peaje y de las tasas de valoración en las vías nacionales, se tendrá en cuenta un criterio de equidad fiscal. </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Parágrafo 1°. La Nación podrá en caso de necesidad y previo concepto del Ministerio de Transporte, apropiar recursos del Presupuesto Nacional para el mantenimiento, operación y desarrollo de la infraestructura de transporte.</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sz w:val="18"/>
          <w:szCs w:val="18"/>
        </w:rPr>
      </w:pPr>
      <w:r w:rsidRPr="007B0CC2">
        <w:rPr>
          <w:rFonts w:ascii="Work Sans" w:hAnsi="Work Sans"/>
          <w:i/>
          <w:sz w:val="18"/>
          <w:szCs w:val="18"/>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8D345B" w:rsidRPr="007B0CC2" w:rsidRDefault="008D345B">
      <w:pPr>
        <w:ind w:left="567" w:right="616"/>
        <w:jc w:val="both"/>
        <w:rPr>
          <w:rFonts w:ascii="Work Sans" w:hAnsi="Work Sans" w:cs="Arial"/>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Parágrafo 3°. Facúltese a las Entidades Territoriales para decretar las exenciones contempladas en el literal b), del artículo 1°.</w:t>
      </w:r>
    </w:p>
    <w:p w:rsidR="008D345B" w:rsidRPr="007B0CC2" w:rsidRDefault="008D345B">
      <w:pPr>
        <w:ind w:left="567" w:right="616"/>
        <w:jc w:val="both"/>
        <w:rPr>
          <w:rFonts w:ascii="Work Sans" w:hAnsi="Work Sans"/>
          <w:i/>
          <w:sz w:val="18"/>
          <w:szCs w:val="18"/>
        </w:rPr>
      </w:pPr>
    </w:p>
    <w:p w:rsidR="008D345B" w:rsidRPr="007B0CC2" w:rsidRDefault="00813634">
      <w:pPr>
        <w:ind w:left="567" w:right="616"/>
        <w:jc w:val="both"/>
        <w:rPr>
          <w:rFonts w:ascii="Work Sans" w:hAnsi="Work Sans"/>
          <w:i/>
          <w:sz w:val="18"/>
          <w:szCs w:val="18"/>
        </w:rPr>
      </w:pPr>
      <w:r w:rsidRPr="007B0CC2">
        <w:rPr>
          <w:rFonts w:ascii="Work Sans" w:hAnsi="Work Sans"/>
          <w:i/>
          <w:sz w:val="18"/>
          <w:szCs w:val="18"/>
        </w:rPr>
        <w:t>Parágrafo 4°. Se entiende también las vías "Concesionadas”,</w:t>
      </w:r>
    </w:p>
    <w:p w:rsidR="008D345B" w:rsidRPr="008900F6" w:rsidRDefault="008D345B">
      <w:pPr>
        <w:ind w:right="616"/>
        <w:jc w:val="both"/>
        <w:rPr>
          <w:rFonts w:ascii="Work Sans" w:hAnsi="Work Sans"/>
          <w:i/>
        </w:rPr>
      </w:pPr>
    </w:p>
    <w:p w:rsidR="008D345B" w:rsidRPr="007B0CC2" w:rsidRDefault="00813634">
      <w:pPr>
        <w:widowControl/>
        <w:tabs>
          <w:tab w:val="left" w:pos="0"/>
        </w:tabs>
        <w:ind w:right="49"/>
        <w:jc w:val="both"/>
        <w:textAlignment w:val="auto"/>
        <w:rPr>
          <w:sz w:val="20"/>
          <w:szCs w:val="20"/>
        </w:rPr>
      </w:pPr>
      <w:r w:rsidRPr="007B0CC2">
        <w:rPr>
          <w:rFonts w:ascii="Work Sans" w:eastAsia="DengXian Light" w:hAnsi="Work Sans" w:cs="Times New Roman"/>
          <w:kern w:val="0"/>
          <w:sz w:val="20"/>
          <w:szCs w:val="20"/>
          <w:lang w:val="es" w:eastAsia="es-ES" w:bidi="ar-SA"/>
        </w:rPr>
        <w:t>Que el Decreto 087 de 2011 “</w:t>
      </w:r>
      <w:r w:rsidRPr="007B0CC2">
        <w:rPr>
          <w:rFonts w:ascii="Work Sans" w:eastAsia="DengXian Light" w:hAnsi="Work Sans" w:cs="Times New Roman"/>
          <w:i/>
          <w:kern w:val="0"/>
          <w:sz w:val="20"/>
          <w:szCs w:val="20"/>
          <w:lang w:val="es" w:eastAsia="es-ES" w:bidi="ar-SA"/>
        </w:rPr>
        <w:t>Por el cual se modifica la estructura del Ministerio de Transporte, y se determinan las funciones de sus dependencias</w:t>
      </w:r>
      <w:r w:rsidRPr="007B0CC2">
        <w:rPr>
          <w:rFonts w:ascii="Work Sans" w:eastAsia="DengXian Light" w:hAnsi="Work Sans" w:cs="Times New Roman"/>
          <w:kern w:val="0"/>
          <w:sz w:val="20"/>
          <w:szCs w:val="20"/>
          <w:lang w:val="es" w:eastAsia="es-ES" w:bidi="ar-SA"/>
        </w:rPr>
        <w:t>.” establece:</w:t>
      </w:r>
    </w:p>
    <w:p w:rsidR="008D345B" w:rsidRPr="007B0CC2" w:rsidRDefault="008D345B">
      <w:pPr>
        <w:widowControl/>
        <w:tabs>
          <w:tab w:val="left" w:pos="0"/>
        </w:tabs>
        <w:ind w:left="709" w:right="709"/>
        <w:jc w:val="both"/>
        <w:textAlignment w:val="auto"/>
        <w:rPr>
          <w:rFonts w:ascii="Work Sans" w:eastAsia="DengXian Light" w:hAnsi="Work Sans" w:cs="Times New Roman"/>
          <w:i/>
          <w:kern w:val="0"/>
          <w:sz w:val="20"/>
          <w:szCs w:val="20"/>
          <w:lang w:val="es" w:eastAsia="es-ES" w:bidi="ar-SA"/>
        </w:rPr>
      </w:pPr>
    </w:p>
    <w:p w:rsidR="008D345B" w:rsidRPr="007B0CC2" w:rsidRDefault="00813634">
      <w:pPr>
        <w:ind w:left="567" w:right="616"/>
        <w:jc w:val="both"/>
        <w:rPr>
          <w:rFonts w:ascii="Work Sans" w:eastAsia="DengXian Light" w:hAnsi="Work Sans" w:cs="Times New Roman"/>
          <w:i/>
          <w:kern w:val="0"/>
          <w:sz w:val="18"/>
          <w:szCs w:val="18"/>
          <w:lang w:val="es" w:eastAsia="es-ES" w:bidi="ar-SA"/>
        </w:rPr>
      </w:pPr>
      <w:r w:rsidRPr="007B0CC2">
        <w:rPr>
          <w:rFonts w:ascii="Work Sans" w:eastAsia="DengXian Light" w:hAnsi="Work Sans" w:cs="Times New Roman"/>
          <w:i/>
          <w:kern w:val="0"/>
          <w:sz w:val="18"/>
          <w:szCs w:val="18"/>
          <w:lang w:val="es" w:eastAsia="es-ES" w:bidi="ar-SA"/>
        </w:rPr>
        <w:t>“Artículo 6°. Funciones del Despacho del Ministro de Transporte. Son funciones del Despacho del Ministro de Transporte, además de las señaladas por la Constitución Política y la ley, las siguientes:</w:t>
      </w:r>
    </w:p>
    <w:p w:rsidR="008D345B" w:rsidRPr="007B0CC2" w:rsidRDefault="00813634">
      <w:pPr>
        <w:widowControl/>
        <w:tabs>
          <w:tab w:val="left" w:pos="0"/>
        </w:tabs>
        <w:ind w:left="567" w:right="616"/>
        <w:jc w:val="both"/>
        <w:textAlignment w:val="auto"/>
        <w:rPr>
          <w:rFonts w:ascii="Work Sans" w:eastAsia="DengXian Light" w:hAnsi="Work Sans" w:cs="Times New Roman"/>
          <w:i/>
          <w:kern w:val="0"/>
          <w:sz w:val="18"/>
          <w:szCs w:val="18"/>
          <w:lang w:val="es" w:eastAsia="es-ES" w:bidi="ar-SA"/>
        </w:rPr>
      </w:pPr>
      <w:r w:rsidRPr="007B0CC2">
        <w:rPr>
          <w:rFonts w:ascii="Work Sans" w:eastAsia="DengXian Light" w:hAnsi="Work Sans" w:cs="Times New Roman"/>
          <w:i/>
          <w:kern w:val="0"/>
          <w:sz w:val="18"/>
          <w:szCs w:val="18"/>
          <w:lang w:val="es" w:eastAsia="es-ES" w:bidi="ar-SA"/>
        </w:rPr>
        <w:t xml:space="preserve"> </w:t>
      </w:r>
    </w:p>
    <w:p w:rsidR="008D345B" w:rsidRPr="007B0CC2" w:rsidRDefault="00813634">
      <w:pPr>
        <w:widowControl/>
        <w:ind w:left="567" w:right="616"/>
        <w:jc w:val="both"/>
        <w:textAlignment w:val="auto"/>
        <w:rPr>
          <w:rFonts w:ascii="Work Sans" w:eastAsia="DengXian Light" w:hAnsi="Work Sans" w:cs="Times New Roman"/>
          <w:i/>
          <w:kern w:val="0"/>
          <w:sz w:val="18"/>
          <w:szCs w:val="18"/>
          <w:lang w:val="es" w:eastAsia="es-ES" w:bidi="ar-SA"/>
        </w:rPr>
      </w:pPr>
      <w:r w:rsidRPr="007B0CC2">
        <w:rPr>
          <w:rFonts w:ascii="Work Sans" w:eastAsia="DengXian Light" w:hAnsi="Work Sans" w:cs="Times New Roman"/>
          <w:i/>
          <w:kern w:val="0"/>
          <w:sz w:val="18"/>
          <w:szCs w:val="18"/>
          <w:lang w:val="es" w:eastAsia="es-ES" w:bidi="ar-SA"/>
        </w:rPr>
        <w:t xml:space="preserve"> 6.15. Establecer los peajes, tarifas, tasas y derechos a cobrar por el uso de la   infraestructura de los modos de transporte, excepto el aéreo. (…)”</w:t>
      </w:r>
    </w:p>
    <w:p w:rsidR="008D345B" w:rsidRPr="008900F6" w:rsidRDefault="008D345B">
      <w:pPr>
        <w:widowControl/>
        <w:tabs>
          <w:tab w:val="left" w:pos="0"/>
        </w:tabs>
        <w:ind w:right="709"/>
        <w:jc w:val="both"/>
        <w:textAlignment w:val="auto"/>
        <w:rPr>
          <w:rFonts w:ascii="Work Sans" w:eastAsia="DengXian Light" w:hAnsi="Work Sans" w:cs="Times New Roman"/>
          <w:i/>
          <w:kern w:val="0"/>
          <w:lang w:val="es" w:eastAsia="es-ES" w:bidi="ar-SA"/>
        </w:rPr>
      </w:pPr>
    </w:p>
    <w:p w:rsidR="008D345B" w:rsidRPr="007B0CC2" w:rsidRDefault="00813634">
      <w:pPr>
        <w:jc w:val="both"/>
        <w:rPr>
          <w:sz w:val="20"/>
          <w:szCs w:val="20"/>
        </w:rPr>
      </w:pPr>
      <w:r w:rsidRPr="007B0CC2">
        <w:rPr>
          <w:rFonts w:ascii="Work Sans" w:eastAsia="DengXian Light" w:hAnsi="Work Sans" w:cs="Times New Roman"/>
          <w:kern w:val="0"/>
          <w:sz w:val="20"/>
          <w:szCs w:val="20"/>
          <w:lang w:val="es" w:eastAsia="es-ES" w:bidi="ar-SA"/>
        </w:rPr>
        <w:t>Que la Agencia Nacional de Infraestructura suscribió con la sociedad ALIADAS PARA EL PROGRESO S.A.S. el Contrato de Concesión 012 de 2015, cuyo objeto es “</w:t>
      </w:r>
      <w:r w:rsidRPr="007B0CC2">
        <w:rPr>
          <w:rFonts w:ascii="Work Sans" w:hAnsi="Work Sans" w:cs="Arial"/>
          <w:i/>
          <w:iCs/>
          <w:sz w:val="20"/>
          <w:szCs w:val="20"/>
          <w:lang w:val="es-CO" w:eastAsia="ar-SA" w:bidi="ar-SA"/>
        </w:rPr>
        <w:t xml:space="preserve">la financiación, elaboración de estudios y diseños definitivos, Gestión Social y Ambiental, Gestión Predial, construcción, rehabilitación, mejoramiento, operación y mantenimiento del corredor Neiva- Mocoa- Santana, de acuerdo con el Apéndice Técnico No 1 y demás Apéndices del Contrato”. </w:t>
      </w:r>
    </w:p>
    <w:p w:rsidR="008D345B" w:rsidRPr="007B0CC2" w:rsidRDefault="008D345B">
      <w:pPr>
        <w:widowControl/>
        <w:tabs>
          <w:tab w:val="left" w:pos="426"/>
        </w:tabs>
        <w:jc w:val="both"/>
        <w:rPr>
          <w:rFonts w:ascii="Work Sans" w:hAnsi="Work Sans" w:cs="Courier New"/>
          <w:sz w:val="20"/>
          <w:szCs w:val="20"/>
          <w:lang w:bidi="ar-SA"/>
        </w:rPr>
      </w:pPr>
    </w:p>
    <w:p w:rsidR="008D345B" w:rsidRPr="007B0CC2" w:rsidRDefault="00813634">
      <w:pPr>
        <w:widowControl/>
        <w:tabs>
          <w:tab w:val="left" w:pos="426"/>
        </w:tabs>
        <w:jc w:val="both"/>
        <w:rPr>
          <w:sz w:val="20"/>
          <w:szCs w:val="20"/>
        </w:rPr>
      </w:pPr>
      <w:r w:rsidRPr="007B0CC2">
        <w:rPr>
          <w:rFonts w:ascii="Work Sans" w:hAnsi="Work Sans" w:cs="Courier New"/>
          <w:sz w:val="20"/>
          <w:szCs w:val="20"/>
          <w:lang w:bidi="ar-SA"/>
        </w:rPr>
        <w:t>Que el Ministerio de Transporte mediante la Resolución 001207 del 30 de abril de 2015, emitió concepto vinculante previ</w:t>
      </w:r>
      <w:r w:rsidR="00744271">
        <w:rPr>
          <w:rFonts w:ascii="Work Sans" w:hAnsi="Work Sans" w:cs="Courier New"/>
          <w:sz w:val="20"/>
          <w:szCs w:val="20"/>
          <w:lang w:bidi="ar-SA"/>
        </w:rPr>
        <w:t>o al establecimiento y fijó</w:t>
      </w:r>
      <w:r w:rsidRPr="007B0CC2">
        <w:rPr>
          <w:rFonts w:ascii="Work Sans" w:hAnsi="Work Sans" w:cs="Courier New"/>
          <w:sz w:val="20"/>
          <w:szCs w:val="20"/>
          <w:lang w:bidi="ar-SA"/>
        </w:rPr>
        <w:t xml:space="preserve"> tarifas a cobrar en las estaciones de peaje que hacen parte del Contrato de Concesión </w:t>
      </w:r>
      <w:r w:rsidRPr="007B0CC2">
        <w:rPr>
          <w:rFonts w:ascii="Work Sans" w:eastAsia="DengXian Light" w:hAnsi="Work Sans" w:cs="Times New Roman"/>
          <w:kern w:val="0"/>
          <w:sz w:val="20"/>
          <w:szCs w:val="20"/>
          <w:lang w:val="es" w:eastAsia="es-ES" w:bidi="ar-SA"/>
        </w:rPr>
        <w:t>012 de 2015</w:t>
      </w:r>
      <w:r w:rsidRPr="007B0CC2">
        <w:rPr>
          <w:rFonts w:ascii="Work Sans" w:hAnsi="Work Sans" w:cs="Courier New"/>
          <w:sz w:val="20"/>
          <w:szCs w:val="20"/>
          <w:lang w:bidi="ar-SA"/>
        </w:rPr>
        <w:t>, dentro de las cuales se encuentra la estación de peaje denominada Altamira ubicada en el PR60+ 500.</w:t>
      </w:r>
    </w:p>
    <w:p w:rsidR="00E52F50" w:rsidRDefault="00E52F50">
      <w:pPr>
        <w:widowControl/>
        <w:tabs>
          <w:tab w:val="left" w:pos="426"/>
        </w:tabs>
        <w:jc w:val="both"/>
        <w:rPr>
          <w:rFonts w:ascii="Work Sans" w:hAnsi="Work Sans" w:cs="Courier New"/>
          <w:sz w:val="20"/>
          <w:szCs w:val="20"/>
          <w:lang w:bidi="ar-SA"/>
        </w:rPr>
      </w:pPr>
    </w:p>
    <w:p w:rsidR="00794AD1" w:rsidRPr="00744271" w:rsidRDefault="00AD6C09">
      <w:pPr>
        <w:widowControl/>
        <w:tabs>
          <w:tab w:val="left" w:pos="426"/>
        </w:tabs>
        <w:jc w:val="both"/>
        <w:rPr>
          <w:rFonts w:ascii="Work Sans" w:hAnsi="Work Sans"/>
          <w:iCs/>
          <w:spacing w:val="-3"/>
          <w:sz w:val="20"/>
          <w:szCs w:val="20"/>
        </w:rPr>
      </w:pPr>
      <w:r w:rsidRPr="00794AD1">
        <w:rPr>
          <w:rFonts w:ascii="Work Sans" w:hAnsi="Work Sans" w:cs="Courier New"/>
          <w:sz w:val="20"/>
          <w:szCs w:val="20"/>
          <w:lang w:bidi="ar-SA"/>
        </w:rPr>
        <w:t xml:space="preserve">Que </w:t>
      </w:r>
      <w:r w:rsidRPr="00744271">
        <w:rPr>
          <w:rFonts w:ascii="Work Sans" w:hAnsi="Work Sans" w:cs="Courier New"/>
          <w:sz w:val="20"/>
          <w:szCs w:val="20"/>
          <w:lang w:bidi="ar-SA"/>
        </w:rPr>
        <w:t>mediante oficio S-INTV-19-0078 del 18 de julio de 2019</w:t>
      </w:r>
      <w:r w:rsidR="00DB5F66" w:rsidRPr="00744271">
        <w:rPr>
          <w:rFonts w:ascii="Work Sans" w:hAnsi="Work Sans" w:cs="Courier New"/>
          <w:sz w:val="20"/>
          <w:szCs w:val="20"/>
          <w:lang w:bidi="ar-SA"/>
        </w:rPr>
        <w:t xml:space="preserve"> el</w:t>
      </w:r>
      <w:r w:rsidRPr="00744271">
        <w:rPr>
          <w:rFonts w:ascii="Work Sans" w:hAnsi="Work Sans" w:cs="Courier New"/>
          <w:sz w:val="20"/>
          <w:szCs w:val="20"/>
          <w:lang w:bidi="ar-SA"/>
        </w:rPr>
        <w:t xml:space="preserve"> </w:t>
      </w:r>
      <w:r w:rsidR="00DB5F66" w:rsidRPr="00744271">
        <w:rPr>
          <w:rFonts w:ascii="Work Sans" w:hAnsi="Work Sans"/>
          <w:spacing w:val="-3"/>
          <w:sz w:val="20"/>
          <w:szCs w:val="20"/>
        </w:rPr>
        <w:t>C</w:t>
      </w:r>
      <w:r w:rsidRPr="00744271">
        <w:rPr>
          <w:rFonts w:ascii="Work Sans" w:hAnsi="Work Sans"/>
          <w:spacing w:val="-3"/>
          <w:sz w:val="20"/>
          <w:szCs w:val="20"/>
        </w:rPr>
        <w:t xml:space="preserve">oncesionario Aliadas para el Progreso S.A.S. manifestó que </w:t>
      </w:r>
      <w:r w:rsidRPr="00744271">
        <w:rPr>
          <w:rFonts w:ascii="Work Sans" w:hAnsi="Work Sans"/>
          <w:iCs/>
          <w:spacing w:val="-3"/>
          <w:sz w:val="20"/>
          <w:szCs w:val="20"/>
        </w:rPr>
        <w:t xml:space="preserve">el día 18 de julio de 2019, en la vía Gigante – Garzón, en el sector conocido como curvas a Gigante, </w:t>
      </w:r>
      <w:r w:rsidRPr="00744271">
        <w:rPr>
          <w:rFonts w:ascii="Work Sans" w:hAnsi="Work Sans"/>
          <w:spacing w:val="-3"/>
          <w:sz w:val="20"/>
          <w:szCs w:val="20"/>
        </w:rPr>
        <w:t>PR 21+060 de la ruta 4505</w:t>
      </w:r>
      <w:r w:rsidRPr="00744271">
        <w:rPr>
          <w:rFonts w:ascii="Work Sans" w:hAnsi="Work Sans"/>
          <w:iCs/>
          <w:spacing w:val="-3"/>
          <w:sz w:val="20"/>
          <w:szCs w:val="20"/>
        </w:rPr>
        <w:t xml:space="preserve">, </w:t>
      </w:r>
      <w:r w:rsidR="00794AD1" w:rsidRPr="00744271">
        <w:rPr>
          <w:rFonts w:ascii="Work Sans" w:hAnsi="Work Sans"/>
          <w:iCs/>
          <w:spacing w:val="-3"/>
          <w:sz w:val="20"/>
          <w:szCs w:val="20"/>
        </w:rPr>
        <w:t xml:space="preserve">debido a la falla del talud de la banca PR21+0065 </w:t>
      </w:r>
      <w:r w:rsidR="00017D3C" w:rsidRPr="00744271">
        <w:rPr>
          <w:rFonts w:ascii="Work Sans" w:hAnsi="Work Sans"/>
          <w:iCs/>
          <w:spacing w:val="-3"/>
          <w:sz w:val="20"/>
          <w:szCs w:val="20"/>
        </w:rPr>
        <w:t>de la</w:t>
      </w:r>
      <w:r w:rsidR="00794AD1" w:rsidRPr="00744271">
        <w:rPr>
          <w:rFonts w:ascii="Work Sans" w:hAnsi="Work Sans"/>
          <w:iCs/>
          <w:spacing w:val="-3"/>
          <w:sz w:val="20"/>
          <w:szCs w:val="20"/>
        </w:rPr>
        <w:t xml:space="preserve"> Ruta nacional 4505 posiblemente por el humedecimiento de la pata de la ladera se presenta la pérdida del carril externo en aproximadamente 40 metros , dada la falla del talud, se han calcado fisuras en media luna en el carril interno que indican el grado de avance de inestabilidad por relajación de esfuerzos, por consiguiente, derivado a la mencionada situación se informa que en el corto plazo la única medida que permitirá anular el riesgo para los usuarios de la vía es el cierre preventivo de este tramo, desde garzón el PR3+245 HLB hasta Gigante al PR29+400 4505. Por consiguiente, elevamos a </w:t>
      </w:r>
      <w:r w:rsidR="00017D3C" w:rsidRPr="00744271">
        <w:rPr>
          <w:rFonts w:ascii="Work Sans" w:hAnsi="Work Sans"/>
          <w:iCs/>
          <w:spacing w:val="-3"/>
          <w:sz w:val="20"/>
          <w:szCs w:val="20"/>
        </w:rPr>
        <w:t>las autoridades competentes</w:t>
      </w:r>
      <w:r w:rsidR="00794AD1" w:rsidRPr="00744271">
        <w:rPr>
          <w:rFonts w:ascii="Work Sans" w:hAnsi="Work Sans"/>
          <w:iCs/>
          <w:spacing w:val="-3"/>
          <w:sz w:val="20"/>
          <w:szCs w:val="20"/>
        </w:rPr>
        <w:t xml:space="preserve"> la presente situación.</w:t>
      </w:r>
    </w:p>
    <w:p w:rsidR="00794AD1" w:rsidRDefault="00794AD1">
      <w:pPr>
        <w:widowControl/>
        <w:tabs>
          <w:tab w:val="left" w:pos="426"/>
        </w:tabs>
        <w:jc w:val="both"/>
        <w:rPr>
          <w:rFonts w:ascii="Calibri" w:hAnsi="Calibri"/>
          <w:i/>
          <w:iCs/>
          <w:spacing w:val="-3"/>
        </w:rPr>
      </w:pPr>
    </w:p>
    <w:p w:rsidR="00AD6C09" w:rsidRPr="00B20280" w:rsidRDefault="00017D3C" w:rsidP="00794AD1">
      <w:pPr>
        <w:widowControl/>
        <w:tabs>
          <w:tab w:val="left" w:pos="426"/>
        </w:tabs>
        <w:jc w:val="both"/>
        <w:rPr>
          <w:rFonts w:ascii="Calibri" w:hAnsi="Calibri" w:cs="Arial"/>
          <w:bCs/>
          <w:spacing w:val="-3"/>
          <w:sz w:val="20"/>
          <w:szCs w:val="20"/>
        </w:rPr>
      </w:pPr>
      <w:r>
        <w:rPr>
          <w:rFonts w:ascii="Work Sans" w:hAnsi="Work Sans"/>
          <w:sz w:val="20"/>
          <w:szCs w:val="20"/>
        </w:rPr>
        <w:t xml:space="preserve">Que mediante oficio </w:t>
      </w:r>
      <w:r w:rsidR="00E13BFF" w:rsidRPr="00B20280">
        <w:rPr>
          <w:rFonts w:ascii="Work Sans" w:hAnsi="Work Sans"/>
          <w:sz w:val="20"/>
          <w:szCs w:val="20"/>
        </w:rPr>
        <w:t>20193040232351 del 19 de julio de 2019</w:t>
      </w:r>
      <w:r w:rsidR="00A35306" w:rsidRPr="00B20280">
        <w:rPr>
          <w:rFonts w:ascii="Work Sans" w:hAnsi="Work Sans"/>
          <w:sz w:val="20"/>
          <w:szCs w:val="20"/>
        </w:rPr>
        <w:t xml:space="preserve"> el </w:t>
      </w:r>
      <w:r w:rsidR="00A35306" w:rsidRPr="00B20280">
        <w:rPr>
          <w:rFonts w:ascii="Work Sans" w:hAnsi="Work Sans" w:cs="Arial"/>
          <w:bCs/>
          <w:spacing w:val="-3"/>
          <w:sz w:val="20"/>
          <w:szCs w:val="20"/>
        </w:rPr>
        <w:t xml:space="preserve">Coordinador GIT </w:t>
      </w:r>
      <w:r w:rsidR="00AD6C09" w:rsidRPr="00B20280">
        <w:rPr>
          <w:rFonts w:ascii="Work Sans" w:hAnsi="Work Sans" w:cs="Arial"/>
          <w:bCs/>
          <w:spacing w:val="-3"/>
          <w:sz w:val="20"/>
          <w:szCs w:val="20"/>
        </w:rPr>
        <w:t xml:space="preserve">proyectos carreteros, estrategia contractual, permiso y modificaciones </w:t>
      </w:r>
      <w:r w:rsidR="00A35306" w:rsidRPr="00B20280">
        <w:rPr>
          <w:rFonts w:ascii="Work Sans" w:hAnsi="Work Sans" w:cs="Arial"/>
          <w:bCs/>
          <w:spacing w:val="-3"/>
          <w:sz w:val="20"/>
          <w:szCs w:val="20"/>
        </w:rPr>
        <w:t>de la Agencia Nacional de Infraestructura</w:t>
      </w:r>
      <w:r w:rsidR="00AD6C09" w:rsidRPr="00B20280">
        <w:rPr>
          <w:rFonts w:ascii="Work Sans" w:hAnsi="Work Sans" w:cs="Arial"/>
          <w:bCs/>
          <w:spacing w:val="-3"/>
          <w:sz w:val="20"/>
          <w:szCs w:val="20"/>
        </w:rPr>
        <w:t xml:space="preserve">, informa a INVIAS que el </w:t>
      </w:r>
      <w:r w:rsidR="00A35306" w:rsidRPr="00B20280">
        <w:rPr>
          <w:rFonts w:ascii="Work Sans" w:hAnsi="Work Sans"/>
          <w:spacing w:val="-3"/>
          <w:sz w:val="20"/>
          <w:szCs w:val="20"/>
        </w:rPr>
        <w:t xml:space="preserve">concesionario Aliadas para el Progreso S.A.S. </w:t>
      </w:r>
      <w:r w:rsidR="00AD6C09" w:rsidRPr="00B20280">
        <w:rPr>
          <w:rFonts w:ascii="Work Sans" w:hAnsi="Work Sans"/>
          <w:spacing w:val="-3"/>
          <w:sz w:val="20"/>
          <w:szCs w:val="20"/>
        </w:rPr>
        <w:t xml:space="preserve">manifestó </w:t>
      </w:r>
      <w:r w:rsidR="00A35306" w:rsidRPr="00B20280">
        <w:rPr>
          <w:rFonts w:ascii="Work Sans" w:hAnsi="Work Sans"/>
          <w:spacing w:val="-3"/>
          <w:sz w:val="20"/>
          <w:szCs w:val="20"/>
        </w:rPr>
        <w:t xml:space="preserve">que acorde a la </w:t>
      </w:r>
      <w:r w:rsidR="00A35306" w:rsidRPr="00B20280">
        <w:rPr>
          <w:rFonts w:ascii="Work Sans" w:hAnsi="Work Sans"/>
          <w:i/>
          <w:iCs/>
          <w:spacing w:val="-3"/>
          <w:sz w:val="20"/>
          <w:szCs w:val="20"/>
        </w:rPr>
        <w:t xml:space="preserve">pérdida de banca originada el día 18 de julio de 2019, en la vía Gigante – Garzón, en el sector conocido como curvas a Gigante, </w:t>
      </w:r>
      <w:r w:rsidR="00A35306" w:rsidRPr="00B20280">
        <w:rPr>
          <w:rFonts w:ascii="Work Sans" w:hAnsi="Work Sans"/>
          <w:spacing w:val="-3"/>
          <w:sz w:val="20"/>
          <w:szCs w:val="20"/>
        </w:rPr>
        <w:t>PR 21+060 de la ruta 4505</w:t>
      </w:r>
      <w:r w:rsidR="00A35306" w:rsidRPr="00B20280">
        <w:rPr>
          <w:rFonts w:ascii="Work Sans" w:hAnsi="Work Sans"/>
          <w:i/>
          <w:iCs/>
          <w:spacing w:val="-3"/>
          <w:sz w:val="20"/>
          <w:szCs w:val="20"/>
        </w:rPr>
        <w:t>, se informa que en el corto plazo la única medida que permitirá anular el riesgo para los usuarios de la vía es el cierre preventivo de ese tramo</w:t>
      </w:r>
      <w:r w:rsidR="00AD6C09" w:rsidRPr="00B20280">
        <w:rPr>
          <w:rFonts w:ascii="Work Sans" w:hAnsi="Work Sans"/>
          <w:i/>
          <w:iCs/>
          <w:spacing w:val="-3"/>
          <w:sz w:val="20"/>
          <w:szCs w:val="20"/>
        </w:rPr>
        <w:t xml:space="preserve">, </w:t>
      </w:r>
      <w:r w:rsidR="00AD6C09" w:rsidRPr="00B20280">
        <w:rPr>
          <w:rFonts w:ascii="Work Sans" w:hAnsi="Work Sans"/>
          <w:iCs/>
          <w:spacing w:val="-3"/>
          <w:sz w:val="20"/>
          <w:szCs w:val="20"/>
        </w:rPr>
        <w:t>razón por la cual</w:t>
      </w:r>
      <w:r w:rsidR="00AD6C09" w:rsidRPr="00B20280">
        <w:rPr>
          <w:rFonts w:ascii="Work Sans" w:hAnsi="Work Sans"/>
          <w:i/>
          <w:iCs/>
          <w:spacing w:val="-3"/>
          <w:sz w:val="20"/>
          <w:szCs w:val="20"/>
        </w:rPr>
        <w:t xml:space="preserve"> </w:t>
      </w:r>
      <w:r w:rsidR="00AD6C09" w:rsidRPr="00B20280">
        <w:rPr>
          <w:rFonts w:ascii="Work Sans" w:hAnsi="Work Sans"/>
          <w:iCs/>
          <w:spacing w:val="-3"/>
          <w:sz w:val="20"/>
          <w:szCs w:val="20"/>
        </w:rPr>
        <w:t>propone entre otras medidas, vías alternas</w:t>
      </w:r>
      <w:r w:rsidR="00AD6C09" w:rsidRPr="00B20280">
        <w:rPr>
          <w:rFonts w:ascii="Work Sans" w:hAnsi="Work Sans"/>
          <w:i/>
          <w:iCs/>
          <w:spacing w:val="-3"/>
          <w:sz w:val="20"/>
          <w:szCs w:val="20"/>
        </w:rPr>
        <w:t>.</w:t>
      </w:r>
    </w:p>
    <w:p w:rsidR="00A35306" w:rsidRPr="00A35306" w:rsidRDefault="00A35306" w:rsidP="00A35306">
      <w:pPr>
        <w:jc w:val="both"/>
        <w:rPr>
          <w:rFonts w:ascii="Calibri" w:hAnsi="Calibri"/>
          <w:i/>
          <w:iCs/>
          <w:spacing w:val="-3"/>
        </w:rPr>
      </w:pPr>
      <w:r>
        <w:rPr>
          <w:rFonts w:ascii="Calibri" w:hAnsi="Calibri"/>
          <w:i/>
          <w:iCs/>
          <w:spacing w:val="-3"/>
        </w:rPr>
        <w:lastRenderedPageBreak/>
        <w:t xml:space="preserve"> </w:t>
      </w:r>
    </w:p>
    <w:p w:rsidR="00257796" w:rsidRDefault="00B20280" w:rsidP="00FD1340">
      <w:pPr>
        <w:pStyle w:val="Prrafodelista"/>
        <w:tabs>
          <w:tab w:val="left" w:pos="426"/>
        </w:tabs>
        <w:ind w:left="0"/>
        <w:jc w:val="both"/>
        <w:rPr>
          <w:rFonts w:ascii="Work Sans" w:hAnsi="Work Sans"/>
          <w:sz w:val="20"/>
        </w:rPr>
      </w:pPr>
      <w:r>
        <w:rPr>
          <w:rFonts w:ascii="Work Sans" w:hAnsi="Work Sans"/>
          <w:sz w:val="20"/>
        </w:rPr>
        <w:t xml:space="preserve">Que mediante </w:t>
      </w:r>
      <w:r w:rsidR="00794AD1">
        <w:rPr>
          <w:rFonts w:ascii="Work Sans" w:hAnsi="Work Sans"/>
          <w:sz w:val="20"/>
        </w:rPr>
        <w:t xml:space="preserve">Oficio DITRA </w:t>
      </w:r>
      <w:r>
        <w:rPr>
          <w:rFonts w:ascii="Work Sans" w:hAnsi="Work Sans"/>
          <w:sz w:val="20"/>
        </w:rPr>
        <w:t xml:space="preserve">S-2019-049706 SETRA-GUSAP 29.57 la Dirección de Tránsito y Transporte Seccional Huila de la Policía Nacional informa que siendo aproximadamente a las 01:05 horas del día 18 de julio de 2019 se presenta una </w:t>
      </w:r>
      <w:r w:rsidR="00257796">
        <w:rPr>
          <w:rFonts w:ascii="Work Sans" w:hAnsi="Work Sans"/>
          <w:sz w:val="20"/>
        </w:rPr>
        <w:t>pérdida</w:t>
      </w:r>
      <w:r>
        <w:rPr>
          <w:rFonts w:ascii="Work Sans" w:hAnsi="Work Sans"/>
          <w:sz w:val="20"/>
        </w:rPr>
        <w:t xml:space="preserve"> de la banca de la vía lado derecho sentido Garz</w:t>
      </w:r>
      <w:r w:rsidR="00257796">
        <w:rPr>
          <w:rFonts w:ascii="Work Sans" w:hAnsi="Work Sans"/>
          <w:sz w:val="20"/>
        </w:rPr>
        <w:t>ó</w:t>
      </w:r>
      <w:r>
        <w:rPr>
          <w:rFonts w:ascii="Work Sans" w:hAnsi="Work Sans"/>
          <w:sz w:val="20"/>
        </w:rPr>
        <w:t>n – Neiva</w:t>
      </w:r>
      <w:r w:rsidR="00257796">
        <w:rPr>
          <w:rFonts w:ascii="Work Sans" w:hAnsi="Work Sans"/>
          <w:sz w:val="20"/>
        </w:rPr>
        <w:t xml:space="preserve">, por lo que el personal de Tránsito y Transporte Huila, procedió a realizar cierre total preventivo con el fin de proteger la vida de todos los actores viales que transitan por este lugar. </w:t>
      </w:r>
    </w:p>
    <w:p w:rsidR="0098061B" w:rsidRDefault="0098061B" w:rsidP="00FD1340">
      <w:pPr>
        <w:pStyle w:val="Prrafodelista"/>
        <w:tabs>
          <w:tab w:val="left" w:pos="426"/>
        </w:tabs>
        <w:ind w:left="0"/>
        <w:jc w:val="both"/>
        <w:rPr>
          <w:rFonts w:ascii="Work Sans" w:hAnsi="Work Sans"/>
          <w:sz w:val="20"/>
        </w:rPr>
      </w:pPr>
    </w:p>
    <w:p w:rsidR="00AD1CE0" w:rsidRPr="00AD1CE0" w:rsidRDefault="00AD1CE0" w:rsidP="00AD1CE0">
      <w:pPr>
        <w:ind w:right="-1"/>
        <w:jc w:val="both"/>
        <w:rPr>
          <w:rFonts w:ascii="Work Sans" w:hAnsi="Work Sans" w:cs="Arial"/>
          <w:iCs/>
          <w:sz w:val="20"/>
          <w:szCs w:val="20"/>
        </w:rPr>
      </w:pPr>
      <w:r>
        <w:rPr>
          <w:rFonts w:ascii="Work Sans" w:hAnsi="Work Sans"/>
          <w:sz w:val="20"/>
          <w:szCs w:val="20"/>
        </w:rPr>
        <w:t xml:space="preserve">Conforme lo anterior, el Ministerio de Transporte expidió la </w:t>
      </w:r>
      <w:r w:rsidRPr="00AD1CE0">
        <w:rPr>
          <w:rFonts w:ascii="Work Sans" w:hAnsi="Work Sans" w:cs="Courier New"/>
          <w:sz w:val="20"/>
          <w:szCs w:val="20"/>
          <w:lang w:bidi="ar-SA"/>
        </w:rPr>
        <w:t>Resolución 0003136 de 29 julio de 2019</w:t>
      </w:r>
      <w:r>
        <w:rPr>
          <w:rFonts w:ascii="Work Sans" w:hAnsi="Work Sans" w:cs="Courier New"/>
          <w:sz w:val="20"/>
          <w:szCs w:val="20"/>
          <w:lang w:bidi="ar-SA"/>
        </w:rPr>
        <w:t xml:space="preserve"> por la cual se </w:t>
      </w:r>
      <w:r w:rsidRPr="00AD1CE0">
        <w:rPr>
          <w:rFonts w:ascii="Work Sans" w:hAnsi="Work Sans" w:cs="Arial"/>
          <w:iCs/>
          <w:sz w:val="20"/>
          <w:szCs w:val="20"/>
        </w:rPr>
        <w:t>establecieron tarifas de manera temporal en la Estación de P</w:t>
      </w:r>
      <w:r>
        <w:rPr>
          <w:rFonts w:ascii="Work Sans" w:hAnsi="Work Sans" w:cs="Arial"/>
          <w:iCs/>
          <w:sz w:val="20"/>
          <w:szCs w:val="20"/>
        </w:rPr>
        <w:t>eaje denominada Altamira ubicada</w:t>
      </w:r>
      <w:r w:rsidRPr="00AD1CE0">
        <w:rPr>
          <w:rFonts w:ascii="Work Sans" w:hAnsi="Work Sans" w:cs="Arial"/>
          <w:iCs/>
          <w:sz w:val="20"/>
          <w:szCs w:val="20"/>
        </w:rPr>
        <w:t xml:space="preserve"> en el PR60+500, con ocasión de la pérdida de la banca entre el PR20+060 al PR21+0150 de la Vía Gigante-Garzón, código 4505, Departamento del Huila</w:t>
      </w:r>
      <w:r>
        <w:rPr>
          <w:rFonts w:ascii="Work Sans" w:hAnsi="Work Sans" w:cs="Arial"/>
          <w:iCs/>
          <w:sz w:val="20"/>
          <w:szCs w:val="20"/>
        </w:rPr>
        <w:t xml:space="preserve">, </w:t>
      </w:r>
      <w:r w:rsidRPr="00B05995">
        <w:rPr>
          <w:rFonts w:ascii="Work Sans" w:hAnsi="Work Sans" w:cs="Arial"/>
          <w:iCs/>
          <w:sz w:val="20"/>
          <w:szCs w:val="20"/>
        </w:rPr>
        <w:t xml:space="preserve">por el término de </w:t>
      </w:r>
      <w:r w:rsidRPr="00B05995">
        <w:rPr>
          <w:rFonts w:ascii="Work Sans" w:hAnsi="Work Sans" w:cs="Courier New"/>
          <w:sz w:val="20"/>
          <w:szCs w:val="20"/>
          <w:lang w:bidi="ar-SA"/>
        </w:rPr>
        <w:t xml:space="preserve">cuarenta y cinco </w:t>
      </w:r>
      <w:r w:rsidRPr="00B05995">
        <w:rPr>
          <w:rFonts w:ascii="Work Sans" w:hAnsi="Work Sans" w:cs="Arial"/>
          <w:iCs/>
          <w:sz w:val="20"/>
          <w:szCs w:val="20"/>
        </w:rPr>
        <w:t>(45)</w:t>
      </w:r>
      <w:r w:rsidRPr="00B05995">
        <w:rPr>
          <w:rFonts w:ascii="Work Sans" w:hAnsi="Work Sans" w:cs="Courier New"/>
          <w:sz w:val="20"/>
          <w:szCs w:val="20"/>
          <w:lang w:bidi="ar-SA"/>
        </w:rPr>
        <w:t xml:space="preserve"> </w:t>
      </w:r>
      <w:r>
        <w:rPr>
          <w:rFonts w:ascii="Work Sans" w:hAnsi="Work Sans" w:cs="Arial"/>
          <w:iCs/>
          <w:sz w:val="20"/>
          <w:szCs w:val="20"/>
        </w:rPr>
        <w:t xml:space="preserve">días calendario contados a partir de la fecha de publicación del citado acto administrativo, es decir, del 29 de julio de 2019. </w:t>
      </w:r>
    </w:p>
    <w:p w:rsidR="00AD1CE0" w:rsidRDefault="00AD1CE0" w:rsidP="00FD1340">
      <w:pPr>
        <w:pStyle w:val="Prrafodelista"/>
        <w:tabs>
          <w:tab w:val="left" w:pos="426"/>
        </w:tabs>
        <w:ind w:left="0"/>
        <w:jc w:val="both"/>
        <w:rPr>
          <w:rFonts w:ascii="Work Sans" w:hAnsi="Work Sans"/>
          <w:sz w:val="20"/>
        </w:rPr>
      </w:pPr>
    </w:p>
    <w:p w:rsidR="00F11DF8" w:rsidRDefault="00AD1CE0" w:rsidP="00AD1CE0">
      <w:pPr>
        <w:widowControl/>
        <w:suppressAutoHyphens w:val="0"/>
        <w:autoSpaceDN/>
        <w:jc w:val="both"/>
        <w:textAlignment w:val="auto"/>
        <w:rPr>
          <w:rFonts w:ascii="Work Sans" w:hAnsi="Work Sans" w:cs="Arial"/>
          <w:sz w:val="20"/>
          <w:szCs w:val="20"/>
        </w:rPr>
      </w:pPr>
      <w:r w:rsidRPr="006161C9">
        <w:rPr>
          <w:rFonts w:ascii="Work Sans" w:hAnsi="Work Sans" w:cs="Arial"/>
          <w:sz w:val="20"/>
          <w:szCs w:val="20"/>
        </w:rPr>
        <w:t xml:space="preserve">Que </w:t>
      </w:r>
      <w:r w:rsidRPr="00F11DF8">
        <w:rPr>
          <w:rFonts w:ascii="Work Sans" w:hAnsi="Work Sans" w:cs="Arial"/>
          <w:sz w:val="20"/>
          <w:szCs w:val="20"/>
        </w:rPr>
        <w:t xml:space="preserve">mediante </w:t>
      </w:r>
      <w:bookmarkStart w:id="2" w:name="_Hlk15040796"/>
      <w:r w:rsidRPr="00F11DF8">
        <w:rPr>
          <w:rFonts w:ascii="Work Sans" w:hAnsi="Work Sans" w:cs="Arial"/>
          <w:sz w:val="20"/>
          <w:szCs w:val="20"/>
        </w:rPr>
        <w:t xml:space="preserve">oficio </w:t>
      </w:r>
      <w:r w:rsidRPr="00F11DF8">
        <w:rPr>
          <w:rFonts w:ascii="Work Sans" w:hAnsi="Work Sans"/>
          <w:spacing w:val="15"/>
          <w:sz w:val="20"/>
          <w:szCs w:val="20"/>
        </w:rPr>
        <w:t xml:space="preserve">S-ANI-19-0071, con radicado en la ANI No. 2019409096553-2 </w:t>
      </w:r>
      <w:r w:rsidRPr="00F11DF8">
        <w:rPr>
          <w:rFonts w:ascii="Work Sans" w:hAnsi="Work Sans" w:cs="Arial"/>
          <w:sz w:val="20"/>
          <w:szCs w:val="20"/>
        </w:rPr>
        <w:t xml:space="preserve">del 13 de septiembre de 2019 </w:t>
      </w:r>
      <w:bookmarkStart w:id="3" w:name="_Hlk15040810"/>
      <w:bookmarkEnd w:id="2"/>
      <w:r w:rsidRPr="00F11DF8">
        <w:rPr>
          <w:rFonts w:ascii="Work Sans" w:hAnsi="Work Sans" w:cs="Arial"/>
          <w:sz w:val="20"/>
          <w:szCs w:val="20"/>
        </w:rPr>
        <w:t xml:space="preserve">el representante legal del concesionario </w:t>
      </w:r>
      <w:r w:rsidRPr="00F11DF8">
        <w:rPr>
          <w:rFonts w:ascii="Work Sans" w:hAnsi="Work Sans"/>
          <w:sz w:val="20"/>
          <w:szCs w:val="20"/>
        </w:rPr>
        <w:t>ALIADAS PARA EL PROGRESO S.A.S</w:t>
      </w:r>
      <w:r w:rsidRPr="00F11DF8">
        <w:rPr>
          <w:rFonts w:ascii="Work Sans" w:hAnsi="Work Sans" w:cs="Arial"/>
          <w:sz w:val="20"/>
          <w:szCs w:val="20"/>
        </w:rPr>
        <w:t xml:space="preserve"> señala que</w:t>
      </w:r>
      <w:r w:rsidR="00F11DF8">
        <w:rPr>
          <w:rFonts w:ascii="Work Sans" w:hAnsi="Work Sans" w:cs="Arial"/>
          <w:sz w:val="20"/>
          <w:szCs w:val="20"/>
        </w:rPr>
        <w:t>:</w:t>
      </w:r>
    </w:p>
    <w:p w:rsidR="00F11DF8" w:rsidRDefault="00F11DF8" w:rsidP="00AD1CE0">
      <w:pPr>
        <w:widowControl/>
        <w:suppressAutoHyphens w:val="0"/>
        <w:autoSpaceDN/>
        <w:jc w:val="both"/>
        <w:textAlignment w:val="auto"/>
        <w:rPr>
          <w:rFonts w:ascii="Work Sans" w:hAnsi="Work Sans" w:cs="Arial"/>
          <w:sz w:val="20"/>
          <w:szCs w:val="20"/>
        </w:rPr>
      </w:pPr>
    </w:p>
    <w:p w:rsidR="00F11DF8" w:rsidRPr="005D278E" w:rsidRDefault="00F11DF8" w:rsidP="005D278E">
      <w:pPr>
        <w:widowControl/>
        <w:suppressAutoHyphens w:val="0"/>
        <w:autoSpaceDN/>
        <w:ind w:left="567" w:right="616"/>
        <w:jc w:val="both"/>
        <w:textAlignment w:val="auto"/>
        <w:rPr>
          <w:rFonts w:ascii="Work Sans" w:hAnsi="Work Sans" w:cs="Arial"/>
          <w:i/>
          <w:iCs/>
          <w:sz w:val="18"/>
          <w:szCs w:val="22"/>
        </w:rPr>
      </w:pPr>
      <w:r w:rsidRPr="005D278E">
        <w:rPr>
          <w:rFonts w:ascii="Work Sans" w:hAnsi="Work Sans" w:cs="Arial"/>
          <w:i/>
          <w:iCs/>
          <w:sz w:val="18"/>
          <w:szCs w:val="22"/>
        </w:rPr>
        <w:t>Por medio de la presente comunicación ALIADAS PARA EL PROGRESO S.A.S. informa que a la fecha no se han superado los hechos que afectaron la transitabilidad y seguridad en el corredor vial. Por consiguiente, manifiesta lo siguiente:</w:t>
      </w:r>
    </w:p>
    <w:p w:rsidR="00F11DF8" w:rsidRPr="005D278E" w:rsidRDefault="00F11DF8" w:rsidP="005D278E">
      <w:pPr>
        <w:widowControl/>
        <w:suppressAutoHyphens w:val="0"/>
        <w:autoSpaceDN/>
        <w:ind w:left="567" w:right="616"/>
        <w:jc w:val="both"/>
        <w:textAlignment w:val="auto"/>
        <w:rPr>
          <w:rFonts w:ascii="Work Sans" w:hAnsi="Work Sans" w:cs="Arial"/>
          <w:i/>
          <w:iCs/>
          <w:sz w:val="18"/>
          <w:szCs w:val="22"/>
        </w:rPr>
      </w:pPr>
    </w:p>
    <w:p w:rsidR="00F11DF8" w:rsidRDefault="00F11DF8" w:rsidP="005D278E">
      <w:pPr>
        <w:widowControl/>
        <w:numPr>
          <w:ilvl w:val="0"/>
          <w:numId w:val="26"/>
        </w:numPr>
        <w:suppressAutoHyphens w:val="0"/>
        <w:autoSpaceDN/>
        <w:ind w:left="567" w:right="616" w:firstLine="0"/>
        <w:jc w:val="both"/>
        <w:textAlignment w:val="auto"/>
        <w:rPr>
          <w:rFonts w:ascii="Work Sans" w:hAnsi="Work Sans" w:cs="Arial"/>
          <w:i/>
          <w:iCs/>
          <w:sz w:val="18"/>
          <w:szCs w:val="22"/>
        </w:rPr>
      </w:pPr>
      <w:r w:rsidRPr="005D278E">
        <w:rPr>
          <w:rFonts w:ascii="Work Sans" w:hAnsi="Work Sans" w:cs="Arial"/>
          <w:i/>
          <w:iCs/>
          <w:sz w:val="18"/>
          <w:szCs w:val="22"/>
        </w:rPr>
        <w:t>Se acepta que se fije la disminuci</w:t>
      </w:r>
      <w:r w:rsidR="005D278E" w:rsidRPr="005D278E">
        <w:rPr>
          <w:rFonts w:ascii="Work Sans" w:hAnsi="Work Sans" w:cs="Arial"/>
          <w:i/>
          <w:iCs/>
          <w:sz w:val="18"/>
          <w:szCs w:val="22"/>
        </w:rPr>
        <w:t>ón de las tarifas del P</w:t>
      </w:r>
      <w:r w:rsidRPr="005D278E">
        <w:rPr>
          <w:rFonts w:ascii="Work Sans" w:hAnsi="Work Sans" w:cs="Arial"/>
          <w:i/>
          <w:iCs/>
          <w:sz w:val="18"/>
          <w:szCs w:val="22"/>
        </w:rPr>
        <w:t xml:space="preserve">eaje </w:t>
      </w:r>
      <w:r w:rsidR="005D278E" w:rsidRPr="005D278E">
        <w:rPr>
          <w:rFonts w:ascii="Work Sans" w:hAnsi="Work Sans" w:cs="Arial"/>
          <w:i/>
          <w:iCs/>
          <w:sz w:val="18"/>
          <w:szCs w:val="22"/>
        </w:rPr>
        <w:t>Altamira</w:t>
      </w:r>
      <w:r w:rsidRPr="005D278E">
        <w:rPr>
          <w:rFonts w:ascii="Work Sans" w:hAnsi="Work Sans" w:cs="Arial"/>
          <w:i/>
          <w:iCs/>
          <w:sz w:val="18"/>
          <w:szCs w:val="22"/>
        </w:rPr>
        <w:t xml:space="preserve"> en un 50% </w:t>
      </w:r>
      <w:r w:rsidR="005D278E" w:rsidRPr="005D278E">
        <w:rPr>
          <w:rFonts w:ascii="Work Sans" w:hAnsi="Work Sans" w:cs="Arial"/>
          <w:i/>
          <w:iCs/>
          <w:sz w:val="18"/>
          <w:szCs w:val="22"/>
        </w:rPr>
        <w:t>p</w:t>
      </w:r>
      <w:r w:rsidRPr="005D278E">
        <w:rPr>
          <w:rFonts w:ascii="Work Sans" w:hAnsi="Work Sans" w:cs="Arial"/>
          <w:i/>
          <w:iCs/>
          <w:sz w:val="18"/>
          <w:szCs w:val="22"/>
        </w:rPr>
        <w:t xml:space="preserve">or el </w:t>
      </w:r>
      <w:r w:rsidR="005D278E" w:rsidRPr="005D278E">
        <w:rPr>
          <w:rFonts w:ascii="Work Sans" w:hAnsi="Work Sans" w:cs="Arial"/>
          <w:i/>
          <w:iCs/>
          <w:sz w:val="18"/>
          <w:szCs w:val="22"/>
        </w:rPr>
        <w:t>término</w:t>
      </w:r>
      <w:r w:rsidRPr="005D278E">
        <w:rPr>
          <w:rFonts w:ascii="Work Sans" w:hAnsi="Work Sans" w:cs="Arial"/>
          <w:i/>
          <w:iCs/>
          <w:sz w:val="18"/>
          <w:szCs w:val="22"/>
        </w:rPr>
        <w:t xml:space="preserve"> </w:t>
      </w:r>
      <w:r w:rsidR="005D278E" w:rsidRPr="005D278E">
        <w:rPr>
          <w:rFonts w:ascii="Work Sans" w:hAnsi="Work Sans" w:cs="Arial"/>
          <w:i/>
          <w:iCs/>
          <w:sz w:val="18"/>
          <w:szCs w:val="22"/>
        </w:rPr>
        <w:t>de cua</w:t>
      </w:r>
      <w:r w:rsidRPr="005D278E">
        <w:rPr>
          <w:rFonts w:ascii="Work Sans" w:hAnsi="Work Sans" w:cs="Arial"/>
          <w:i/>
          <w:iCs/>
          <w:sz w:val="18"/>
          <w:szCs w:val="22"/>
        </w:rPr>
        <w:t>r</w:t>
      </w:r>
      <w:r w:rsidR="005D278E" w:rsidRPr="005D278E">
        <w:rPr>
          <w:rFonts w:ascii="Work Sans" w:hAnsi="Work Sans" w:cs="Arial"/>
          <w:i/>
          <w:iCs/>
          <w:sz w:val="18"/>
          <w:szCs w:val="22"/>
        </w:rPr>
        <w:t xml:space="preserve">enta </w:t>
      </w:r>
      <w:r w:rsidRPr="005D278E">
        <w:rPr>
          <w:rFonts w:ascii="Work Sans" w:hAnsi="Work Sans" w:cs="Arial"/>
          <w:i/>
          <w:iCs/>
          <w:sz w:val="18"/>
          <w:szCs w:val="22"/>
        </w:rPr>
        <w:t xml:space="preserve">y cinco </w:t>
      </w:r>
      <w:r w:rsidR="005D278E" w:rsidRPr="005D278E">
        <w:rPr>
          <w:rFonts w:ascii="Work Sans" w:hAnsi="Work Sans" w:cs="Arial"/>
          <w:i/>
          <w:iCs/>
          <w:sz w:val="18"/>
          <w:szCs w:val="22"/>
        </w:rPr>
        <w:t>(</w:t>
      </w:r>
      <w:r w:rsidRPr="005D278E">
        <w:rPr>
          <w:rFonts w:ascii="Work Sans" w:hAnsi="Work Sans" w:cs="Arial"/>
          <w:i/>
          <w:iCs/>
          <w:sz w:val="18"/>
          <w:szCs w:val="22"/>
        </w:rPr>
        <w:t xml:space="preserve">45) días </w:t>
      </w:r>
      <w:r w:rsidR="005D278E" w:rsidRPr="005D278E">
        <w:rPr>
          <w:rFonts w:ascii="Work Sans" w:hAnsi="Work Sans" w:cs="Arial"/>
          <w:i/>
          <w:iCs/>
          <w:sz w:val="18"/>
          <w:szCs w:val="22"/>
        </w:rPr>
        <w:t>calendarios.</w:t>
      </w:r>
    </w:p>
    <w:p w:rsidR="005D278E" w:rsidRPr="005D278E" w:rsidRDefault="005D278E" w:rsidP="005D278E">
      <w:pPr>
        <w:widowControl/>
        <w:suppressAutoHyphens w:val="0"/>
        <w:autoSpaceDN/>
        <w:ind w:left="567" w:right="616"/>
        <w:jc w:val="both"/>
        <w:textAlignment w:val="auto"/>
        <w:rPr>
          <w:rFonts w:ascii="Work Sans" w:hAnsi="Work Sans" w:cs="Arial"/>
          <w:i/>
          <w:iCs/>
          <w:sz w:val="18"/>
          <w:szCs w:val="22"/>
        </w:rPr>
      </w:pPr>
    </w:p>
    <w:p w:rsidR="00AD1CE0" w:rsidRPr="005D278E" w:rsidRDefault="005D278E" w:rsidP="005D278E">
      <w:pPr>
        <w:widowControl/>
        <w:numPr>
          <w:ilvl w:val="0"/>
          <w:numId w:val="26"/>
        </w:numPr>
        <w:suppressAutoHyphens w:val="0"/>
        <w:autoSpaceDN/>
        <w:ind w:left="567" w:right="616" w:firstLine="0"/>
        <w:jc w:val="both"/>
        <w:textAlignment w:val="auto"/>
        <w:rPr>
          <w:rFonts w:ascii="Work Sans" w:hAnsi="Work Sans" w:cs="Arial"/>
          <w:i/>
          <w:iCs/>
          <w:sz w:val="18"/>
          <w:szCs w:val="22"/>
        </w:rPr>
      </w:pPr>
      <w:r w:rsidRPr="005D278E">
        <w:rPr>
          <w:rFonts w:ascii="Work Sans" w:hAnsi="Work Sans" w:cs="Arial"/>
          <w:i/>
          <w:iCs/>
          <w:sz w:val="18"/>
          <w:szCs w:val="22"/>
        </w:rPr>
        <w:t>Teniendo en cuenta que estamos frente a una medida de mitigación de una medida extraordinaria, la concesionaria expresa que la disminución de las tarifas en el Peaje Altamira por el término de cuarenta y cinco (45) días calendarios</w:t>
      </w:r>
      <w:r w:rsidR="00AD1CE0" w:rsidRPr="005D278E">
        <w:rPr>
          <w:rFonts w:ascii="Work Sans" w:hAnsi="Work Sans" w:cs="Arial"/>
          <w:i/>
          <w:iCs/>
          <w:sz w:val="18"/>
          <w:szCs w:val="22"/>
        </w:rPr>
        <w:t xml:space="preserve"> (i) no dará lugar a la reclamación por ruptura del equilibrio económico del Contrato de Concesión, y (ii) no dará lugar a la solicitud de que se active el riesgo de cambio de tarifa de peajes.</w:t>
      </w:r>
      <w:bookmarkEnd w:id="3"/>
      <w:r>
        <w:rPr>
          <w:rFonts w:ascii="Work Sans" w:hAnsi="Work Sans" w:cs="Arial"/>
          <w:i/>
          <w:iCs/>
          <w:sz w:val="18"/>
          <w:szCs w:val="22"/>
        </w:rPr>
        <w:t>”.</w:t>
      </w:r>
    </w:p>
    <w:p w:rsidR="00AD1CE0" w:rsidRDefault="00AD1CE0" w:rsidP="00AD1CE0">
      <w:pPr>
        <w:widowControl/>
        <w:suppressAutoHyphens w:val="0"/>
        <w:autoSpaceDN/>
        <w:jc w:val="both"/>
        <w:textAlignment w:val="auto"/>
        <w:rPr>
          <w:rFonts w:ascii="Work Sans" w:hAnsi="Work Sans" w:cs="Arial"/>
          <w:sz w:val="20"/>
          <w:szCs w:val="20"/>
        </w:rPr>
      </w:pPr>
    </w:p>
    <w:p w:rsidR="00AD1CE0" w:rsidRDefault="00AD1CE0" w:rsidP="00AD1CE0">
      <w:pPr>
        <w:autoSpaceDE w:val="0"/>
        <w:adjustRightInd w:val="0"/>
        <w:ind w:right="-1"/>
        <w:jc w:val="both"/>
        <w:rPr>
          <w:rFonts w:ascii="Work Sans" w:hAnsi="Work Sans" w:cs="Arial"/>
          <w:sz w:val="20"/>
          <w:szCs w:val="20"/>
        </w:rPr>
      </w:pPr>
      <w:r w:rsidRPr="00AD1CE0">
        <w:rPr>
          <w:rFonts w:ascii="Work Sans" w:hAnsi="Work Sans" w:cs="Arial"/>
          <w:sz w:val="20"/>
          <w:szCs w:val="20"/>
        </w:rPr>
        <w:t xml:space="preserve">Que el Consorcio Interventoría NMS mediante oficio </w:t>
      </w:r>
      <w:r w:rsidR="007637C1" w:rsidRPr="005B6C08">
        <w:rPr>
          <w:rFonts w:ascii="Work Sans" w:hAnsi="Work Sans" w:cs="Arial"/>
          <w:sz w:val="20"/>
          <w:szCs w:val="20"/>
        </w:rPr>
        <w:t xml:space="preserve">INMS-448-19-950, con </w:t>
      </w:r>
      <w:r w:rsidR="007637C1" w:rsidRPr="00AD1CE0">
        <w:rPr>
          <w:rFonts w:ascii="Work Sans" w:hAnsi="Work Sans" w:cs="Arial"/>
          <w:sz w:val="20"/>
          <w:szCs w:val="20"/>
        </w:rPr>
        <w:t>número</w:t>
      </w:r>
      <w:r w:rsidR="007637C1" w:rsidRPr="005B6C08">
        <w:rPr>
          <w:rFonts w:ascii="Work Sans" w:hAnsi="Work Sans" w:cs="Arial"/>
          <w:sz w:val="20"/>
          <w:szCs w:val="20"/>
        </w:rPr>
        <w:t xml:space="preserve"> radicado en la ANI No. 2019-409-096513-2 de 13 de septiembre de 2019, manifestó con relación a la situación del corredor vial y el cobro de peajes lo siguiente:</w:t>
      </w:r>
    </w:p>
    <w:p w:rsidR="005B6C08" w:rsidRDefault="005B6C08" w:rsidP="00AD1CE0">
      <w:pPr>
        <w:autoSpaceDE w:val="0"/>
        <w:adjustRightInd w:val="0"/>
        <w:ind w:right="-1"/>
        <w:jc w:val="both"/>
        <w:rPr>
          <w:rFonts w:ascii="Work Sans" w:hAnsi="Work Sans" w:cs="Arial"/>
          <w:sz w:val="20"/>
          <w:szCs w:val="20"/>
        </w:rPr>
      </w:pPr>
    </w:p>
    <w:p w:rsidR="005B6C08" w:rsidRPr="00041AC6"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041AC6">
        <w:rPr>
          <w:rFonts w:ascii="Work Sans" w:hAnsi="Work Sans" w:cs="Arial"/>
          <w:i/>
          <w:iCs/>
          <w:sz w:val="18"/>
          <w:szCs w:val="22"/>
        </w:rPr>
        <w:t>“</w:t>
      </w:r>
      <w:r w:rsidR="00041AC6" w:rsidRPr="00041AC6">
        <w:rPr>
          <w:rFonts w:ascii="Work Sans" w:hAnsi="Work Sans" w:cs="Arial"/>
          <w:i/>
          <w:iCs/>
          <w:sz w:val="18"/>
          <w:szCs w:val="22"/>
        </w:rPr>
        <w:t>(…)</w:t>
      </w:r>
    </w:p>
    <w:p w:rsidR="00041AC6" w:rsidRPr="00041AC6" w:rsidRDefault="00041AC6"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041AC6">
        <w:rPr>
          <w:rFonts w:ascii="Work Sans" w:hAnsi="Work Sans" w:cs="Arial"/>
          <w:i/>
          <w:iCs/>
          <w:sz w:val="18"/>
          <w:szCs w:val="22"/>
        </w:rPr>
        <w:t>Actualmente se tiene:</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numPr>
          <w:ilvl w:val="0"/>
          <w:numId w:val="25"/>
        </w:numPr>
        <w:suppressAutoHyphens w:val="0"/>
        <w:autoSpaceDE w:val="0"/>
        <w:adjustRightInd w:val="0"/>
        <w:ind w:right="616"/>
        <w:jc w:val="both"/>
        <w:textAlignment w:val="auto"/>
        <w:rPr>
          <w:rFonts w:ascii="Work Sans" w:hAnsi="Work Sans" w:cs="Arial"/>
          <w:i/>
          <w:iCs/>
          <w:sz w:val="18"/>
          <w:szCs w:val="22"/>
        </w:rPr>
      </w:pPr>
      <w:r w:rsidRPr="005B6C08">
        <w:rPr>
          <w:rFonts w:ascii="Work Sans" w:hAnsi="Work Sans" w:cs="Arial"/>
          <w:i/>
          <w:iCs/>
          <w:sz w:val="18"/>
          <w:szCs w:val="22"/>
        </w:rPr>
        <w:t>Sector Pr 34 + 000 Ruta 4504.</w:t>
      </w:r>
    </w:p>
    <w:p w:rsidR="005B6C08" w:rsidRPr="005B6C08" w:rsidRDefault="005B6C08" w:rsidP="005B6C08">
      <w:pPr>
        <w:widowControl/>
        <w:suppressAutoHyphens w:val="0"/>
        <w:autoSpaceDE w:val="0"/>
        <w:adjustRightInd w:val="0"/>
        <w:ind w:left="92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El manejo del tránsito se hace de forma controlada mediante puestos fijos que</w:t>
      </w:r>
      <w:r>
        <w:rPr>
          <w:rFonts w:ascii="Work Sans" w:hAnsi="Work Sans" w:cs="Arial"/>
          <w:i/>
          <w:iCs/>
          <w:sz w:val="18"/>
          <w:szCs w:val="22"/>
        </w:rPr>
        <w:t xml:space="preserve"> </w:t>
      </w:r>
      <w:r w:rsidRPr="005B6C08">
        <w:rPr>
          <w:rFonts w:ascii="Work Sans" w:hAnsi="Work Sans" w:cs="Arial"/>
          <w:i/>
          <w:iCs/>
          <w:sz w:val="18"/>
          <w:szCs w:val="22"/>
        </w:rPr>
        <w:t>permiten la circulación en un sentido cíclicamente que conlleva a esperas</w:t>
      </w:r>
      <w:r>
        <w:rPr>
          <w:rFonts w:ascii="Work Sans" w:hAnsi="Work Sans" w:cs="Arial"/>
          <w:i/>
          <w:iCs/>
          <w:sz w:val="18"/>
          <w:szCs w:val="22"/>
        </w:rPr>
        <w:t xml:space="preserve"> </w:t>
      </w:r>
      <w:r w:rsidRPr="005B6C08">
        <w:rPr>
          <w:rFonts w:ascii="Work Sans" w:hAnsi="Work Sans" w:cs="Arial"/>
          <w:i/>
          <w:iCs/>
          <w:sz w:val="18"/>
          <w:szCs w:val="22"/>
        </w:rPr>
        <w:t>cercanas a los 20 minutos.</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Los trabajos necesarios para restablecer la vía a dos carriles requirió del trámite</w:t>
      </w:r>
      <w:r>
        <w:rPr>
          <w:rFonts w:ascii="Work Sans" w:hAnsi="Work Sans" w:cs="Arial"/>
          <w:i/>
          <w:iCs/>
          <w:sz w:val="18"/>
          <w:szCs w:val="22"/>
        </w:rPr>
        <w:t xml:space="preserve"> </w:t>
      </w:r>
      <w:r w:rsidRPr="005B6C08">
        <w:rPr>
          <w:rFonts w:ascii="Work Sans" w:hAnsi="Work Sans" w:cs="Arial"/>
          <w:i/>
          <w:iCs/>
          <w:sz w:val="18"/>
          <w:szCs w:val="22"/>
        </w:rPr>
        <w:t>de un OTROSI al contrato de concesión N° 012 de 2.015; dado el estado de —incumplimiento grave en el que se encuentra y la incapacidad para atender las</w:t>
      </w:r>
      <w:r>
        <w:rPr>
          <w:rFonts w:ascii="Work Sans" w:hAnsi="Work Sans" w:cs="Arial"/>
          <w:i/>
          <w:iCs/>
          <w:sz w:val="18"/>
          <w:szCs w:val="22"/>
        </w:rPr>
        <w:t xml:space="preserve"> </w:t>
      </w:r>
      <w:r w:rsidRPr="005B6C08">
        <w:rPr>
          <w:rFonts w:ascii="Work Sans" w:hAnsi="Work Sans" w:cs="Arial"/>
          <w:i/>
          <w:iCs/>
          <w:sz w:val="18"/>
          <w:szCs w:val="22"/>
        </w:rPr>
        <w:t>obligaciones. La única manera fue la elaboración de un documento que</w:t>
      </w:r>
      <w:r>
        <w:rPr>
          <w:rFonts w:ascii="Work Sans" w:hAnsi="Work Sans" w:cs="Arial"/>
          <w:i/>
          <w:iCs/>
          <w:sz w:val="18"/>
          <w:szCs w:val="22"/>
        </w:rPr>
        <w:t xml:space="preserve"> </w:t>
      </w:r>
      <w:r w:rsidRPr="005B6C08">
        <w:rPr>
          <w:rFonts w:ascii="Work Sans" w:hAnsi="Work Sans" w:cs="Arial"/>
          <w:i/>
          <w:iCs/>
          <w:sz w:val="18"/>
          <w:szCs w:val="22"/>
        </w:rPr>
        <w:t>permitiera la creación de una subcuenta en el Patrimonio Autónomo con</w:t>
      </w:r>
      <w:r>
        <w:rPr>
          <w:rFonts w:ascii="Work Sans" w:hAnsi="Work Sans" w:cs="Arial"/>
          <w:i/>
          <w:iCs/>
          <w:sz w:val="18"/>
          <w:szCs w:val="22"/>
        </w:rPr>
        <w:t xml:space="preserve"> </w:t>
      </w:r>
      <w:r w:rsidRPr="005B6C08">
        <w:rPr>
          <w:rFonts w:ascii="Work Sans" w:hAnsi="Work Sans" w:cs="Arial"/>
          <w:i/>
          <w:iCs/>
          <w:sz w:val="18"/>
          <w:szCs w:val="22"/>
        </w:rPr>
        <w:t>destinación especifica y el traslado de recursos no necesarios actualmente en</w:t>
      </w:r>
      <w:r>
        <w:rPr>
          <w:rFonts w:ascii="Work Sans" w:hAnsi="Work Sans" w:cs="Arial"/>
          <w:i/>
          <w:iCs/>
          <w:sz w:val="18"/>
          <w:szCs w:val="22"/>
        </w:rPr>
        <w:t xml:space="preserve"> </w:t>
      </w:r>
      <w:r w:rsidRPr="005B6C08">
        <w:rPr>
          <w:rFonts w:ascii="Work Sans" w:hAnsi="Work Sans" w:cs="Arial"/>
          <w:i/>
          <w:iCs/>
          <w:sz w:val="18"/>
          <w:szCs w:val="22"/>
        </w:rPr>
        <w:t>cuentas del Patrimonio autónomo.</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Los trámites para la elaboración conllevaron el análisis desde diferentes áreas</w:t>
      </w:r>
      <w:r>
        <w:rPr>
          <w:rFonts w:ascii="Work Sans" w:hAnsi="Work Sans" w:cs="Arial"/>
          <w:i/>
          <w:iCs/>
          <w:sz w:val="18"/>
          <w:szCs w:val="22"/>
        </w:rPr>
        <w:t xml:space="preserve"> </w:t>
      </w:r>
      <w:r w:rsidRPr="005B6C08">
        <w:rPr>
          <w:rFonts w:ascii="Work Sans" w:hAnsi="Work Sans" w:cs="Arial"/>
          <w:i/>
          <w:iCs/>
          <w:sz w:val="18"/>
          <w:szCs w:val="22"/>
        </w:rPr>
        <w:t>logrando su firma el 12 de agosto de 2.019: Previa a la ejecución debieron</w:t>
      </w:r>
      <w:r>
        <w:rPr>
          <w:rFonts w:ascii="Work Sans" w:hAnsi="Work Sans" w:cs="Arial"/>
          <w:i/>
          <w:iCs/>
          <w:sz w:val="18"/>
          <w:szCs w:val="22"/>
        </w:rPr>
        <w:t xml:space="preserve"> </w:t>
      </w:r>
      <w:r w:rsidRPr="005B6C08">
        <w:rPr>
          <w:rFonts w:ascii="Work Sans" w:hAnsi="Work Sans" w:cs="Arial"/>
          <w:i/>
          <w:iCs/>
          <w:sz w:val="18"/>
          <w:szCs w:val="22"/>
        </w:rPr>
        <w:t>cumplirse ciertos requisitos de parte de Aliadas para el Progreso S.A.S y</w:t>
      </w:r>
      <w:r>
        <w:rPr>
          <w:rFonts w:ascii="Work Sans" w:hAnsi="Work Sans" w:cs="Arial"/>
          <w:i/>
          <w:iCs/>
          <w:sz w:val="18"/>
          <w:szCs w:val="22"/>
        </w:rPr>
        <w:t xml:space="preserve"> </w:t>
      </w:r>
      <w:r w:rsidRPr="005B6C08">
        <w:rPr>
          <w:rFonts w:ascii="Work Sans" w:hAnsi="Work Sans" w:cs="Arial"/>
          <w:i/>
          <w:iCs/>
          <w:sz w:val="18"/>
          <w:szCs w:val="22"/>
        </w:rPr>
        <w:t>desarrollar la logistica necesaria. Solo el 27 de agosto hizo presencia en el sitio</w:t>
      </w:r>
      <w:r>
        <w:rPr>
          <w:rFonts w:ascii="Work Sans" w:hAnsi="Work Sans" w:cs="Arial"/>
          <w:i/>
          <w:iCs/>
          <w:sz w:val="18"/>
          <w:szCs w:val="22"/>
        </w:rPr>
        <w:t xml:space="preserve"> </w:t>
      </w:r>
      <w:r w:rsidRPr="005B6C08">
        <w:rPr>
          <w:rFonts w:ascii="Work Sans" w:hAnsi="Work Sans" w:cs="Arial"/>
          <w:i/>
          <w:iCs/>
          <w:sz w:val="18"/>
          <w:szCs w:val="22"/>
        </w:rPr>
        <w:t>personal encargado para acometer preliminares y adecuación del sitio.</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Con los recursos disponibles y el cronograma de ejecución, ajustado a los</w:t>
      </w:r>
      <w:r>
        <w:rPr>
          <w:rFonts w:ascii="Work Sans" w:hAnsi="Work Sans" w:cs="Arial"/>
          <w:i/>
          <w:iCs/>
          <w:sz w:val="18"/>
          <w:szCs w:val="22"/>
        </w:rPr>
        <w:t xml:space="preserve"> </w:t>
      </w:r>
      <w:r w:rsidRPr="005B6C08">
        <w:rPr>
          <w:rFonts w:ascii="Work Sans" w:hAnsi="Work Sans" w:cs="Arial"/>
          <w:i/>
          <w:iCs/>
          <w:sz w:val="18"/>
          <w:szCs w:val="22"/>
        </w:rPr>
        <w:t>tiempos requeridos según actividades faltantes, secuencia constructiva y cierta</w:t>
      </w:r>
      <w:r>
        <w:rPr>
          <w:rFonts w:ascii="Work Sans" w:hAnsi="Work Sans" w:cs="Arial"/>
          <w:i/>
          <w:iCs/>
          <w:sz w:val="18"/>
          <w:szCs w:val="22"/>
        </w:rPr>
        <w:t xml:space="preserve"> </w:t>
      </w:r>
      <w:r w:rsidRPr="005B6C08">
        <w:rPr>
          <w:rFonts w:ascii="Work Sans" w:hAnsi="Work Sans" w:cs="Arial"/>
          <w:i/>
          <w:iCs/>
          <w:sz w:val="18"/>
          <w:szCs w:val="22"/>
        </w:rPr>
        <w:t>holgura conllevan a una fecha de apertura al tránsito por ese segundo carril en</w:t>
      </w:r>
      <w:r>
        <w:rPr>
          <w:rFonts w:ascii="Work Sans" w:hAnsi="Work Sans" w:cs="Arial"/>
          <w:i/>
          <w:iCs/>
          <w:sz w:val="18"/>
          <w:szCs w:val="22"/>
        </w:rPr>
        <w:t xml:space="preserve"> </w:t>
      </w:r>
      <w:r w:rsidRPr="005B6C08">
        <w:rPr>
          <w:rFonts w:ascii="Work Sans" w:hAnsi="Work Sans" w:cs="Arial"/>
          <w:i/>
          <w:iCs/>
          <w:sz w:val="18"/>
          <w:szCs w:val="22"/>
        </w:rPr>
        <w:t>la segunda semana de octubre.</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numPr>
          <w:ilvl w:val="0"/>
          <w:numId w:val="25"/>
        </w:numPr>
        <w:suppressAutoHyphens w:val="0"/>
        <w:autoSpaceDE w:val="0"/>
        <w:adjustRightInd w:val="0"/>
        <w:ind w:right="616"/>
        <w:jc w:val="both"/>
        <w:textAlignment w:val="auto"/>
        <w:rPr>
          <w:rFonts w:ascii="Work Sans" w:hAnsi="Work Sans" w:cs="Arial"/>
          <w:i/>
          <w:iCs/>
          <w:sz w:val="18"/>
          <w:szCs w:val="22"/>
        </w:rPr>
      </w:pPr>
      <w:r w:rsidRPr="005B6C08">
        <w:rPr>
          <w:rFonts w:ascii="Work Sans" w:hAnsi="Work Sans" w:cs="Arial"/>
          <w:i/>
          <w:iCs/>
          <w:sz w:val="18"/>
          <w:szCs w:val="22"/>
        </w:rPr>
        <w:t>Sector PR 21 + 0065 Ruta Nacional 4505 Sector Bengala.</w:t>
      </w:r>
    </w:p>
    <w:p w:rsidR="005B6C08" w:rsidRPr="005B6C08" w:rsidRDefault="005B6C08" w:rsidP="005B6C08">
      <w:pPr>
        <w:widowControl/>
        <w:suppressAutoHyphens w:val="0"/>
        <w:autoSpaceDE w:val="0"/>
        <w:adjustRightInd w:val="0"/>
        <w:ind w:left="92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La pérdida de banca el 18 de julio de 2.019 obligó al cierre total de la vía entre</w:t>
      </w:r>
      <w:r>
        <w:rPr>
          <w:rFonts w:ascii="Work Sans" w:hAnsi="Work Sans" w:cs="Arial"/>
          <w:i/>
          <w:iCs/>
          <w:sz w:val="18"/>
          <w:szCs w:val="22"/>
        </w:rPr>
        <w:t xml:space="preserve"> </w:t>
      </w:r>
      <w:r w:rsidRPr="005B6C08">
        <w:rPr>
          <w:rFonts w:ascii="Work Sans" w:hAnsi="Work Sans" w:cs="Arial"/>
          <w:i/>
          <w:iCs/>
          <w:sz w:val="18"/>
          <w:szCs w:val="22"/>
        </w:rPr>
        <w:t>Gigante y Garzón obligando a utilizar vi as alternas: Para tráfico liviano por</w:t>
      </w:r>
      <w:r>
        <w:rPr>
          <w:rFonts w:ascii="Work Sans" w:hAnsi="Work Sans" w:cs="Arial"/>
          <w:i/>
          <w:iCs/>
          <w:sz w:val="18"/>
          <w:szCs w:val="22"/>
        </w:rPr>
        <w:t xml:space="preserve"> </w:t>
      </w:r>
      <w:r w:rsidRPr="005B6C08">
        <w:rPr>
          <w:rFonts w:ascii="Work Sans" w:hAnsi="Work Sans" w:cs="Arial"/>
          <w:i/>
          <w:iCs/>
          <w:sz w:val="18"/>
          <w:szCs w:val="22"/>
        </w:rPr>
        <w:t>Zuluaga y para tráfico pesado por La Plata. Los trabajos para habilitar un paso</w:t>
      </w:r>
      <w:r>
        <w:rPr>
          <w:rFonts w:ascii="Work Sans" w:hAnsi="Work Sans" w:cs="Arial"/>
          <w:i/>
          <w:iCs/>
          <w:sz w:val="18"/>
          <w:szCs w:val="22"/>
        </w:rPr>
        <w:t xml:space="preserve"> </w:t>
      </w:r>
      <w:r w:rsidRPr="005B6C08">
        <w:rPr>
          <w:rFonts w:ascii="Work Sans" w:hAnsi="Work Sans" w:cs="Arial"/>
          <w:i/>
          <w:iCs/>
          <w:sz w:val="18"/>
          <w:szCs w:val="22"/>
        </w:rPr>
        <w:t>provisional se adelantaron entre el 30 de julio y el 20 de agosto de 2.019 fecha</w:t>
      </w:r>
      <w:r>
        <w:rPr>
          <w:rFonts w:ascii="Work Sans" w:hAnsi="Work Sans" w:cs="Arial"/>
          <w:i/>
          <w:iCs/>
          <w:sz w:val="18"/>
          <w:szCs w:val="22"/>
        </w:rPr>
        <w:t xml:space="preserve"> </w:t>
      </w:r>
      <w:r w:rsidRPr="005B6C08">
        <w:rPr>
          <w:rFonts w:ascii="Work Sans" w:hAnsi="Work Sans" w:cs="Arial"/>
          <w:i/>
          <w:iCs/>
          <w:sz w:val="18"/>
          <w:szCs w:val="22"/>
        </w:rPr>
        <w:t>en la que se dio apertura al tráfico con restricción a un canil. El tiempo de</w:t>
      </w:r>
      <w:r>
        <w:rPr>
          <w:rFonts w:ascii="Work Sans" w:hAnsi="Work Sans" w:cs="Arial"/>
          <w:i/>
          <w:iCs/>
          <w:sz w:val="18"/>
          <w:szCs w:val="22"/>
        </w:rPr>
        <w:t xml:space="preserve"> </w:t>
      </w:r>
      <w:r w:rsidRPr="005B6C08">
        <w:rPr>
          <w:rFonts w:ascii="Work Sans" w:hAnsi="Work Sans" w:cs="Arial"/>
          <w:i/>
          <w:iCs/>
          <w:sz w:val="18"/>
          <w:szCs w:val="22"/>
        </w:rPr>
        <w:t>espera, dependiendo de la cantidad de vehiculos puede ser de 15 minutos.</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A la fecha Enel —Emgesa como responsable de las obras para atender la</w:t>
      </w:r>
      <w:r>
        <w:rPr>
          <w:rFonts w:ascii="Work Sans" w:hAnsi="Work Sans" w:cs="Arial"/>
          <w:i/>
          <w:iCs/>
          <w:sz w:val="18"/>
          <w:szCs w:val="22"/>
        </w:rPr>
        <w:t xml:space="preserve"> </w:t>
      </w:r>
      <w:r w:rsidRPr="005B6C08">
        <w:rPr>
          <w:rFonts w:ascii="Work Sans" w:hAnsi="Work Sans" w:cs="Arial"/>
          <w:i/>
          <w:iCs/>
          <w:sz w:val="18"/>
          <w:szCs w:val="22"/>
        </w:rPr>
        <w:t>restitución de la banca en forma definitiva no ha entregado los diseños de la</w:t>
      </w:r>
      <w:r>
        <w:rPr>
          <w:rFonts w:ascii="Work Sans" w:hAnsi="Work Sans" w:cs="Arial"/>
          <w:i/>
          <w:iCs/>
          <w:sz w:val="18"/>
          <w:szCs w:val="22"/>
        </w:rPr>
        <w:t xml:space="preserve"> </w:t>
      </w:r>
      <w:r w:rsidRPr="005B6C08">
        <w:rPr>
          <w:rFonts w:ascii="Work Sans" w:hAnsi="Work Sans" w:cs="Arial"/>
          <w:i/>
          <w:iCs/>
          <w:sz w:val="18"/>
          <w:szCs w:val="22"/>
        </w:rPr>
        <w:t>solución a aplicar ni tampoco el cronograma para la construcción de estas</w:t>
      </w:r>
      <w:r>
        <w:rPr>
          <w:rFonts w:ascii="Work Sans" w:hAnsi="Work Sans" w:cs="Arial"/>
          <w:i/>
          <w:iCs/>
          <w:sz w:val="18"/>
          <w:szCs w:val="22"/>
        </w:rPr>
        <w:t xml:space="preserve"> </w:t>
      </w:r>
      <w:r w:rsidRPr="005B6C08">
        <w:rPr>
          <w:rFonts w:ascii="Work Sans" w:hAnsi="Work Sans" w:cs="Arial"/>
          <w:i/>
          <w:iCs/>
          <w:sz w:val="18"/>
          <w:szCs w:val="22"/>
        </w:rPr>
        <w:t>obras.</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De otra parte, entendiendo la circunstancia actual que afecta a la comunidad, dado el</w:t>
      </w:r>
      <w:r>
        <w:rPr>
          <w:rFonts w:ascii="Work Sans" w:hAnsi="Work Sans" w:cs="Arial"/>
          <w:i/>
          <w:iCs/>
          <w:sz w:val="18"/>
          <w:szCs w:val="22"/>
        </w:rPr>
        <w:t xml:space="preserve"> </w:t>
      </w:r>
      <w:r w:rsidRPr="005B6C08">
        <w:rPr>
          <w:rFonts w:ascii="Work Sans" w:hAnsi="Work Sans" w:cs="Arial"/>
          <w:i/>
          <w:iCs/>
          <w:sz w:val="18"/>
          <w:szCs w:val="22"/>
        </w:rPr>
        <w:t>regular o mal estado de la infraestructura vial, hecho que se complementa con la</w:t>
      </w:r>
      <w:r>
        <w:rPr>
          <w:rFonts w:ascii="Work Sans" w:hAnsi="Work Sans" w:cs="Arial"/>
          <w:i/>
          <w:iCs/>
          <w:sz w:val="18"/>
          <w:szCs w:val="22"/>
        </w:rPr>
        <w:t xml:space="preserve"> </w:t>
      </w:r>
      <w:r w:rsidRPr="005B6C08">
        <w:rPr>
          <w:rFonts w:ascii="Work Sans" w:hAnsi="Work Sans" w:cs="Arial"/>
          <w:i/>
          <w:iCs/>
          <w:sz w:val="18"/>
          <w:szCs w:val="22"/>
        </w:rPr>
        <w:t>inestabilidad del corredor surgido en el Pr 21 + 00</w:t>
      </w:r>
      <w:r>
        <w:rPr>
          <w:rFonts w:ascii="Work Sans" w:hAnsi="Work Sans" w:cs="Arial"/>
          <w:i/>
          <w:iCs/>
          <w:sz w:val="18"/>
          <w:szCs w:val="22"/>
        </w:rPr>
        <w:t xml:space="preserve">65 entre Gigante y Garzón aunado </w:t>
      </w:r>
      <w:r w:rsidRPr="005B6C08">
        <w:rPr>
          <w:rFonts w:ascii="Work Sans" w:hAnsi="Work Sans" w:cs="Arial"/>
          <w:i/>
          <w:iCs/>
          <w:sz w:val="18"/>
          <w:szCs w:val="22"/>
        </w:rPr>
        <w:t>a la problemática de Pericongo y para facilitar la toma de decisiones por parte de la</w:t>
      </w:r>
      <w:r>
        <w:rPr>
          <w:rFonts w:ascii="Work Sans" w:hAnsi="Work Sans" w:cs="Arial"/>
          <w:i/>
          <w:iCs/>
          <w:sz w:val="18"/>
          <w:szCs w:val="22"/>
        </w:rPr>
        <w:t xml:space="preserve"> </w:t>
      </w:r>
      <w:r w:rsidRPr="005B6C08">
        <w:rPr>
          <w:rFonts w:ascii="Work Sans" w:hAnsi="Work Sans" w:cs="Arial"/>
          <w:i/>
          <w:iCs/>
          <w:sz w:val="18"/>
          <w:szCs w:val="22"/>
        </w:rPr>
        <w:t xml:space="preserve">ANI </w:t>
      </w:r>
      <w:r>
        <w:rPr>
          <w:rFonts w:ascii="Work Sans" w:hAnsi="Work Sans" w:cs="Arial"/>
          <w:i/>
          <w:iCs/>
          <w:sz w:val="18"/>
          <w:szCs w:val="22"/>
        </w:rPr>
        <w:t>en su discrecionalidad y autonom</w:t>
      </w:r>
      <w:r w:rsidRPr="005B6C08">
        <w:rPr>
          <w:rFonts w:ascii="Work Sans" w:hAnsi="Work Sans" w:cs="Arial"/>
          <w:i/>
          <w:iCs/>
          <w:sz w:val="18"/>
          <w:szCs w:val="22"/>
        </w:rPr>
        <w:t>ía, es necesario acudir a la finalidad del Estado</w:t>
      </w:r>
      <w:r>
        <w:rPr>
          <w:rFonts w:ascii="Work Sans" w:hAnsi="Work Sans" w:cs="Arial"/>
          <w:i/>
          <w:iCs/>
          <w:sz w:val="18"/>
          <w:szCs w:val="22"/>
        </w:rPr>
        <w:t xml:space="preserve"> </w:t>
      </w:r>
      <w:r w:rsidRPr="005B6C08">
        <w:rPr>
          <w:rFonts w:ascii="Work Sans" w:hAnsi="Work Sans" w:cs="Arial"/>
          <w:i/>
          <w:iCs/>
          <w:sz w:val="18"/>
          <w:szCs w:val="22"/>
        </w:rPr>
        <w:t>como es el velar por la mitigación de los impactos en los tiempos de viaje de los</w:t>
      </w:r>
      <w:r>
        <w:rPr>
          <w:rFonts w:ascii="Work Sans" w:hAnsi="Work Sans" w:cs="Arial"/>
          <w:i/>
          <w:iCs/>
          <w:sz w:val="18"/>
          <w:szCs w:val="22"/>
        </w:rPr>
        <w:t xml:space="preserve"> </w:t>
      </w:r>
      <w:r w:rsidRPr="005B6C08">
        <w:rPr>
          <w:rFonts w:ascii="Work Sans" w:hAnsi="Work Sans" w:cs="Arial"/>
          <w:i/>
          <w:iCs/>
          <w:sz w:val="18"/>
          <w:szCs w:val="22"/>
        </w:rPr>
        <w:t>usuarios y en el costo de los fletes de las mercancías.</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Por lo anterior se debe considerar, que al no haberse ejecutado parte de las actividades</w:t>
      </w:r>
      <w:r>
        <w:rPr>
          <w:rFonts w:ascii="Work Sans" w:hAnsi="Work Sans" w:cs="Arial"/>
          <w:i/>
          <w:iCs/>
          <w:sz w:val="18"/>
          <w:szCs w:val="22"/>
        </w:rPr>
        <w:t xml:space="preserve"> </w:t>
      </w:r>
      <w:r w:rsidRPr="005B6C08">
        <w:rPr>
          <w:rFonts w:ascii="Work Sans" w:hAnsi="Work Sans" w:cs="Arial"/>
          <w:i/>
          <w:iCs/>
          <w:sz w:val="18"/>
          <w:szCs w:val="22"/>
        </w:rPr>
        <w:t>que motivaron la resolución 003136 hay necesidad de continuar con los beneficios a</w:t>
      </w:r>
      <w:r>
        <w:rPr>
          <w:rFonts w:ascii="Work Sans" w:hAnsi="Work Sans" w:cs="Arial"/>
          <w:i/>
          <w:iCs/>
          <w:sz w:val="18"/>
          <w:szCs w:val="22"/>
        </w:rPr>
        <w:t xml:space="preserve"> </w:t>
      </w:r>
      <w:r w:rsidRPr="005B6C08">
        <w:rPr>
          <w:rFonts w:ascii="Work Sans" w:hAnsi="Work Sans" w:cs="Arial"/>
          <w:i/>
          <w:iCs/>
          <w:sz w:val="18"/>
          <w:szCs w:val="22"/>
        </w:rPr>
        <w:t>los usuarios mediante la aplicación de tarifas reducidas por un tiempo prudencial que</w:t>
      </w:r>
      <w:r>
        <w:rPr>
          <w:rFonts w:ascii="Work Sans" w:hAnsi="Work Sans" w:cs="Arial"/>
          <w:i/>
          <w:iCs/>
          <w:sz w:val="18"/>
          <w:szCs w:val="22"/>
        </w:rPr>
        <w:t xml:space="preserve"> </w:t>
      </w:r>
      <w:r w:rsidRPr="005B6C08">
        <w:rPr>
          <w:rFonts w:ascii="Work Sans" w:hAnsi="Work Sans" w:cs="Arial"/>
          <w:i/>
          <w:iCs/>
          <w:sz w:val="18"/>
          <w:szCs w:val="22"/>
        </w:rPr>
        <w:t>puede</w:t>
      </w:r>
      <w:r>
        <w:rPr>
          <w:rFonts w:ascii="Work Sans" w:hAnsi="Work Sans" w:cs="Arial"/>
          <w:i/>
          <w:iCs/>
          <w:sz w:val="18"/>
          <w:szCs w:val="22"/>
        </w:rPr>
        <w:t xml:space="preserve"> ser de cuarenta y cinco (45) dí</w:t>
      </w:r>
      <w:r w:rsidRPr="005B6C08">
        <w:rPr>
          <w:rFonts w:ascii="Work Sans" w:hAnsi="Work Sans" w:cs="Arial"/>
          <w:i/>
          <w:iCs/>
          <w:sz w:val="18"/>
          <w:szCs w:val="22"/>
        </w:rPr>
        <w:t>as calendario.</w:t>
      </w: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p>
    <w:p w:rsidR="005B6C08" w:rsidRPr="005B6C08" w:rsidRDefault="005B6C08" w:rsidP="005B6C08">
      <w:pPr>
        <w:widowControl/>
        <w:suppressAutoHyphens w:val="0"/>
        <w:autoSpaceDE w:val="0"/>
        <w:adjustRightInd w:val="0"/>
        <w:ind w:left="567" w:right="616"/>
        <w:jc w:val="both"/>
        <w:textAlignment w:val="auto"/>
        <w:rPr>
          <w:rFonts w:ascii="Work Sans" w:hAnsi="Work Sans" w:cs="Arial"/>
          <w:i/>
          <w:iCs/>
          <w:sz w:val="18"/>
          <w:szCs w:val="22"/>
        </w:rPr>
      </w:pPr>
      <w:r w:rsidRPr="005B6C08">
        <w:rPr>
          <w:rFonts w:ascii="Work Sans" w:hAnsi="Work Sans" w:cs="Arial"/>
          <w:i/>
          <w:iCs/>
          <w:sz w:val="18"/>
          <w:szCs w:val="22"/>
        </w:rPr>
        <w:t>Importante tener en cuenta que el concesionario ALIADAS PARA EL PROGRESO</w:t>
      </w:r>
      <w:r>
        <w:rPr>
          <w:rFonts w:ascii="Work Sans" w:hAnsi="Work Sans" w:cs="Arial"/>
          <w:i/>
          <w:iCs/>
          <w:sz w:val="18"/>
          <w:szCs w:val="22"/>
        </w:rPr>
        <w:t xml:space="preserve"> </w:t>
      </w:r>
      <w:r w:rsidRPr="005B6C08">
        <w:rPr>
          <w:rFonts w:ascii="Work Sans" w:hAnsi="Work Sans" w:cs="Arial"/>
          <w:i/>
          <w:iCs/>
          <w:sz w:val="18"/>
          <w:szCs w:val="22"/>
        </w:rPr>
        <w:t>S.A.S como responsable del corredor debe conceptuar sobre la posibilidad de aplicar</w:t>
      </w:r>
      <w:r>
        <w:rPr>
          <w:rFonts w:ascii="Work Sans" w:hAnsi="Work Sans" w:cs="Arial"/>
          <w:i/>
          <w:iCs/>
          <w:sz w:val="18"/>
          <w:szCs w:val="22"/>
        </w:rPr>
        <w:t xml:space="preserve"> </w:t>
      </w:r>
      <w:r w:rsidRPr="005B6C08">
        <w:rPr>
          <w:rFonts w:ascii="Work Sans" w:hAnsi="Work Sans" w:cs="Arial"/>
          <w:i/>
          <w:iCs/>
          <w:sz w:val="18"/>
          <w:szCs w:val="22"/>
        </w:rPr>
        <w:t>estas tarifas, su implicación en el recaudo y cuál es el tiempo que estiman prudente</w:t>
      </w:r>
      <w:r>
        <w:rPr>
          <w:rFonts w:ascii="Work Sans" w:hAnsi="Work Sans" w:cs="Arial"/>
          <w:i/>
          <w:iCs/>
          <w:sz w:val="18"/>
          <w:szCs w:val="22"/>
        </w:rPr>
        <w:t xml:space="preserve"> </w:t>
      </w:r>
      <w:r w:rsidRPr="005B6C08">
        <w:rPr>
          <w:rFonts w:ascii="Work Sans" w:hAnsi="Work Sans" w:cs="Arial"/>
          <w:i/>
          <w:iCs/>
          <w:sz w:val="18"/>
          <w:szCs w:val="22"/>
        </w:rPr>
        <w:t>puede accederse a esos beneficios.</w:t>
      </w:r>
      <w:r>
        <w:rPr>
          <w:rFonts w:ascii="Work Sans" w:hAnsi="Work Sans" w:cs="Arial"/>
          <w:i/>
          <w:iCs/>
          <w:sz w:val="18"/>
          <w:szCs w:val="22"/>
        </w:rPr>
        <w:t>”.</w:t>
      </w:r>
    </w:p>
    <w:p w:rsidR="005B6C08" w:rsidRPr="00AD1CE0" w:rsidRDefault="005B6C08" w:rsidP="00AD1CE0">
      <w:pPr>
        <w:autoSpaceDE w:val="0"/>
        <w:adjustRightInd w:val="0"/>
        <w:ind w:right="-1"/>
        <w:jc w:val="both"/>
        <w:rPr>
          <w:rFonts w:ascii="Work Sans" w:hAnsi="Work Sans" w:cs="Arial"/>
          <w:kern w:val="0"/>
          <w:sz w:val="20"/>
          <w:szCs w:val="20"/>
          <w:lang w:val="es-CO" w:eastAsia="en-US" w:bidi="ar-SA"/>
        </w:rPr>
      </w:pPr>
    </w:p>
    <w:p w:rsidR="00FD1340" w:rsidRDefault="00813634" w:rsidP="005B6C08">
      <w:pPr>
        <w:widowControl/>
        <w:suppressAutoHyphens w:val="0"/>
        <w:autoSpaceDN/>
        <w:ind w:right="-1"/>
        <w:jc w:val="both"/>
        <w:textAlignment w:val="auto"/>
        <w:rPr>
          <w:rFonts w:ascii="Work Sans" w:hAnsi="Work Sans"/>
          <w:sz w:val="20"/>
        </w:rPr>
      </w:pPr>
      <w:r w:rsidRPr="007B0CC2">
        <w:rPr>
          <w:rFonts w:ascii="Work Sans" w:hAnsi="Work Sans"/>
          <w:sz w:val="20"/>
        </w:rPr>
        <w:t xml:space="preserve">Que mediante oficio </w:t>
      </w:r>
      <w:r w:rsidR="005B6C08">
        <w:rPr>
          <w:rFonts w:ascii="Work Sans" w:hAnsi="Work Sans"/>
          <w:sz w:val="20"/>
        </w:rPr>
        <w:t xml:space="preserve">ANI </w:t>
      </w:r>
      <w:r w:rsidR="005B6C08" w:rsidRPr="00F11DF8">
        <w:rPr>
          <w:rFonts w:ascii="Work Sans" w:hAnsi="Work Sans"/>
          <w:sz w:val="20"/>
        </w:rPr>
        <w:t>2019-101-0318</w:t>
      </w:r>
      <w:r w:rsidR="00D27C5D" w:rsidRPr="00F11DF8">
        <w:rPr>
          <w:rFonts w:ascii="Work Sans" w:hAnsi="Work Sans"/>
          <w:sz w:val="20"/>
        </w:rPr>
        <w:t>,</w:t>
      </w:r>
      <w:r w:rsidR="005B6C08" w:rsidRPr="00F11DF8">
        <w:rPr>
          <w:rFonts w:ascii="Work Sans" w:hAnsi="Work Sans"/>
          <w:sz w:val="20"/>
        </w:rPr>
        <w:t xml:space="preserve"> radicado </w:t>
      </w:r>
      <w:r w:rsidR="00F11DF8" w:rsidRPr="00F11DF8">
        <w:rPr>
          <w:rFonts w:ascii="Work Sans" w:hAnsi="Work Sans"/>
          <w:sz w:val="20"/>
        </w:rPr>
        <w:t xml:space="preserve">en el Ministerio de Transporte </w:t>
      </w:r>
      <w:r w:rsidR="005B6C08" w:rsidRPr="00F11DF8">
        <w:rPr>
          <w:rFonts w:ascii="Work Sans" w:hAnsi="Work Sans"/>
          <w:sz w:val="20"/>
        </w:rPr>
        <w:t>con número 20193210615162 del 17 de septiembre de 2019</w:t>
      </w:r>
      <w:r w:rsidR="00F11DF8" w:rsidRPr="00F11DF8">
        <w:rPr>
          <w:rFonts w:ascii="Work Sans" w:hAnsi="Work Sans"/>
          <w:sz w:val="20"/>
        </w:rPr>
        <w:t xml:space="preserve">, </w:t>
      </w:r>
      <w:r w:rsidRPr="00F11DF8">
        <w:rPr>
          <w:rFonts w:ascii="Work Sans" w:hAnsi="Work Sans"/>
          <w:sz w:val="20"/>
        </w:rPr>
        <w:t>la Agencia</w:t>
      </w:r>
      <w:r w:rsidRPr="007B0CC2">
        <w:rPr>
          <w:rFonts w:ascii="Work Sans" w:hAnsi="Work Sans"/>
          <w:sz w:val="20"/>
        </w:rPr>
        <w:t xml:space="preserve"> Nacional de Infraestructura propuso las tarifas </w:t>
      </w:r>
      <w:r w:rsidR="00FD1340" w:rsidRPr="007B0CC2">
        <w:rPr>
          <w:rFonts w:ascii="Work Sans" w:hAnsi="Work Sans"/>
          <w:sz w:val="20"/>
        </w:rPr>
        <w:t xml:space="preserve">a cobrar de manera temporal en la estación </w:t>
      </w:r>
      <w:r w:rsidRPr="007B0CC2">
        <w:rPr>
          <w:rFonts w:ascii="Work Sans" w:hAnsi="Work Sans"/>
          <w:sz w:val="20"/>
        </w:rPr>
        <w:t xml:space="preserve">de peaje Altamira </w:t>
      </w:r>
      <w:r w:rsidR="00FD1340" w:rsidRPr="007B0CC2">
        <w:rPr>
          <w:rFonts w:ascii="Work Sans" w:hAnsi="Work Sans"/>
          <w:sz w:val="20"/>
        </w:rPr>
        <w:t>de la vía Gigante – Garzón, y solicitó la expedición del presente acto administrativo</w:t>
      </w:r>
      <w:r w:rsidR="00AD1CE0">
        <w:rPr>
          <w:rFonts w:ascii="Work Sans" w:hAnsi="Work Sans"/>
          <w:sz w:val="20"/>
        </w:rPr>
        <w:t xml:space="preserve"> por el término de cuarenta y cinco  (45) días calendario</w:t>
      </w:r>
      <w:r w:rsidR="00FD1340" w:rsidRPr="007B0CC2">
        <w:rPr>
          <w:rFonts w:ascii="Work Sans" w:hAnsi="Work Sans"/>
          <w:sz w:val="20"/>
        </w:rPr>
        <w:t xml:space="preserve">, con fundamento en lo siguiente: </w:t>
      </w:r>
    </w:p>
    <w:p w:rsidR="007B0CC2" w:rsidRDefault="007B0CC2" w:rsidP="00FD1340">
      <w:pPr>
        <w:pStyle w:val="Prrafodelista"/>
        <w:tabs>
          <w:tab w:val="left" w:pos="426"/>
        </w:tabs>
        <w:ind w:left="0"/>
        <w:jc w:val="both"/>
        <w:rPr>
          <w:rFonts w:ascii="Work Sans" w:hAnsi="Work Sans"/>
          <w:sz w:val="20"/>
        </w:rPr>
      </w:pPr>
    </w:p>
    <w:p w:rsidR="004502D7" w:rsidRPr="004502D7" w:rsidRDefault="00E52F50" w:rsidP="004502D7">
      <w:pPr>
        <w:ind w:left="567" w:right="616"/>
        <w:jc w:val="both"/>
        <w:rPr>
          <w:rFonts w:ascii="Work Sans" w:hAnsi="Work Sans" w:cs="Arial"/>
          <w:b/>
          <w:i/>
          <w:sz w:val="18"/>
          <w:szCs w:val="22"/>
        </w:rPr>
      </w:pPr>
      <w:r w:rsidRPr="004502D7">
        <w:rPr>
          <w:rFonts w:ascii="Work Sans" w:hAnsi="Work Sans" w:cs="Arial"/>
          <w:i/>
          <w:sz w:val="14"/>
          <w:szCs w:val="18"/>
        </w:rPr>
        <w:t>“</w:t>
      </w:r>
      <w:bookmarkStart w:id="4" w:name="_Hlk14967014"/>
      <w:r w:rsidR="004502D7" w:rsidRPr="004502D7">
        <w:rPr>
          <w:rFonts w:ascii="Work Sans" w:hAnsi="Work Sans" w:cs="Arial"/>
          <w:b/>
          <w:i/>
          <w:sz w:val="18"/>
          <w:szCs w:val="22"/>
        </w:rPr>
        <w:t>1. Antecedentes de la solicitud de adopción de tarifa temporal en el peaje de Altamira</w:t>
      </w:r>
    </w:p>
    <w:p w:rsidR="004502D7" w:rsidRPr="004502D7" w:rsidRDefault="004502D7" w:rsidP="004502D7">
      <w:pPr>
        <w:ind w:left="567" w:right="616"/>
        <w:jc w:val="both"/>
        <w:rPr>
          <w:rFonts w:ascii="Work Sans" w:hAnsi="Work Sans" w:cs="Arial"/>
          <w:i/>
          <w:sz w:val="18"/>
          <w:szCs w:val="22"/>
        </w:rPr>
      </w:pPr>
    </w:p>
    <w:p w:rsidR="004502D7"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Mediante la Resolución No. 228 de 2013 actualizada para el año 2015 por la Resolución 036 de 2015 del INVIAS se fijaron las tarifas de estación de Peaje denominada “Altamira” correspondiente al Proyecto Santana-Mocoa-Neiva.</w:t>
      </w:r>
    </w:p>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Ahora, si bien es cierto que la Resolución 1207 de 2015, se establecieron las tarifas a cobrar en la estación de peaje Altamira, es necesario poner de presente que el parágrafo primero del artículo tercero de dicha normativa dispone lo siguiente:</w:t>
      </w:r>
    </w:p>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pStyle w:val="Prrafodelista"/>
        <w:tabs>
          <w:tab w:val="left" w:pos="426"/>
        </w:tabs>
        <w:ind w:left="567" w:right="616"/>
        <w:jc w:val="both"/>
        <w:rPr>
          <w:rFonts w:ascii="Work Sans" w:hAnsi="Work Sans" w:cs="Arial"/>
          <w:i/>
          <w:iCs/>
          <w:sz w:val="18"/>
          <w:szCs w:val="22"/>
        </w:rPr>
      </w:pPr>
      <w:r w:rsidRPr="004502D7">
        <w:rPr>
          <w:rFonts w:ascii="Work Sans" w:hAnsi="Work Sans" w:cs="Arial"/>
          <w:i/>
          <w:iCs/>
          <w:sz w:val="18"/>
          <w:szCs w:val="22"/>
        </w:rPr>
        <w:t>“</w:t>
      </w:r>
      <w:r w:rsidRPr="004502D7">
        <w:rPr>
          <w:rFonts w:ascii="Work Sans" w:hAnsi="Work Sans" w:cs="Arial"/>
          <w:b/>
          <w:i/>
          <w:iCs/>
          <w:sz w:val="18"/>
          <w:szCs w:val="22"/>
        </w:rPr>
        <w:t>PARÁGRAFO PRIMERO:</w:t>
      </w:r>
      <w:r w:rsidRPr="004502D7">
        <w:rPr>
          <w:rFonts w:ascii="Work Sans" w:hAnsi="Work Sans" w:cs="Arial"/>
          <w:i/>
          <w:iCs/>
          <w:sz w:val="18"/>
          <w:szCs w:val="22"/>
        </w:rPr>
        <w:t xml:space="preserve"> las estaciones de peaje existentes Los Cauchos y Altamira se encuentran actualmente operando dentro del Contrato 250 de 2011, el cual fue celebrado entre el INVIAS y ODINSA PROYECTOS E INVERSIONES S.A. Una vez se efectúe la entrega de la infraestructura por parte del INVIAS a la ANI, el derecho al recaudo se llevará a cabo de conformidad con las condiciones establecidas en la parte general y especial del contrato de concesión, que se derive de la licitación pública No. VJ-VE-IP-PL-017-2013. </w:t>
      </w:r>
    </w:p>
    <w:p w:rsidR="004502D7" w:rsidRPr="004502D7" w:rsidRDefault="004502D7" w:rsidP="004502D7">
      <w:pPr>
        <w:pStyle w:val="Prrafodelista"/>
        <w:tabs>
          <w:tab w:val="left" w:pos="426"/>
        </w:tabs>
        <w:ind w:left="567" w:right="616"/>
        <w:jc w:val="both"/>
        <w:rPr>
          <w:rFonts w:ascii="Work Sans" w:hAnsi="Work Sans" w:cs="Arial"/>
          <w:i/>
          <w:iCs/>
          <w:sz w:val="18"/>
          <w:szCs w:val="22"/>
        </w:rPr>
      </w:pPr>
    </w:p>
    <w:p w:rsidR="004502D7" w:rsidRPr="004502D7" w:rsidRDefault="004502D7" w:rsidP="004502D7">
      <w:pPr>
        <w:pStyle w:val="Prrafodelista"/>
        <w:tabs>
          <w:tab w:val="left" w:pos="426"/>
        </w:tabs>
        <w:ind w:left="567" w:right="616"/>
        <w:jc w:val="both"/>
        <w:rPr>
          <w:rFonts w:ascii="Work Sans" w:hAnsi="Work Sans" w:cs="Arial"/>
          <w:i/>
          <w:iCs/>
          <w:sz w:val="18"/>
          <w:szCs w:val="22"/>
        </w:rPr>
      </w:pPr>
      <w:r w:rsidRPr="004502D7">
        <w:rPr>
          <w:rFonts w:ascii="Work Sans" w:hAnsi="Work Sans" w:cs="Arial"/>
          <w:i/>
          <w:iCs/>
          <w:sz w:val="18"/>
          <w:szCs w:val="22"/>
        </w:rPr>
        <w:t>Hasta tanto no se suscriba el Acta de Terminación de la Unidad Funcional o del Acta de Terminación Parcial de la Unidad Funcional en la que se encuentran ubicadas las estaciones de peaje Los Cauchos y Altamira, se seguirán cobrando las tarifas establecidas en la Resolución 228 de 2013 actualizada por la Resolución 036 de 2015.</w:t>
      </w:r>
    </w:p>
    <w:p w:rsidR="004502D7" w:rsidRPr="004502D7" w:rsidRDefault="004502D7" w:rsidP="004502D7">
      <w:pPr>
        <w:pStyle w:val="Prrafodelista"/>
        <w:tabs>
          <w:tab w:val="left" w:pos="426"/>
        </w:tabs>
        <w:ind w:left="567" w:right="616"/>
        <w:jc w:val="both"/>
        <w:rPr>
          <w:rFonts w:ascii="Work Sans" w:hAnsi="Work Sans" w:cs="Arial"/>
          <w:i/>
          <w:iCs/>
          <w:sz w:val="18"/>
          <w:szCs w:val="22"/>
        </w:rPr>
      </w:pPr>
    </w:p>
    <w:p w:rsidR="004502D7" w:rsidRPr="004502D7" w:rsidRDefault="004502D7" w:rsidP="004502D7">
      <w:pPr>
        <w:pStyle w:val="Prrafodelista"/>
        <w:tabs>
          <w:tab w:val="left" w:pos="426"/>
        </w:tabs>
        <w:ind w:left="567" w:right="616"/>
        <w:jc w:val="both"/>
        <w:rPr>
          <w:rFonts w:ascii="Work Sans" w:hAnsi="Work Sans" w:cs="Arial"/>
          <w:i/>
          <w:iCs/>
          <w:sz w:val="18"/>
          <w:szCs w:val="22"/>
        </w:rPr>
      </w:pPr>
      <w:r w:rsidRPr="004502D7">
        <w:rPr>
          <w:rFonts w:ascii="Work Sans" w:hAnsi="Work Sans" w:cs="Arial"/>
          <w:b/>
          <w:i/>
          <w:iCs/>
          <w:sz w:val="18"/>
          <w:szCs w:val="22"/>
        </w:rPr>
        <w:t>PARÁGRAFO SEGUNDO:</w:t>
      </w:r>
      <w:r w:rsidRPr="004502D7">
        <w:rPr>
          <w:rFonts w:ascii="Work Sans" w:hAnsi="Work Sans" w:cs="Arial"/>
          <w:i/>
          <w:iCs/>
          <w:sz w:val="18"/>
          <w:szCs w:val="22"/>
        </w:rPr>
        <w:t xml:space="preserve"> Las tarifas establecidas en el presente artículo para las estaciones de peaje: Los Cauchos, Altamira, Laberinto, Mocoa, Villalobos y Urcusique serán cobradas a partir de la suscripción del Acta de Terminación de la Unidad Funcional o del Acta de Terminación Parcial de la Unidad Funcional en la que se encuentra ubicada cada Estación de Peaje”.</w:t>
      </w:r>
    </w:p>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 xml:space="preserve">Así las cosas y teniendo en cuenta que las situaciones descritas en la </w:t>
      </w:r>
      <w:r w:rsidRPr="004502D7">
        <w:rPr>
          <w:rFonts w:ascii="Work Sans" w:hAnsi="Work Sans" w:cs="Arial"/>
          <w:i/>
          <w:iCs/>
          <w:sz w:val="18"/>
          <w:szCs w:val="22"/>
        </w:rPr>
        <w:lastRenderedPageBreak/>
        <w:t xml:space="preserve">disposición citada no se han materializado hasta el momento, los actos administrativos vigentes y aplicables en relación con las tarifas a cobrar en dichas estaciones de peaje son los mencionados en el literal segundo del parágrafo primero del artículo tercero de la Resolución 1207 de 2015, esto es, </w:t>
      </w:r>
      <w:r w:rsidRPr="004502D7">
        <w:rPr>
          <w:rFonts w:ascii="Work Sans" w:hAnsi="Work Sans" w:cs="Arial"/>
          <w:i/>
          <w:sz w:val="18"/>
          <w:szCs w:val="22"/>
          <w:lang w:eastAsia="es-CO"/>
        </w:rPr>
        <w:t>Resolución 228 de 2013 actualizada por la Resolución 036 de 2015</w:t>
      </w:r>
      <w:r w:rsidRPr="004502D7">
        <w:rPr>
          <w:rFonts w:ascii="Work Sans" w:hAnsi="Work Sans" w:cs="Arial"/>
          <w:i/>
          <w:iCs/>
          <w:sz w:val="18"/>
          <w:szCs w:val="22"/>
        </w:rPr>
        <w:t>.</w:t>
      </w:r>
    </w:p>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Adicionalmente, el Contrato de Concesión No. 012 de 2015 en su Parte Especial, Sección 4.2 “Estructura Tarifaria”, literal (f) establece que las tarifas correspondientes a la estación de peaje denominada Altamira, se actualizarán anualmente conforme a la fórmula allí establecida, así:</w:t>
      </w:r>
    </w:p>
    <w:p w:rsidR="004502D7" w:rsidRPr="004502D7" w:rsidRDefault="004502D7" w:rsidP="004502D7">
      <w:pPr>
        <w:pStyle w:val="Default"/>
        <w:ind w:left="567" w:right="616"/>
        <w:rPr>
          <w:rFonts w:ascii="Work Sans" w:hAnsi="Work Sans" w:cs="Arial"/>
          <w:i/>
          <w:iCs/>
          <w:sz w:val="18"/>
          <w:szCs w:val="22"/>
        </w:rPr>
      </w:pPr>
    </w:p>
    <w:p w:rsidR="004502D7" w:rsidRPr="004502D7" w:rsidRDefault="004502D7" w:rsidP="004502D7">
      <w:pPr>
        <w:pStyle w:val="Default"/>
        <w:ind w:left="567" w:right="616"/>
        <w:jc w:val="both"/>
        <w:rPr>
          <w:rFonts w:ascii="Work Sans" w:hAnsi="Work Sans" w:cs="Arial"/>
          <w:i/>
          <w:iCs/>
          <w:sz w:val="18"/>
          <w:szCs w:val="22"/>
        </w:rPr>
      </w:pPr>
      <w:r w:rsidRPr="004502D7">
        <w:rPr>
          <w:rFonts w:ascii="Work Sans" w:hAnsi="Work Sans" w:cs="Arial"/>
          <w:i/>
          <w:iCs/>
          <w:sz w:val="18"/>
          <w:szCs w:val="22"/>
        </w:rPr>
        <w:t>“(f) Una vez se establezca la Tarifa SRt sin el redondeo a la centena, para el cálculo de la tarifa a cobrar al usuario para cada categoría de vehículos y cada Estación de Peaje, se le adicionará la tasa correspondiente al Fondo de Seguridad Vial de acuerdo con la Resolución Vigente y se redondeará a la centena más cercana de acuerdo con la siguiente fórmula:</w:t>
      </w:r>
    </w:p>
    <w:p w:rsidR="004502D7" w:rsidRPr="004502D7" w:rsidRDefault="004502D7" w:rsidP="004502D7">
      <w:pPr>
        <w:pStyle w:val="Default"/>
        <w:ind w:left="567" w:right="616"/>
        <w:jc w:val="both"/>
        <w:rPr>
          <w:rFonts w:ascii="Work Sans" w:hAnsi="Work Sans" w:cs="Arial"/>
          <w:i/>
          <w:iCs/>
          <w:color w:val="auto"/>
          <w:sz w:val="18"/>
          <w:szCs w:val="22"/>
          <w:lang w:val="es-ES"/>
        </w:rPr>
      </w:pPr>
    </w:p>
    <w:p w:rsidR="004502D7" w:rsidRPr="004502D7" w:rsidRDefault="004502D7" w:rsidP="004502D7">
      <w:pPr>
        <w:pStyle w:val="Default"/>
        <w:ind w:left="567" w:right="616"/>
        <w:jc w:val="both"/>
        <w:rPr>
          <w:rFonts w:ascii="Work Sans" w:hAnsi="Work Sans" w:cs="Arial"/>
          <w:i/>
          <w:iCs/>
          <w:color w:val="auto"/>
          <w:sz w:val="18"/>
          <w:szCs w:val="22"/>
          <w:lang w:val="es-ES"/>
        </w:rPr>
      </w:pPr>
      <w:r w:rsidRPr="004502D7">
        <w:rPr>
          <w:rFonts w:ascii="Cambria Math" w:hAnsi="Cambria Math" w:cs="Cambria Math"/>
          <w:i/>
          <w:iCs/>
          <w:color w:val="auto"/>
          <w:sz w:val="18"/>
          <w:szCs w:val="22"/>
          <w:lang w:val="es-ES"/>
        </w:rPr>
        <w:t>𝑇𝑎𝑟𝑖𝑓𝑎𝑈𝑠𝑢𝑎𝑟𝑖𝑜𝑡</w:t>
      </w:r>
      <w:r w:rsidRPr="004502D7">
        <w:rPr>
          <w:rFonts w:ascii="Work Sans" w:hAnsi="Work Sans" w:cs="Arial"/>
          <w:i/>
          <w:iCs/>
          <w:color w:val="auto"/>
          <w:sz w:val="18"/>
          <w:szCs w:val="22"/>
          <w:lang w:val="es-ES"/>
        </w:rPr>
        <w:t>=</w:t>
      </w:r>
      <w:r w:rsidRPr="004502D7">
        <w:rPr>
          <w:rFonts w:ascii="Cambria Math" w:hAnsi="Cambria Math" w:cs="Cambria Math"/>
          <w:i/>
          <w:iCs/>
          <w:color w:val="auto"/>
          <w:sz w:val="18"/>
          <w:szCs w:val="22"/>
          <w:lang w:val="es-ES"/>
        </w:rPr>
        <w:t>𝑅𝑒𝑑𝑜𝑛𝑑𝑒𝑜</w:t>
      </w:r>
      <w:r w:rsidRPr="004502D7">
        <w:rPr>
          <w:rFonts w:ascii="Work Sans" w:hAnsi="Work Sans" w:cs="Arial"/>
          <w:i/>
          <w:iCs/>
          <w:color w:val="auto"/>
          <w:sz w:val="18"/>
          <w:szCs w:val="22"/>
          <w:lang w:val="es-ES"/>
        </w:rPr>
        <w:t xml:space="preserve"> 100</w:t>
      </w:r>
      <w:r w:rsidRPr="004502D7">
        <w:rPr>
          <w:rFonts w:ascii="Cambria Math" w:hAnsi="Cambria Math" w:cs="Cambria Math"/>
          <w:i/>
          <w:iCs/>
          <w:color w:val="auto"/>
          <w:sz w:val="18"/>
          <w:szCs w:val="22"/>
          <w:lang w:val="es-ES"/>
        </w:rPr>
        <w:t>∗</w:t>
      </w:r>
      <w:r w:rsidRPr="004502D7">
        <w:rPr>
          <w:rFonts w:ascii="Work Sans" w:hAnsi="Work Sans" w:cs="Arial"/>
          <w:i/>
          <w:iCs/>
          <w:color w:val="auto"/>
          <w:sz w:val="18"/>
          <w:szCs w:val="22"/>
          <w:lang w:val="es-ES"/>
        </w:rPr>
        <w:t xml:space="preserve"> (</w:t>
      </w:r>
      <w:r w:rsidRPr="004502D7">
        <w:rPr>
          <w:rFonts w:ascii="Cambria Math" w:hAnsi="Cambria Math" w:cs="Cambria Math"/>
          <w:i/>
          <w:iCs/>
          <w:color w:val="auto"/>
          <w:sz w:val="18"/>
          <w:szCs w:val="22"/>
          <w:lang w:val="es-ES"/>
        </w:rPr>
        <w:t>𝑇𝑎𝑟𝑖𝑓𝑎𝑆𝑅𝑡</w:t>
      </w:r>
      <w:r w:rsidRPr="004502D7">
        <w:rPr>
          <w:rFonts w:ascii="Work Sans" w:hAnsi="Work Sans" w:cs="Arial"/>
          <w:i/>
          <w:iCs/>
          <w:color w:val="auto"/>
          <w:sz w:val="18"/>
          <w:szCs w:val="22"/>
          <w:lang w:val="es-ES"/>
        </w:rPr>
        <w:t xml:space="preserve"> + </w:t>
      </w:r>
      <w:r w:rsidRPr="004502D7">
        <w:rPr>
          <w:rFonts w:ascii="Cambria Math" w:hAnsi="Cambria Math" w:cs="Cambria Math"/>
          <w:i/>
          <w:iCs/>
          <w:color w:val="auto"/>
          <w:sz w:val="18"/>
          <w:szCs w:val="22"/>
          <w:lang w:val="es-ES"/>
        </w:rPr>
        <w:t>𝐹𝑆𝑉𝑡</w:t>
      </w:r>
      <w:r w:rsidRPr="004502D7">
        <w:rPr>
          <w:rFonts w:ascii="Work Sans" w:hAnsi="Work Sans" w:cs="Arial"/>
          <w:i/>
          <w:iCs/>
          <w:color w:val="auto"/>
          <w:sz w:val="18"/>
          <w:szCs w:val="22"/>
          <w:lang w:val="es-ES"/>
        </w:rPr>
        <w:t>)</w:t>
      </w:r>
    </w:p>
    <w:p w:rsidR="004502D7" w:rsidRPr="004502D7" w:rsidRDefault="004502D7" w:rsidP="004502D7">
      <w:pPr>
        <w:pStyle w:val="NormalWeb"/>
        <w:ind w:left="567" w:right="616"/>
        <w:rPr>
          <w:rFonts w:ascii="Work Sans" w:hAnsi="Work Sans" w:cs="Arial"/>
          <w:i/>
          <w:iCs/>
          <w:sz w:val="18"/>
          <w:lang w:val="es-ES" w:eastAsia="es-ES"/>
        </w:rPr>
      </w:pPr>
      <w:r w:rsidRPr="004502D7">
        <w:rPr>
          <w:rFonts w:ascii="Work Sans" w:hAnsi="Work Sans" w:cs="Arial"/>
          <w:i/>
          <w:iCs/>
          <w:sz w:val="18"/>
          <w:lang w:val="es-ES" w:eastAsia="es-ES"/>
        </w:rPr>
        <w:t>Donde,</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5383"/>
      </w:tblGrid>
      <w:tr w:rsidR="004502D7" w:rsidRPr="004502D7" w:rsidTr="00F11DF8">
        <w:trPr>
          <w:trHeight w:val="144"/>
          <w:jc w:val="center"/>
        </w:trPr>
        <w:tc>
          <w:tcPr>
            <w:tcW w:w="2105" w:type="dxa"/>
          </w:tcPr>
          <w:p w:rsidR="004502D7" w:rsidRPr="004502D7" w:rsidRDefault="004502D7" w:rsidP="004502D7">
            <w:pPr>
              <w:pStyle w:val="Default"/>
              <w:ind w:left="567" w:right="616"/>
              <w:rPr>
                <w:rFonts w:ascii="Work Sans" w:hAnsi="Work Sans" w:cs="Arial"/>
                <w:i/>
                <w:iCs/>
                <w:sz w:val="18"/>
                <w:szCs w:val="22"/>
              </w:rPr>
            </w:pPr>
            <w:r w:rsidRPr="004502D7">
              <w:rPr>
                <w:rFonts w:ascii="Cambria Math" w:hAnsi="Cambria Math" w:cs="Cambria Math"/>
                <w:i/>
                <w:iCs/>
                <w:color w:val="auto"/>
                <w:sz w:val="18"/>
                <w:szCs w:val="22"/>
                <w:lang w:val="es-ES"/>
              </w:rPr>
              <w:t>𝑇𝑎𝑟𝑖𝑓𝑎𝑈𝑠𝑢𝑎𝑟𝑖𝑜𝑡</w:t>
            </w:r>
          </w:p>
        </w:tc>
        <w:tc>
          <w:tcPr>
            <w:tcW w:w="5383" w:type="dxa"/>
          </w:tcPr>
          <w:p w:rsidR="004502D7" w:rsidRPr="004502D7" w:rsidRDefault="004502D7" w:rsidP="004502D7">
            <w:pPr>
              <w:pStyle w:val="Default"/>
              <w:ind w:left="567" w:right="616"/>
              <w:rPr>
                <w:rFonts w:ascii="Work Sans" w:hAnsi="Work Sans" w:cs="Arial"/>
                <w:i/>
                <w:iCs/>
                <w:sz w:val="18"/>
                <w:szCs w:val="22"/>
              </w:rPr>
            </w:pPr>
            <w:r w:rsidRPr="004502D7">
              <w:rPr>
                <w:rFonts w:ascii="Work Sans" w:hAnsi="Work Sans" w:cs="Arial"/>
                <w:i/>
                <w:iCs/>
                <w:sz w:val="18"/>
                <w:szCs w:val="22"/>
              </w:rPr>
              <w:t xml:space="preserve">Para cada categoría de vehículos y cada Estación de Peaje es el valor de la tarifa a pagar por el Usuario para el año t </w:t>
            </w:r>
          </w:p>
        </w:tc>
      </w:tr>
      <w:tr w:rsidR="004502D7" w:rsidRPr="004502D7" w:rsidTr="00F11DF8">
        <w:trPr>
          <w:trHeight w:val="204"/>
          <w:jc w:val="center"/>
        </w:trPr>
        <w:tc>
          <w:tcPr>
            <w:tcW w:w="2105" w:type="dxa"/>
          </w:tcPr>
          <w:p w:rsidR="004502D7" w:rsidRPr="004502D7" w:rsidRDefault="004502D7" w:rsidP="004502D7">
            <w:pPr>
              <w:pStyle w:val="Default"/>
              <w:ind w:left="567" w:right="616"/>
              <w:rPr>
                <w:rFonts w:ascii="Work Sans" w:hAnsi="Work Sans" w:cs="Arial"/>
                <w:i/>
                <w:iCs/>
                <w:sz w:val="18"/>
                <w:szCs w:val="22"/>
              </w:rPr>
            </w:pPr>
            <w:r w:rsidRPr="004502D7">
              <w:rPr>
                <w:rFonts w:ascii="Cambria Math" w:hAnsi="Cambria Math" w:cs="Cambria Math"/>
                <w:i/>
                <w:iCs/>
                <w:sz w:val="18"/>
                <w:szCs w:val="22"/>
              </w:rPr>
              <w:t>𝑇𝑎𝑟𝑖𝑓𝑎𝑆𝑅𝑡</w:t>
            </w:r>
            <w:r w:rsidRPr="004502D7">
              <w:rPr>
                <w:rFonts w:ascii="Work Sans" w:hAnsi="Work Sans" w:cs="Arial"/>
                <w:i/>
                <w:iCs/>
                <w:sz w:val="18"/>
                <w:szCs w:val="22"/>
              </w:rPr>
              <w:t xml:space="preserve"> </w:t>
            </w:r>
          </w:p>
        </w:tc>
        <w:tc>
          <w:tcPr>
            <w:tcW w:w="5383" w:type="dxa"/>
          </w:tcPr>
          <w:p w:rsidR="004502D7" w:rsidRPr="004502D7" w:rsidRDefault="004502D7" w:rsidP="004502D7">
            <w:pPr>
              <w:pStyle w:val="Default"/>
              <w:ind w:left="567" w:right="616"/>
              <w:rPr>
                <w:rFonts w:ascii="Work Sans" w:hAnsi="Work Sans" w:cs="Arial"/>
                <w:i/>
                <w:iCs/>
                <w:sz w:val="18"/>
                <w:szCs w:val="22"/>
              </w:rPr>
            </w:pPr>
            <w:r w:rsidRPr="004502D7">
              <w:rPr>
                <w:rFonts w:ascii="Work Sans" w:hAnsi="Work Sans" w:cs="Arial"/>
                <w:i/>
                <w:iCs/>
                <w:sz w:val="18"/>
                <w:szCs w:val="22"/>
              </w:rPr>
              <w:t xml:space="preserve">Para cada categoría de vehículos y cada Estación de Peaje es el valor de la Tarifa actualizada en Pesos corrientes del año t, sin el redondeo a la centena </w:t>
            </w:r>
          </w:p>
        </w:tc>
      </w:tr>
      <w:tr w:rsidR="004502D7" w:rsidRPr="004502D7" w:rsidTr="00F11DF8">
        <w:trPr>
          <w:trHeight w:val="204"/>
          <w:jc w:val="center"/>
        </w:trPr>
        <w:tc>
          <w:tcPr>
            <w:tcW w:w="2105" w:type="dxa"/>
          </w:tcPr>
          <w:p w:rsidR="004502D7" w:rsidRPr="004502D7" w:rsidRDefault="004502D7" w:rsidP="004502D7">
            <w:pPr>
              <w:pStyle w:val="Default"/>
              <w:ind w:left="567" w:right="616"/>
              <w:rPr>
                <w:rFonts w:ascii="Work Sans" w:hAnsi="Work Sans" w:cs="Arial"/>
                <w:i/>
                <w:iCs/>
                <w:sz w:val="18"/>
                <w:szCs w:val="22"/>
              </w:rPr>
            </w:pPr>
            <w:r w:rsidRPr="004502D7">
              <w:rPr>
                <w:rFonts w:ascii="Cambria Math" w:hAnsi="Cambria Math" w:cs="Cambria Math"/>
                <w:i/>
                <w:iCs/>
                <w:sz w:val="18"/>
                <w:szCs w:val="22"/>
              </w:rPr>
              <w:t>𝐹𝑆𝑉𝑡</w:t>
            </w:r>
            <w:r w:rsidRPr="004502D7">
              <w:rPr>
                <w:rFonts w:ascii="Work Sans" w:hAnsi="Work Sans" w:cs="Arial"/>
                <w:i/>
                <w:iCs/>
                <w:sz w:val="18"/>
                <w:szCs w:val="22"/>
              </w:rPr>
              <w:t xml:space="preserve"> </w:t>
            </w:r>
          </w:p>
        </w:tc>
        <w:tc>
          <w:tcPr>
            <w:tcW w:w="5383" w:type="dxa"/>
          </w:tcPr>
          <w:p w:rsidR="004502D7" w:rsidRPr="004502D7" w:rsidRDefault="004502D7" w:rsidP="004502D7">
            <w:pPr>
              <w:pStyle w:val="Default"/>
              <w:ind w:left="567" w:right="616"/>
              <w:rPr>
                <w:rFonts w:ascii="Work Sans" w:hAnsi="Work Sans" w:cs="Arial"/>
                <w:i/>
                <w:iCs/>
                <w:sz w:val="18"/>
                <w:szCs w:val="22"/>
              </w:rPr>
            </w:pPr>
            <w:r w:rsidRPr="004502D7">
              <w:rPr>
                <w:rFonts w:ascii="Work Sans" w:hAnsi="Work Sans" w:cs="Arial"/>
                <w:i/>
                <w:iCs/>
                <w:sz w:val="18"/>
                <w:szCs w:val="22"/>
              </w:rPr>
              <w:t xml:space="preserve">Es el valor del aporte al Fondo de Seguridad Vial para el año t vigente al momento del cálculo, expresado en pesos corrientes del año t </w:t>
            </w:r>
          </w:p>
        </w:tc>
      </w:tr>
      <w:tr w:rsidR="004502D7" w:rsidRPr="004502D7" w:rsidTr="00F11DF8">
        <w:trPr>
          <w:trHeight w:val="263"/>
          <w:jc w:val="center"/>
        </w:trPr>
        <w:tc>
          <w:tcPr>
            <w:tcW w:w="2105" w:type="dxa"/>
          </w:tcPr>
          <w:p w:rsidR="004502D7" w:rsidRPr="004502D7" w:rsidRDefault="004502D7" w:rsidP="004502D7">
            <w:pPr>
              <w:pStyle w:val="Default"/>
              <w:ind w:left="567" w:right="616"/>
              <w:rPr>
                <w:rFonts w:ascii="Work Sans" w:hAnsi="Work Sans" w:cs="Arial"/>
                <w:i/>
                <w:iCs/>
                <w:sz w:val="18"/>
                <w:szCs w:val="22"/>
              </w:rPr>
            </w:pPr>
            <w:r w:rsidRPr="004502D7">
              <w:rPr>
                <w:rFonts w:ascii="Cambria Math" w:hAnsi="Cambria Math" w:cs="Cambria Math"/>
                <w:i/>
                <w:iCs/>
                <w:sz w:val="18"/>
                <w:szCs w:val="22"/>
              </w:rPr>
              <w:t>𝑅𝑒𝑑𝑜𝑛𝑑𝑒𝑜</w:t>
            </w:r>
            <w:r w:rsidRPr="004502D7">
              <w:rPr>
                <w:rFonts w:ascii="Work Sans" w:hAnsi="Work Sans" w:cs="Arial"/>
                <w:i/>
                <w:iCs/>
                <w:sz w:val="18"/>
                <w:szCs w:val="22"/>
              </w:rPr>
              <w:t xml:space="preserve"> 100 </w:t>
            </w:r>
          </w:p>
        </w:tc>
        <w:tc>
          <w:tcPr>
            <w:tcW w:w="5383" w:type="dxa"/>
          </w:tcPr>
          <w:p w:rsidR="004502D7" w:rsidRPr="004502D7" w:rsidRDefault="004502D7" w:rsidP="004502D7">
            <w:pPr>
              <w:pStyle w:val="Default"/>
              <w:ind w:left="567" w:right="616"/>
              <w:rPr>
                <w:rFonts w:ascii="Work Sans" w:hAnsi="Work Sans" w:cs="Arial"/>
                <w:i/>
                <w:iCs/>
                <w:sz w:val="18"/>
                <w:szCs w:val="22"/>
              </w:rPr>
            </w:pPr>
            <w:r w:rsidRPr="004502D7">
              <w:rPr>
                <w:rFonts w:ascii="Work Sans" w:hAnsi="Work Sans" w:cs="Arial"/>
                <w:i/>
                <w:iCs/>
                <w:sz w:val="18"/>
                <w:szCs w:val="22"/>
              </w:rPr>
              <w:t xml:space="preserve">Función que redondea un número al múltiplo de 100 más cercano. Redondea hacia la centena superior, si el residuo de dividir el número entre cien (100) es mayor o igual a cincuenta (50). Redondea hacia la </w:t>
            </w:r>
          </w:p>
        </w:tc>
      </w:tr>
    </w:tbl>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t>De esta manera, mediante comunicación con radicado ANI No. 2019-310-000922-1, del 15 de enero de 2019, la ANI notificó a la Sociedad Aliadas para el Progreso S.A.S., la indexación del esquema tarifario para la vigencia 2019, respecto de las tarifas correspondientes a la estación de peaje Altamira.</w:t>
      </w:r>
    </w:p>
    <w:p w:rsidR="004502D7" w:rsidRPr="004502D7" w:rsidRDefault="004502D7" w:rsidP="004502D7">
      <w:pPr>
        <w:tabs>
          <w:tab w:val="left" w:pos="8505"/>
        </w:tabs>
        <w:ind w:left="567" w:right="616"/>
        <w:jc w:val="both"/>
        <w:rPr>
          <w:rFonts w:ascii="Work Sans" w:hAnsi="Work Sans" w:cs="Arial"/>
          <w:i/>
          <w:iCs/>
          <w:sz w:val="18"/>
          <w:szCs w:val="22"/>
        </w:rPr>
      </w:pP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t>De conformidad con lo anterior, a continuación, se presenta el esquema de tarifas que rige actualmente en condiciones de normalidad para el Proyecto Santana – Mocoa - Neiva, según lo establecido en las resoluciones indicadas, y a su vez, el valor resultante de aplicar el descuento del 50% como medida de mitigación frente a la situación en la Vía Gigante-Garzón, código 4505 entre el Pr20+060 al PR21+0150, Departamento del Huila:</w:t>
      </w:r>
    </w:p>
    <w:p w:rsidR="004502D7" w:rsidRPr="004502D7" w:rsidRDefault="00836F68" w:rsidP="004502D7">
      <w:pPr>
        <w:tabs>
          <w:tab w:val="left" w:pos="8505"/>
        </w:tabs>
        <w:ind w:left="567" w:right="616"/>
        <w:jc w:val="both"/>
        <w:rPr>
          <w:rFonts w:ascii="Work Sans" w:hAnsi="Work Sans" w:cs="Arial"/>
          <w:i/>
          <w:iCs/>
          <w:sz w:val="18"/>
          <w:szCs w:val="22"/>
        </w:rPr>
      </w:pPr>
      <w:r w:rsidRPr="004502D7">
        <w:rPr>
          <w:rFonts w:ascii="Work Sans" w:hAnsi="Work Sans" w:cs="Arial"/>
          <w:i/>
          <w:noProof/>
          <w:sz w:val="18"/>
          <w:szCs w:val="22"/>
          <w:lang w:val="es-MX" w:eastAsia="es-MX" w:bidi="ar-SA"/>
        </w:rPr>
        <w:drawing>
          <wp:inline distT="0" distB="0" distL="0" distR="0">
            <wp:extent cx="4772025" cy="17526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1752600"/>
                    </a:xfrm>
                    <a:prstGeom prst="rect">
                      <a:avLst/>
                    </a:prstGeom>
                    <a:noFill/>
                    <a:ln>
                      <a:noFill/>
                    </a:ln>
                  </pic:spPr>
                </pic:pic>
              </a:graphicData>
            </a:graphic>
          </wp:inline>
        </w:drawing>
      </w:r>
    </w:p>
    <w:p w:rsidR="004502D7" w:rsidRPr="004502D7" w:rsidRDefault="004502D7" w:rsidP="004502D7">
      <w:pPr>
        <w:tabs>
          <w:tab w:val="left" w:pos="8505"/>
        </w:tabs>
        <w:ind w:left="567" w:right="616"/>
        <w:jc w:val="both"/>
        <w:rPr>
          <w:rFonts w:ascii="Work Sans" w:hAnsi="Work Sans" w:cs="Arial"/>
          <w:i/>
          <w:iCs/>
          <w:sz w:val="18"/>
          <w:szCs w:val="22"/>
        </w:rPr>
      </w:pP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t xml:space="preserve">Se precisa que en relación al cobro, eje grúa y eje remolque, que la resolución 228 de 2013 dispone lo siguiente: </w:t>
      </w:r>
    </w:p>
    <w:p w:rsidR="004502D7" w:rsidRPr="004502D7" w:rsidRDefault="004502D7" w:rsidP="004502D7">
      <w:pPr>
        <w:tabs>
          <w:tab w:val="left" w:pos="8505"/>
        </w:tabs>
        <w:ind w:left="567" w:right="616"/>
        <w:jc w:val="both"/>
        <w:rPr>
          <w:rFonts w:ascii="Work Sans" w:hAnsi="Work Sans" w:cs="Arial"/>
          <w:i/>
          <w:iCs/>
          <w:sz w:val="18"/>
          <w:szCs w:val="22"/>
        </w:rPr>
      </w:pP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t>“ARTÍCULO 6.- Los vehículos de carga que acarreen remolques pagarán la suma de seis mil seiscientos pesos ($6.600.00) adicionales sobre la tarifa de la categoría del vehículo que realice la tracción, por cada eje que posea el remolque.</w:t>
      </w: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t xml:space="preserve"> </w:t>
      </w: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lastRenderedPageBreak/>
        <w:t>ARTÍCULO 7.- Los vehículos que prestan el servicio de grúa pagarán la tarifa correspondiente a la categoría del vehículo, además, cancelarán la tarifa de cinco mil pesos ($5.000.00) por cada eje del vehículo remolcado que haga contacto con el pavimento”.</w:t>
      </w:r>
    </w:p>
    <w:p w:rsidR="004502D7" w:rsidRPr="004502D7" w:rsidRDefault="004502D7" w:rsidP="004502D7">
      <w:pPr>
        <w:tabs>
          <w:tab w:val="left" w:pos="8505"/>
        </w:tabs>
        <w:ind w:left="567" w:right="616"/>
        <w:jc w:val="both"/>
        <w:rPr>
          <w:rFonts w:ascii="Work Sans" w:hAnsi="Work Sans" w:cs="Arial"/>
          <w:i/>
          <w:iCs/>
          <w:sz w:val="18"/>
          <w:szCs w:val="22"/>
        </w:rPr>
      </w:pPr>
    </w:p>
    <w:p w:rsidR="004502D7" w:rsidRPr="004502D7" w:rsidRDefault="004502D7" w:rsidP="004502D7">
      <w:pPr>
        <w:tabs>
          <w:tab w:val="left" w:pos="8505"/>
        </w:tabs>
        <w:ind w:left="567" w:right="616"/>
        <w:jc w:val="both"/>
        <w:rPr>
          <w:rFonts w:ascii="Work Sans" w:hAnsi="Work Sans" w:cs="Arial"/>
          <w:i/>
          <w:iCs/>
          <w:sz w:val="18"/>
          <w:szCs w:val="22"/>
        </w:rPr>
      </w:pPr>
      <w:r w:rsidRPr="004502D7">
        <w:rPr>
          <w:rFonts w:ascii="Work Sans" w:hAnsi="Work Sans" w:cs="Arial"/>
          <w:i/>
          <w:iCs/>
          <w:sz w:val="18"/>
          <w:szCs w:val="22"/>
        </w:rPr>
        <w:t>En relación con el eje grúa y eje remolque seguirán vigentes el artículo 6 y 7 de la Resolución No. 228 de 2013, por lo que se propone que se siga efectuando el cobro del valor allí indicado.</w:t>
      </w:r>
    </w:p>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pStyle w:val="Prrafodelista"/>
        <w:ind w:left="567" w:right="616"/>
        <w:jc w:val="both"/>
        <w:rPr>
          <w:rFonts w:ascii="Work Sans" w:hAnsi="Work Sans" w:cs="Arial"/>
          <w:i/>
          <w:iCs/>
          <w:sz w:val="18"/>
          <w:szCs w:val="22"/>
        </w:rPr>
      </w:pPr>
      <w:r w:rsidRPr="004502D7">
        <w:rPr>
          <w:rFonts w:ascii="Work Sans" w:hAnsi="Work Sans" w:cs="Arial"/>
          <w:b/>
          <w:bCs/>
          <w:i/>
          <w:iCs/>
          <w:sz w:val="18"/>
          <w:szCs w:val="22"/>
        </w:rPr>
        <w:t xml:space="preserve">2. La Justificación de la necesidad de adoptar </w:t>
      </w:r>
      <w:r w:rsidRPr="004502D7">
        <w:rPr>
          <w:rFonts w:ascii="Work Sans" w:hAnsi="Work Sans" w:cs="Arial"/>
          <w:b/>
          <w:i/>
          <w:iCs/>
          <w:sz w:val="18"/>
          <w:szCs w:val="22"/>
        </w:rPr>
        <w:t>tarifas de manera temporal</w:t>
      </w:r>
    </w:p>
    <w:p w:rsidR="004502D7" w:rsidRPr="004502D7" w:rsidRDefault="004502D7" w:rsidP="004502D7">
      <w:pPr>
        <w:ind w:left="567" w:right="616"/>
        <w:jc w:val="both"/>
        <w:rPr>
          <w:rFonts w:ascii="Work Sans" w:hAnsi="Work Sans" w:cs="Arial"/>
          <w:i/>
          <w:iCs/>
          <w:sz w:val="18"/>
          <w:szCs w:val="22"/>
        </w:rPr>
      </w:pPr>
    </w:p>
    <w:p w:rsidR="00BB7110" w:rsidRPr="00BB7110" w:rsidRDefault="00BB7110" w:rsidP="00BB7110">
      <w:pPr>
        <w:pStyle w:val="Prrafodelista"/>
        <w:tabs>
          <w:tab w:val="left" w:pos="426"/>
        </w:tabs>
        <w:ind w:left="567" w:right="616"/>
        <w:jc w:val="both"/>
        <w:rPr>
          <w:rFonts w:ascii="Work Sans" w:hAnsi="Work Sans" w:cs="Arial"/>
          <w:i/>
          <w:iCs/>
          <w:sz w:val="18"/>
          <w:szCs w:val="22"/>
          <w:lang w:eastAsia="es-CO"/>
        </w:rPr>
      </w:pPr>
      <w:r w:rsidRPr="00BB7110">
        <w:rPr>
          <w:rFonts w:ascii="Work Sans" w:hAnsi="Work Sans" w:cs="Arial"/>
          <w:i/>
          <w:iCs/>
          <w:sz w:val="18"/>
          <w:szCs w:val="22"/>
          <w:lang w:eastAsia="es-CO"/>
        </w:rPr>
        <w:t>Con ocasión de la pérdida de la banca en la Vía Gigante-Garzón, Código 4505 entre el PR 20+060 al PR 21+0150, Departamento del Huila, así como la situación actual del sector denominado “Pericongo” del corredor vial Santana-Mocoa-Neiva, se hace necesario establecer tarifas temporales para el cobro del Peaje de Altamira, como quiera que el estado actual de tránsito por la vía referida, ha generado efectos negativos para el comercio, el turismo, el transporte de carga de insumos, alimentos, animales, el transporte de pasajeros, entre otros, desde Neiva hacia Mocoa y viceversa. Así las cosas, el Gobierno Nacional debe adoptar medidas de contingencia y mitigación de los efectos negativos que se producen en la economía Nacional y local en aras de aliviar la problemática social y económica que sufren los usuarios de la vía.</w:t>
      </w:r>
    </w:p>
    <w:p w:rsidR="00BB7110" w:rsidRPr="00BB7110" w:rsidRDefault="00BB7110" w:rsidP="00BB7110">
      <w:pPr>
        <w:pStyle w:val="Prrafodelista"/>
        <w:tabs>
          <w:tab w:val="left" w:pos="426"/>
        </w:tabs>
        <w:ind w:right="616"/>
        <w:jc w:val="both"/>
        <w:rPr>
          <w:rFonts w:ascii="Work Sans" w:hAnsi="Work Sans" w:cs="Arial"/>
          <w:i/>
          <w:iCs/>
          <w:sz w:val="18"/>
          <w:szCs w:val="22"/>
          <w:lang w:eastAsia="es-CO"/>
        </w:rPr>
      </w:pPr>
    </w:p>
    <w:p w:rsidR="004502D7" w:rsidRDefault="00BB7110" w:rsidP="00BB7110">
      <w:pPr>
        <w:pStyle w:val="Prrafodelista"/>
        <w:tabs>
          <w:tab w:val="left" w:pos="426"/>
        </w:tabs>
        <w:ind w:left="567" w:right="616"/>
        <w:jc w:val="both"/>
        <w:rPr>
          <w:rFonts w:ascii="Work Sans" w:hAnsi="Work Sans" w:cs="Arial"/>
          <w:i/>
          <w:iCs/>
          <w:sz w:val="18"/>
          <w:szCs w:val="22"/>
          <w:lang w:eastAsia="es-CO"/>
        </w:rPr>
      </w:pPr>
      <w:r w:rsidRPr="00BB7110">
        <w:rPr>
          <w:rFonts w:ascii="Work Sans" w:hAnsi="Work Sans" w:cs="Arial"/>
          <w:i/>
          <w:iCs/>
          <w:sz w:val="18"/>
          <w:szCs w:val="22"/>
          <w:lang w:eastAsia="es-CO"/>
        </w:rPr>
        <w:t>En este sentido y con fundamento en el principio constitucional de la solidaridad y prevalencia del interés general, es menester establecer tarifas temporales en el peaje de Altamira de la problemática que se presenta en la Vía Gigante-Garzón. Lo anterior, con el ánimo de garantizar de manera real y efectiva el derecho constitucional de libre circulación de los habitantes del territorio Nacional y mitigar mayores costos para los usuarios de dicho corredor vial.</w:t>
      </w:r>
    </w:p>
    <w:p w:rsidR="00BB7110" w:rsidRPr="004502D7" w:rsidRDefault="00BB7110" w:rsidP="00BB7110">
      <w:pPr>
        <w:pStyle w:val="Prrafodelista"/>
        <w:tabs>
          <w:tab w:val="left" w:pos="426"/>
        </w:tabs>
        <w:ind w:left="567" w:right="616"/>
        <w:jc w:val="both"/>
        <w:rPr>
          <w:rFonts w:ascii="Work Sans" w:hAnsi="Work Sans" w:cs="Arial"/>
          <w:i/>
          <w:iCs/>
          <w:sz w:val="18"/>
          <w:szCs w:val="22"/>
        </w:rPr>
      </w:pPr>
    </w:p>
    <w:p w:rsidR="004502D7" w:rsidRPr="004502D7" w:rsidRDefault="0081151E" w:rsidP="004502D7">
      <w:pPr>
        <w:ind w:left="567" w:right="616"/>
        <w:jc w:val="both"/>
        <w:rPr>
          <w:rFonts w:ascii="Work Sans" w:hAnsi="Work Sans" w:cs="Arial"/>
          <w:i/>
          <w:sz w:val="18"/>
          <w:szCs w:val="22"/>
        </w:rPr>
      </w:pPr>
      <w:r>
        <w:rPr>
          <w:rFonts w:ascii="Work Sans" w:hAnsi="Work Sans" w:cs="Arial"/>
          <w:i/>
          <w:iCs/>
          <w:sz w:val="18"/>
          <w:szCs w:val="22"/>
        </w:rPr>
        <w:t>M</w:t>
      </w:r>
      <w:r w:rsidR="004502D7" w:rsidRPr="004502D7">
        <w:rPr>
          <w:rFonts w:ascii="Work Sans" w:hAnsi="Work Sans" w:cs="Arial"/>
          <w:i/>
          <w:iCs/>
          <w:sz w:val="18"/>
          <w:szCs w:val="22"/>
        </w:rPr>
        <w:t>ediante Resolución No. 3136 de 29 de julio de 2019 del Ministerio de Transporte “</w:t>
      </w:r>
      <w:r w:rsidR="004502D7" w:rsidRPr="004502D7">
        <w:rPr>
          <w:rFonts w:ascii="Work Sans" w:hAnsi="Work Sans" w:cs="Arial"/>
          <w:i/>
          <w:sz w:val="18"/>
          <w:szCs w:val="22"/>
        </w:rPr>
        <w:t>Por la cual se establecen tarifas de manera temporal en la Estación del Peaje denominada Altamira ubicado en el PR 60+500, con ocasión de la pérdida de la banca entre el PR20+060 al PR21+0150 de la Vía Gigante-Garzón, código 4505, Departamento del Huila”, se resolvió lo siguiente:</w:t>
      </w:r>
    </w:p>
    <w:p w:rsidR="004502D7" w:rsidRPr="004502D7" w:rsidRDefault="004502D7" w:rsidP="004502D7">
      <w:pPr>
        <w:ind w:left="567" w:right="616"/>
        <w:jc w:val="both"/>
        <w:rPr>
          <w:rFonts w:ascii="Work Sans" w:hAnsi="Work Sans" w:cs="Arial"/>
          <w:i/>
          <w:sz w:val="18"/>
          <w:szCs w:val="22"/>
        </w:rPr>
      </w:pPr>
    </w:p>
    <w:p w:rsidR="004502D7" w:rsidRPr="004502D7" w:rsidRDefault="004502D7" w:rsidP="004502D7">
      <w:pPr>
        <w:pStyle w:val="pa80"/>
        <w:ind w:left="567" w:right="616"/>
        <w:jc w:val="both"/>
        <w:rPr>
          <w:rFonts w:ascii="Work Sans" w:hAnsi="Work Sans" w:cs="Arial"/>
          <w:i/>
          <w:iCs/>
          <w:sz w:val="18"/>
          <w:szCs w:val="22"/>
        </w:rPr>
      </w:pPr>
      <w:r w:rsidRPr="004502D7">
        <w:rPr>
          <w:rFonts w:ascii="Work Sans" w:hAnsi="Work Sans" w:cs="Arial"/>
          <w:b/>
          <w:i/>
          <w:iCs/>
          <w:sz w:val="18"/>
          <w:szCs w:val="22"/>
        </w:rPr>
        <w:t>“Artículo 1.-</w:t>
      </w:r>
      <w:r w:rsidRPr="004502D7">
        <w:rPr>
          <w:rFonts w:ascii="Work Sans" w:hAnsi="Work Sans" w:cs="Arial"/>
          <w:i/>
          <w:iCs/>
          <w:color w:val="221E1F"/>
          <w:sz w:val="18"/>
          <w:szCs w:val="22"/>
        </w:rPr>
        <w:t xml:space="preserve"> </w:t>
      </w:r>
      <w:r w:rsidRPr="004502D7">
        <w:rPr>
          <w:rFonts w:ascii="Work Sans" w:hAnsi="Work Sans" w:cs="Arial"/>
          <w:i/>
          <w:iCs/>
          <w:sz w:val="18"/>
          <w:szCs w:val="22"/>
        </w:rPr>
        <w:t>Establecer las siguientes tarifas de manera temporal en la estación de peaje denominada Altamira ubicada en el PR 60 + 500 con ocasión a la perdida de la banca en la vía Gigante-Garzón, Código 4505 entre el PR20+060 al PR21+0150, Departamento del Huila, por el término de cuarenta y cinco (45) días calendario:</w:t>
      </w:r>
    </w:p>
    <w:p w:rsidR="004502D7" w:rsidRPr="004502D7" w:rsidRDefault="004502D7" w:rsidP="004502D7">
      <w:pPr>
        <w:tabs>
          <w:tab w:val="left" w:pos="2625"/>
        </w:tabs>
        <w:ind w:left="567" w:right="616"/>
        <w:jc w:val="both"/>
        <w:rPr>
          <w:rFonts w:ascii="Work Sans" w:hAnsi="Work Sans" w:cs="Arial"/>
          <w:i/>
          <w:iCs/>
          <w:sz w:val="18"/>
          <w:szCs w:val="22"/>
        </w:rPr>
      </w:pPr>
    </w:p>
    <w:tbl>
      <w:tblPr>
        <w:tblW w:w="7536" w:type="dxa"/>
        <w:jc w:val="center"/>
        <w:tblCellMar>
          <w:left w:w="10" w:type="dxa"/>
          <w:right w:w="10" w:type="dxa"/>
        </w:tblCellMar>
        <w:tblLook w:val="0000" w:firstRow="0" w:lastRow="0" w:firstColumn="0" w:lastColumn="0" w:noHBand="0" w:noVBand="0"/>
      </w:tblPr>
      <w:tblGrid>
        <w:gridCol w:w="2372"/>
        <w:gridCol w:w="2792"/>
        <w:gridCol w:w="2372"/>
      </w:tblGrid>
      <w:tr w:rsidR="004502D7" w:rsidRPr="004502D7" w:rsidTr="004502D7">
        <w:trPr>
          <w:trHeight w:val="208"/>
          <w:jc w:val="center"/>
        </w:trPr>
        <w:tc>
          <w:tcPr>
            <w:tcW w:w="75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2625"/>
              </w:tabs>
              <w:ind w:left="567" w:right="616"/>
              <w:jc w:val="center"/>
              <w:rPr>
                <w:rFonts w:ascii="Work Sans" w:hAnsi="Work Sans" w:cs="Arial"/>
                <w:i/>
                <w:iCs/>
                <w:sz w:val="18"/>
                <w:szCs w:val="22"/>
              </w:rPr>
            </w:pPr>
            <w:r w:rsidRPr="004502D7">
              <w:rPr>
                <w:rFonts w:ascii="Work Sans" w:hAnsi="Work Sans" w:cs="Arial"/>
                <w:b/>
                <w:i/>
                <w:iCs/>
                <w:sz w:val="18"/>
                <w:szCs w:val="22"/>
                <w:lang w:val="es-CO" w:eastAsia="es-CO"/>
              </w:rPr>
              <w:t>TARIFA PEAJE ALTAMIRA</w:t>
            </w:r>
          </w:p>
        </w:tc>
      </w:tr>
      <w:tr w:rsidR="004502D7" w:rsidRPr="004502D7" w:rsidTr="004502D7">
        <w:trPr>
          <w:trHeight w:val="83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b/>
                <w:i/>
                <w:iCs/>
                <w:sz w:val="18"/>
                <w:szCs w:val="22"/>
                <w:lang w:val="es-CO" w:eastAsia="es-CO"/>
              </w:rPr>
            </w:pPr>
            <w:r w:rsidRPr="004502D7">
              <w:rPr>
                <w:rFonts w:ascii="Work Sans" w:hAnsi="Work Sans" w:cs="Arial"/>
                <w:b/>
                <w:i/>
                <w:iCs/>
                <w:sz w:val="18"/>
                <w:szCs w:val="22"/>
                <w:lang w:val="es-CO" w:eastAsia="es-CO"/>
              </w:rPr>
              <w:t>CATEGORÍA</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b/>
                <w:i/>
                <w:iCs/>
                <w:sz w:val="18"/>
                <w:szCs w:val="22"/>
                <w:lang w:val="es-CO" w:eastAsia="es-CO"/>
              </w:rPr>
            </w:pPr>
            <w:r w:rsidRPr="004502D7">
              <w:rPr>
                <w:rFonts w:ascii="Work Sans" w:hAnsi="Work Sans" w:cs="Arial"/>
                <w:b/>
                <w:i/>
                <w:iCs/>
                <w:sz w:val="18"/>
                <w:szCs w:val="22"/>
                <w:lang w:val="es-CO" w:eastAsia="es-CO"/>
              </w:rPr>
              <w:t>DESCRIPCIÓN</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b/>
                <w:i/>
                <w:iCs/>
                <w:sz w:val="18"/>
                <w:szCs w:val="22"/>
                <w:lang w:val="es-CO" w:eastAsia="es-CO"/>
              </w:rPr>
            </w:pPr>
            <w:r w:rsidRPr="004502D7">
              <w:rPr>
                <w:rFonts w:ascii="Work Sans" w:hAnsi="Work Sans" w:cs="Arial"/>
                <w:b/>
                <w:i/>
                <w:iCs/>
                <w:sz w:val="18"/>
                <w:szCs w:val="22"/>
                <w:lang w:val="es-CO" w:eastAsia="es-CO"/>
              </w:rPr>
              <w:t>TARIFA</w:t>
            </w:r>
          </w:p>
          <w:p w:rsidR="004502D7" w:rsidRPr="004502D7" w:rsidRDefault="004502D7" w:rsidP="004502D7">
            <w:pPr>
              <w:tabs>
                <w:tab w:val="left" w:pos="2625"/>
              </w:tabs>
              <w:ind w:left="567" w:right="616"/>
              <w:jc w:val="center"/>
              <w:rPr>
                <w:rFonts w:ascii="Work Sans" w:hAnsi="Work Sans" w:cs="Arial"/>
                <w:b/>
                <w:i/>
                <w:iCs/>
                <w:sz w:val="18"/>
                <w:szCs w:val="22"/>
                <w:lang w:val="es-CO" w:eastAsia="es-CO"/>
              </w:rPr>
            </w:pPr>
            <w:r w:rsidRPr="004502D7">
              <w:rPr>
                <w:rFonts w:ascii="Work Sans" w:hAnsi="Work Sans" w:cs="Arial"/>
                <w:i/>
                <w:iCs/>
                <w:sz w:val="18"/>
                <w:szCs w:val="22"/>
              </w:rPr>
              <w:t>(incluido valor FOSEVI)</w:t>
            </w:r>
          </w:p>
        </w:tc>
      </w:tr>
      <w:tr w:rsidR="004502D7" w:rsidRPr="004502D7" w:rsidTr="004502D7">
        <w:trPr>
          <w:trHeight w:val="83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1920"/>
              </w:tabs>
              <w:ind w:left="-64" w:right="106"/>
              <w:jc w:val="center"/>
              <w:rPr>
                <w:rFonts w:ascii="Work Sans" w:hAnsi="Work Sans" w:cs="Arial"/>
                <w:i/>
                <w:iCs/>
                <w:sz w:val="18"/>
                <w:szCs w:val="22"/>
              </w:rPr>
            </w:pPr>
            <w:r w:rsidRPr="004502D7">
              <w:rPr>
                <w:rFonts w:ascii="Work Sans" w:hAnsi="Work Sans" w:cs="Arial"/>
                <w:i/>
                <w:iCs/>
                <w:sz w:val="18"/>
                <w:szCs w:val="22"/>
                <w:lang w:val="es-CO" w:eastAsia="es-CO"/>
              </w:rPr>
              <w:t>Automóviles, Camperos y Camionetas y microbuses con ejes de llanta sencilla</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$4.400</w:t>
            </w:r>
          </w:p>
        </w:tc>
      </w:tr>
      <w:tr w:rsidR="004502D7" w:rsidRPr="004502D7" w:rsidTr="004502D7">
        <w:trPr>
          <w:trHeight w:val="83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II</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1920"/>
              </w:tabs>
              <w:ind w:left="-64" w:right="10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Buses, Busetas microbuses con eje trasero de doble llanta y camiones de dos ejes</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$4.800</w:t>
            </w:r>
          </w:p>
        </w:tc>
      </w:tr>
      <w:tr w:rsidR="004502D7" w:rsidRPr="004502D7" w:rsidTr="004502D7">
        <w:trPr>
          <w:trHeight w:val="625"/>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III</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1920"/>
              </w:tabs>
              <w:ind w:left="-64" w:right="10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Vehículos de pasajeros y de carga de tres y cuatro ejes</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$9.900</w:t>
            </w:r>
          </w:p>
        </w:tc>
      </w:tr>
      <w:tr w:rsidR="004502D7" w:rsidRPr="004502D7" w:rsidTr="004502D7">
        <w:trPr>
          <w:trHeight w:val="402"/>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IV</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1920"/>
              </w:tabs>
              <w:ind w:left="-64" w:right="10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Vehículos de carga de cinco (5) ejes</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$12.500</w:t>
            </w:r>
          </w:p>
        </w:tc>
      </w:tr>
      <w:tr w:rsidR="004502D7" w:rsidRPr="004502D7" w:rsidTr="004502D7">
        <w:trPr>
          <w:trHeight w:val="431"/>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V</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1920"/>
              </w:tabs>
              <w:ind w:left="-64" w:right="10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Vehículos de carga de seis (6) ejes</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2625"/>
              </w:tabs>
              <w:ind w:left="567" w:right="616"/>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$14.000</w:t>
            </w:r>
          </w:p>
        </w:tc>
      </w:tr>
    </w:tbl>
    <w:p w:rsidR="004502D7" w:rsidRPr="004502D7" w:rsidRDefault="004502D7" w:rsidP="004502D7">
      <w:pPr>
        <w:tabs>
          <w:tab w:val="left" w:pos="2625"/>
        </w:tabs>
        <w:ind w:left="567" w:right="616"/>
        <w:jc w:val="both"/>
        <w:rPr>
          <w:rFonts w:ascii="Work Sans" w:hAnsi="Work Sans" w:cs="Arial"/>
          <w:i/>
          <w:iCs/>
          <w:sz w:val="18"/>
          <w:szCs w:val="22"/>
        </w:rPr>
      </w:pPr>
    </w:p>
    <w:p w:rsidR="004502D7" w:rsidRPr="004502D7" w:rsidRDefault="004502D7" w:rsidP="004502D7">
      <w:pPr>
        <w:ind w:left="567" w:right="616"/>
        <w:jc w:val="both"/>
        <w:rPr>
          <w:rFonts w:ascii="Work Sans" w:eastAsia="DengXian Light" w:hAnsi="Work Sans" w:cs="Arial"/>
          <w:i/>
          <w:iCs/>
          <w:sz w:val="18"/>
          <w:szCs w:val="22"/>
        </w:rPr>
      </w:pPr>
      <w:r w:rsidRPr="004502D7">
        <w:rPr>
          <w:rFonts w:ascii="Work Sans" w:hAnsi="Work Sans" w:cs="Arial"/>
          <w:b/>
          <w:i/>
          <w:iCs/>
          <w:sz w:val="18"/>
          <w:szCs w:val="22"/>
        </w:rPr>
        <w:t>Parágrafo:</w:t>
      </w:r>
      <w:r w:rsidRPr="004502D7">
        <w:rPr>
          <w:rFonts w:ascii="Work Sans" w:hAnsi="Work Sans" w:cs="Arial"/>
          <w:i/>
          <w:iCs/>
          <w:sz w:val="18"/>
          <w:szCs w:val="22"/>
        </w:rPr>
        <w:t xml:space="preserve"> A</w:t>
      </w:r>
      <w:r w:rsidRPr="004502D7">
        <w:rPr>
          <w:rFonts w:ascii="Work Sans" w:eastAsia="DengXian Light" w:hAnsi="Work Sans" w:cs="Arial"/>
          <w:i/>
          <w:iCs/>
          <w:sz w:val="18"/>
          <w:szCs w:val="22"/>
        </w:rPr>
        <w:t xml:space="preserve"> los vehículos de carga de más de seis (6) ejes no se les cobrará ningún valor por eje adicional, de manera que la tarifa máxima que aplica para esta clase de vehículos será la correspondiente a los vehículos de la categoría V. Para eje grúa y eje remolque los valores continuarán siendo los establecidos en la Resolución vigente.</w:t>
      </w:r>
    </w:p>
    <w:p w:rsidR="004502D7" w:rsidRPr="004502D7" w:rsidRDefault="004502D7" w:rsidP="004502D7">
      <w:pPr>
        <w:ind w:left="567" w:right="616"/>
        <w:jc w:val="both"/>
        <w:rPr>
          <w:rFonts w:ascii="Work Sans" w:hAnsi="Work Sans" w:cs="Arial"/>
          <w:b/>
          <w:i/>
          <w:iCs/>
          <w:sz w:val="18"/>
          <w:szCs w:val="22"/>
        </w:rPr>
      </w:pPr>
    </w:p>
    <w:p w:rsidR="004502D7" w:rsidRDefault="004502D7" w:rsidP="004502D7">
      <w:pPr>
        <w:ind w:left="567" w:right="616"/>
        <w:jc w:val="both"/>
        <w:rPr>
          <w:rFonts w:ascii="Work Sans" w:hAnsi="Work Sans" w:cs="Arial"/>
          <w:i/>
          <w:iCs/>
          <w:sz w:val="18"/>
          <w:szCs w:val="22"/>
          <w:lang w:eastAsia="es-CO"/>
        </w:rPr>
      </w:pPr>
      <w:r w:rsidRPr="004502D7">
        <w:rPr>
          <w:rFonts w:ascii="Work Sans" w:hAnsi="Work Sans" w:cs="Arial"/>
          <w:b/>
          <w:i/>
          <w:iCs/>
          <w:sz w:val="18"/>
          <w:szCs w:val="22"/>
          <w:lang w:eastAsia="es-CO"/>
        </w:rPr>
        <w:t>ARTÍCULO 2.-</w:t>
      </w:r>
      <w:r w:rsidRPr="004502D7">
        <w:rPr>
          <w:rFonts w:ascii="Work Sans" w:hAnsi="Work Sans" w:cs="Arial"/>
          <w:i/>
          <w:iCs/>
          <w:sz w:val="18"/>
          <w:szCs w:val="22"/>
          <w:lang w:eastAsia="es-CO"/>
        </w:rPr>
        <w:t xml:space="preserve"> Una vez finalizado el termino de cuarenta y cinco (45) días calendario, continuarán aplicándose las tarifas previstas en la Resolución 228 de 2013 en consonancia por la Resolución 036 de 2015 para la estación de peaje denominada Altamira, actualizadas para el año 2019. </w:t>
      </w:r>
    </w:p>
    <w:p w:rsidR="00F53071" w:rsidRPr="004502D7" w:rsidRDefault="00F53071" w:rsidP="004502D7">
      <w:pPr>
        <w:ind w:left="567" w:right="616"/>
        <w:jc w:val="both"/>
        <w:rPr>
          <w:rFonts w:ascii="Work Sans" w:hAnsi="Work Sans" w:cs="Arial"/>
          <w:i/>
          <w:iCs/>
          <w:sz w:val="18"/>
          <w:szCs w:val="22"/>
          <w:lang w:eastAsia="es-CO"/>
        </w:rPr>
      </w:pPr>
    </w:p>
    <w:p w:rsidR="004502D7" w:rsidRPr="004502D7" w:rsidRDefault="004502D7" w:rsidP="004502D7">
      <w:pPr>
        <w:ind w:left="567" w:right="616"/>
        <w:jc w:val="both"/>
        <w:rPr>
          <w:rFonts w:ascii="Work Sans" w:hAnsi="Work Sans" w:cs="Arial"/>
          <w:i/>
          <w:iCs/>
          <w:sz w:val="18"/>
          <w:szCs w:val="22"/>
          <w:lang w:eastAsia="es-CO"/>
        </w:rPr>
      </w:pPr>
      <w:r w:rsidRPr="004502D7">
        <w:rPr>
          <w:rFonts w:ascii="Work Sans" w:hAnsi="Work Sans" w:cs="Arial"/>
          <w:b/>
          <w:i/>
          <w:iCs/>
          <w:sz w:val="18"/>
          <w:szCs w:val="22"/>
          <w:lang w:eastAsia="es-CO"/>
        </w:rPr>
        <w:t xml:space="preserve">ARTÍCULO 3.- </w:t>
      </w:r>
      <w:r w:rsidRPr="004502D7">
        <w:rPr>
          <w:rFonts w:ascii="Work Sans" w:hAnsi="Work Sans" w:cs="Arial"/>
          <w:i/>
          <w:iCs/>
          <w:sz w:val="18"/>
          <w:szCs w:val="22"/>
          <w:lang w:eastAsia="es-CO"/>
        </w:rPr>
        <w:t>La vigencia de la presente resolución es de 45 días calendario contados a partir de la fecha de su publicación.”</w:t>
      </w:r>
    </w:p>
    <w:p w:rsidR="004502D7" w:rsidRDefault="004502D7" w:rsidP="004502D7">
      <w:pPr>
        <w:ind w:left="567" w:right="616"/>
        <w:jc w:val="both"/>
        <w:rPr>
          <w:rFonts w:ascii="Work Sans" w:hAnsi="Work Sans" w:cs="Arial"/>
          <w:i/>
          <w:iCs/>
          <w:sz w:val="18"/>
          <w:szCs w:val="22"/>
        </w:rPr>
      </w:pPr>
    </w:p>
    <w:p w:rsidR="00F53071" w:rsidRDefault="00F53071" w:rsidP="004502D7">
      <w:pPr>
        <w:ind w:left="567" w:right="616"/>
        <w:jc w:val="both"/>
        <w:rPr>
          <w:rFonts w:ascii="Work Sans" w:hAnsi="Work Sans" w:cs="Arial"/>
          <w:i/>
          <w:iCs/>
          <w:sz w:val="18"/>
          <w:szCs w:val="22"/>
        </w:rPr>
      </w:pPr>
      <w:r w:rsidRPr="00F53071">
        <w:rPr>
          <w:rFonts w:ascii="Work Sans" w:hAnsi="Work Sans" w:cs="Arial"/>
          <w:i/>
          <w:iCs/>
          <w:sz w:val="18"/>
          <w:szCs w:val="22"/>
        </w:rPr>
        <w:t>Vale la pena precisar que el establecimiento de las tarifas de carácter temporal, tenía como vigencia cuarenta y cinco (45) días, ya que fue el tiempo estimado para que el Concesionario Aliadas para el Progreso S.A.S. concluyera las actividades de restitución de la vía en el sector conocido como “Pericongo”.</w:t>
      </w:r>
    </w:p>
    <w:p w:rsidR="00F53071" w:rsidRPr="004502D7" w:rsidRDefault="00F53071" w:rsidP="004502D7">
      <w:pPr>
        <w:ind w:left="567" w:right="616"/>
        <w:jc w:val="both"/>
        <w:rPr>
          <w:rFonts w:ascii="Work Sans" w:hAnsi="Work Sans" w:cs="Arial"/>
          <w:i/>
          <w:iCs/>
          <w:sz w:val="18"/>
          <w:szCs w:val="22"/>
        </w:rPr>
      </w:pPr>
    </w:p>
    <w:p w:rsidR="004502D7" w:rsidRPr="004502D7" w:rsidRDefault="00F53071" w:rsidP="004502D7">
      <w:pPr>
        <w:ind w:left="567" w:right="616"/>
        <w:jc w:val="both"/>
        <w:rPr>
          <w:rFonts w:ascii="Work Sans" w:hAnsi="Work Sans" w:cs="Arial"/>
          <w:i/>
          <w:iCs/>
          <w:sz w:val="18"/>
          <w:szCs w:val="22"/>
        </w:rPr>
      </w:pPr>
      <w:bookmarkStart w:id="5" w:name="_Hlk19284138"/>
      <w:r>
        <w:rPr>
          <w:rFonts w:ascii="Work Sans" w:hAnsi="Work Sans" w:cs="Arial"/>
          <w:i/>
          <w:iCs/>
          <w:sz w:val="18"/>
          <w:szCs w:val="22"/>
        </w:rPr>
        <w:t>E</w:t>
      </w:r>
      <w:r w:rsidR="004502D7" w:rsidRPr="004502D7">
        <w:rPr>
          <w:rFonts w:ascii="Work Sans" w:hAnsi="Work Sans" w:cs="Arial"/>
          <w:i/>
          <w:iCs/>
          <w:sz w:val="18"/>
          <w:szCs w:val="22"/>
        </w:rPr>
        <w:t>l Interventor del Proyecto mediante oficio No. INMS-448-19-950, con radicado en la ANI No. 2019-409-096513-2 de 13 de septiembre de 2019, manifestó con relación a la situación del corredor vial y el cobro de peajes lo siguiente:</w:t>
      </w:r>
    </w:p>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spacing w:line="252" w:lineRule="auto"/>
        <w:ind w:left="567" w:right="616"/>
        <w:jc w:val="both"/>
        <w:rPr>
          <w:rFonts w:ascii="Work Sans" w:hAnsi="Work Sans" w:cs="Arial"/>
          <w:i/>
          <w:iCs/>
          <w:sz w:val="18"/>
          <w:szCs w:val="22"/>
        </w:rPr>
      </w:pPr>
      <w:r w:rsidRPr="004502D7">
        <w:rPr>
          <w:rFonts w:ascii="Work Sans" w:hAnsi="Work Sans" w:cs="Arial"/>
          <w:i/>
          <w:iCs/>
          <w:sz w:val="18"/>
          <w:szCs w:val="22"/>
        </w:rPr>
        <w:t>“(…) se debe considerar, que al no haberse ejecutado parte de las actividades que motivaron la resolución 003136 hay necesidad de continuar con los beneficios a los usuarios mediante la aplicación de tarifas reducidas por un tiempo prudencial que puede ser de cuarenta y cinco (45) días calendario.</w:t>
      </w:r>
    </w:p>
    <w:p w:rsidR="004502D7" w:rsidRPr="004502D7" w:rsidRDefault="004502D7" w:rsidP="004502D7">
      <w:pPr>
        <w:spacing w:line="252" w:lineRule="auto"/>
        <w:ind w:left="567" w:right="616"/>
        <w:jc w:val="both"/>
        <w:rPr>
          <w:rFonts w:ascii="Work Sans" w:hAnsi="Work Sans" w:cs="Arial"/>
          <w:i/>
          <w:iCs/>
          <w:sz w:val="18"/>
          <w:szCs w:val="22"/>
        </w:rPr>
      </w:pPr>
    </w:p>
    <w:p w:rsidR="004502D7" w:rsidRPr="004502D7" w:rsidRDefault="004502D7" w:rsidP="004502D7">
      <w:pPr>
        <w:spacing w:line="252" w:lineRule="auto"/>
        <w:ind w:left="567" w:right="616"/>
        <w:jc w:val="both"/>
        <w:rPr>
          <w:rFonts w:ascii="Work Sans" w:hAnsi="Work Sans" w:cs="Arial"/>
          <w:i/>
          <w:iCs/>
          <w:sz w:val="18"/>
          <w:szCs w:val="22"/>
        </w:rPr>
      </w:pPr>
      <w:r w:rsidRPr="004502D7">
        <w:rPr>
          <w:rFonts w:ascii="Work Sans" w:hAnsi="Work Sans" w:cs="Arial"/>
          <w:i/>
          <w:iCs/>
          <w:sz w:val="18"/>
          <w:szCs w:val="22"/>
        </w:rPr>
        <w:t>Importante tener en cuenta que el concesionario ALIADAS PARA EL PROGRESO S.A.S como responsable del corredor debe conceptuar sobre la posibilidad de aplicar estas tarifas, su implicación en el recaudo y cuál es el tiempo que estiman prudente puede accederse a esos beneficios.”</w:t>
      </w:r>
    </w:p>
    <w:bookmarkEnd w:id="5"/>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Con base en lo anterior, se propone al Ministerio establecer las siguientes tarifas en cada uno en el Peaje de Altamira, tal como se indica a continuación:</w:t>
      </w:r>
    </w:p>
    <w:p w:rsidR="004502D7" w:rsidRPr="004502D7" w:rsidRDefault="004502D7" w:rsidP="004502D7">
      <w:pPr>
        <w:ind w:left="567" w:right="616"/>
        <w:jc w:val="both"/>
        <w:rPr>
          <w:rFonts w:ascii="Work Sans" w:hAnsi="Work Sans" w:cs="Arial"/>
          <w:i/>
          <w:iCs/>
          <w:sz w:val="18"/>
          <w:szCs w:val="22"/>
        </w:rPr>
      </w:pPr>
    </w:p>
    <w:tbl>
      <w:tblPr>
        <w:tblW w:w="7583" w:type="dxa"/>
        <w:jc w:val="center"/>
        <w:tblCellMar>
          <w:left w:w="10" w:type="dxa"/>
          <w:right w:w="10" w:type="dxa"/>
        </w:tblCellMar>
        <w:tblLook w:val="0000" w:firstRow="0" w:lastRow="0" w:firstColumn="0" w:lastColumn="0" w:noHBand="0" w:noVBand="0"/>
      </w:tblPr>
      <w:tblGrid>
        <w:gridCol w:w="2067"/>
        <w:gridCol w:w="3685"/>
        <w:gridCol w:w="1831"/>
      </w:tblGrid>
      <w:tr w:rsidR="004502D7" w:rsidRPr="004502D7" w:rsidTr="00744271">
        <w:trPr>
          <w:jc w:val="center"/>
        </w:trPr>
        <w:tc>
          <w:tcPr>
            <w:tcW w:w="7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4502D7">
            <w:pPr>
              <w:tabs>
                <w:tab w:val="left" w:pos="2625"/>
              </w:tabs>
              <w:ind w:left="567" w:right="616"/>
              <w:jc w:val="center"/>
              <w:rPr>
                <w:rFonts w:ascii="Work Sans" w:hAnsi="Work Sans" w:cs="Arial"/>
                <w:i/>
                <w:iCs/>
                <w:sz w:val="18"/>
                <w:szCs w:val="22"/>
              </w:rPr>
            </w:pPr>
            <w:r w:rsidRPr="004502D7">
              <w:rPr>
                <w:rFonts w:ascii="Work Sans" w:hAnsi="Work Sans" w:cs="Arial"/>
                <w:b/>
                <w:i/>
                <w:iCs/>
                <w:sz w:val="18"/>
                <w:szCs w:val="22"/>
                <w:lang w:val="es-CO" w:eastAsia="es-CO"/>
              </w:rPr>
              <w:t>TARIFA PEAJE ALTAMIRA</w:t>
            </w:r>
          </w:p>
        </w:tc>
      </w:tr>
      <w:tr w:rsidR="004502D7" w:rsidRPr="004502D7" w:rsidTr="00F11DF8">
        <w:trPr>
          <w:jc w:val="center"/>
        </w:trPr>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ind w:left="258" w:right="247"/>
              <w:jc w:val="center"/>
              <w:rPr>
                <w:rFonts w:ascii="Work Sans" w:hAnsi="Work Sans" w:cs="Arial"/>
                <w:b/>
                <w:i/>
                <w:iCs/>
                <w:sz w:val="18"/>
                <w:szCs w:val="22"/>
                <w:lang w:val="es-CO" w:eastAsia="es-CO"/>
              </w:rPr>
            </w:pPr>
            <w:r w:rsidRPr="004502D7">
              <w:rPr>
                <w:rFonts w:ascii="Work Sans" w:hAnsi="Work Sans" w:cs="Arial"/>
                <w:b/>
                <w:i/>
                <w:iCs/>
                <w:sz w:val="18"/>
                <w:szCs w:val="22"/>
                <w:lang w:val="es-CO" w:eastAsia="es-CO"/>
              </w:rPr>
              <w:t>CATEGORÍA</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104" w:right="247"/>
              <w:jc w:val="center"/>
              <w:rPr>
                <w:rFonts w:ascii="Work Sans" w:hAnsi="Work Sans" w:cs="Arial"/>
                <w:b/>
                <w:i/>
                <w:iCs/>
                <w:sz w:val="18"/>
                <w:szCs w:val="22"/>
                <w:lang w:val="es-CO" w:eastAsia="es-CO"/>
              </w:rPr>
            </w:pPr>
            <w:r w:rsidRPr="004502D7">
              <w:rPr>
                <w:rFonts w:ascii="Work Sans" w:hAnsi="Work Sans" w:cs="Arial"/>
                <w:b/>
                <w:i/>
                <w:iCs/>
                <w:sz w:val="18"/>
                <w:szCs w:val="22"/>
                <w:lang w:val="es-CO" w:eastAsia="es-CO"/>
              </w:rPr>
              <w:t>DESCRIPCIÓN</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150" w:right="164" w:hanging="25"/>
              <w:jc w:val="center"/>
              <w:rPr>
                <w:rFonts w:ascii="Work Sans" w:hAnsi="Work Sans" w:cs="Arial"/>
                <w:b/>
                <w:i/>
                <w:iCs/>
                <w:sz w:val="18"/>
                <w:szCs w:val="22"/>
                <w:lang w:val="es-CO" w:eastAsia="es-CO"/>
              </w:rPr>
            </w:pPr>
            <w:r w:rsidRPr="004502D7">
              <w:rPr>
                <w:rFonts w:ascii="Work Sans" w:hAnsi="Work Sans" w:cs="Arial"/>
                <w:b/>
                <w:i/>
                <w:iCs/>
                <w:sz w:val="18"/>
                <w:szCs w:val="22"/>
                <w:lang w:val="es-CO" w:eastAsia="es-CO"/>
              </w:rPr>
              <w:t>TARIFA</w:t>
            </w:r>
          </w:p>
          <w:p w:rsidR="004502D7" w:rsidRPr="004502D7" w:rsidRDefault="004502D7" w:rsidP="00F11DF8">
            <w:pPr>
              <w:tabs>
                <w:tab w:val="left" w:pos="2625"/>
              </w:tabs>
              <w:ind w:left="150" w:right="164" w:hanging="25"/>
              <w:jc w:val="center"/>
              <w:rPr>
                <w:rFonts w:ascii="Work Sans" w:hAnsi="Work Sans" w:cs="Arial"/>
                <w:b/>
                <w:i/>
                <w:iCs/>
                <w:sz w:val="18"/>
                <w:szCs w:val="22"/>
                <w:lang w:val="es-CO" w:eastAsia="es-CO"/>
              </w:rPr>
            </w:pPr>
            <w:r w:rsidRPr="004502D7">
              <w:rPr>
                <w:rFonts w:ascii="Work Sans" w:hAnsi="Work Sans" w:cs="Arial"/>
                <w:i/>
                <w:iCs/>
                <w:sz w:val="18"/>
                <w:szCs w:val="22"/>
              </w:rPr>
              <w:t>(incluido valor FOSEVI)</w:t>
            </w:r>
          </w:p>
        </w:tc>
      </w:tr>
      <w:tr w:rsidR="004502D7" w:rsidRPr="004502D7" w:rsidTr="00F11DF8">
        <w:trPr>
          <w:jc w:val="center"/>
        </w:trPr>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258" w:right="247"/>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ind w:left="104" w:right="247"/>
              <w:jc w:val="both"/>
              <w:rPr>
                <w:rFonts w:ascii="Work Sans" w:hAnsi="Work Sans" w:cs="Arial"/>
                <w:i/>
                <w:iCs/>
                <w:sz w:val="18"/>
                <w:szCs w:val="22"/>
              </w:rPr>
            </w:pPr>
            <w:r w:rsidRPr="004502D7">
              <w:rPr>
                <w:rFonts w:ascii="Work Sans" w:hAnsi="Work Sans" w:cs="Arial"/>
                <w:i/>
                <w:iCs/>
                <w:sz w:val="18"/>
                <w:szCs w:val="22"/>
                <w:lang w:val="es-CO" w:eastAsia="es-CO"/>
              </w:rPr>
              <w:t>Automóviles, Camperos y Camionetas y microbuses con ejes de llanta sencilla</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150" w:right="164" w:hanging="25"/>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$4.400</w:t>
            </w:r>
          </w:p>
        </w:tc>
      </w:tr>
      <w:tr w:rsidR="004502D7" w:rsidRPr="004502D7" w:rsidTr="00F11DF8">
        <w:trPr>
          <w:jc w:val="center"/>
        </w:trPr>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258" w:right="247"/>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ind w:left="104" w:right="247"/>
              <w:jc w:val="both"/>
              <w:rPr>
                <w:rFonts w:ascii="Work Sans" w:hAnsi="Work Sans" w:cs="Arial"/>
                <w:i/>
                <w:iCs/>
                <w:sz w:val="18"/>
                <w:szCs w:val="22"/>
                <w:lang w:val="es-CO" w:eastAsia="es-CO"/>
              </w:rPr>
            </w:pPr>
            <w:r w:rsidRPr="004502D7">
              <w:rPr>
                <w:rFonts w:ascii="Work Sans" w:hAnsi="Work Sans" w:cs="Arial"/>
                <w:i/>
                <w:iCs/>
                <w:sz w:val="18"/>
                <w:szCs w:val="22"/>
                <w:lang w:val="es-CO" w:eastAsia="es-CO"/>
              </w:rPr>
              <w:t>Buses, Busetas microbuses con eje trasero de doble llanta y camiones de dos ejes</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150" w:right="164" w:hanging="25"/>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$4.800</w:t>
            </w:r>
          </w:p>
        </w:tc>
      </w:tr>
      <w:tr w:rsidR="004502D7" w:rsidRPr="004502D7" w:rsidTr="00F11DF8">
        <w:trPr>
          <w:jc w:val="center"/>
        </w:trPr>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258" w:right="247"/>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III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ind w:left="104" w:right="247"/>
              <w:jc w:val="both"/>
              <w:rPr>
                <w:rFonts w:ascii="Work Sans" w:hAnsi="Work Sans" w:cs="Arial"/>
                <w:i/>
                <w:iCs/>
                <w:sz w:val="18"/>
                <w:szCs w:val="22"/>
                <w:lang w:val="es-CO" w:eastAsia="es-CO"/>
              </w:rPr>
            </w:pPr>
            <w:r w:rsidRPr="004502D7">
              <w:rPr>
                <w:rFonts w:ascii="Work Sans" w:hAnsi="Work Sans" w:cs="Arial"/>
                <w:i/>
                <w:iCs/>
                <w:sz w:val="18"/>
                <w:szCs w:val="22"/>
                <w:lang w:val="es-CO" w:eastAsia="es-CO"/>
              </w:rPr>
              <w:t>Vehículos de pasajeros y de carga de tres y cuatro ejes</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150" w:right="164" w:hanging="25"/>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$9.900</w:t>
            </w:r>
          </w:p>
        </w:tc>
      </w:tr>
      <w:tr w:rsidR="004502D7" w:rsidRPr="004502D7" w:rsidTr="00F11DF8">
        <w:trPr>
          <w:jc w:val="center"/>
        </w:trPr>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258" w:right="247"/>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IV</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ind w:left="104" w:right="247"/>
              <w:jc w:val="both"/>
              <w:rPr>
                <w:rFonts w:ascii="Work Sans" w:hAnsi="Work Sans" w:cs="Arial"/>
                <w:i/>
                <w:iCs/>
                <w:sz w:val="18"/>
                <w:szCs w:val="22"/>
                <w:lang w:val="es-CO" w:eastAsia="es-CO"/>
              </w:rPr>
            </w:pPr>
            <w:r w:rsidRPr="004502D7">
              <w:rPr>
                <w:rFonts w:ascii="Work Sans" w:hAnsi="Work Sans" w:cs="Arial"/>
                <w:i/>
                <w:iCs/>
                <w:sz w:val="18"/>
                <w:szCs w:val="22"/>
                <w:lang w:val="es-CO" w:eastAsia="es-CO"/>
              </w:rPr>
              <w:t>Vehículos de carga de cinco (5) ejes</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2D7" w:rsidRPr="004502D7" w:rsidRDefault="004502D7" w:rsidP="00F11DF8">
            <w:pPr>
              <w:tabs>
                <w:tab w:val="left" w:pos="2625"/>
              </w:tabs>
              <w:ind w:left="150" w:right="164" w:hanging="25"/>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$12.500</w:t>
            </w:r>
          </w:p>
        </w:tc>
      </w:tr>
      <w:tr w:rsidR="004502D7" w:rsidRPr="004502D7" w:rsidTr="00F11DF8">
        <w:trPr>
          <w:jc w:val="center"/>
        </w:trPr>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tabs>
                <w:tab w:val="left" w:pos="2625"/>
              </w:tabs>
              <w:ind w:left="258" w:right="247"/>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CATEGORÍA V</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ind w:left="104" w:right="247"/>
              <w:jc w:val="both"/>
              <w:rPr>
                <w:rFonts w:ascii="Work Sans" w:hAnsi="Work Sans" w:cs="Arial"/>
                <w:i/>
                <w:iCs/>
                <w:sz w:val="18"/>
                <w:szCs w:val="22"/>
                <w:lang w:val="es-CO" w:eastAsia="es-CO"/>
              </w:rPr>
            </w:pPr>
            <w:r w:rsidRPr="004502D7">
              <w:rPr>
                <w:rFonts w:ascii="Work Sans" w:hAnsi="Work Sans" w:cs="Arial"/>
                <w:i/>
                <w:iCs/>
                <w:sz w:val="18"/>
                <w:szCs w:val="22"/>
                <w:lang w:val="es-CO" w:eastAsia="es-CO"/>
              </w:rPr>
              <w:t>Vehículos de carga de seis (6) ejes</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2D7" w:rsidRPr="004502D7" w:rsidRDefault="004502D7" w:rsidP="00F11DF8">
            <w:pPr>
              <w:tabs>
                <w:tab w:val="left" w:pos="2625"/>
              </w:tabs>
              <w:ind w:left="150" w:right="164" w:hanging="25"/>
              <w:jc w:val="center"/>
              <w:rPr>
                <w:rFonts w:ascii="Work Sans" w:hAnsi="Work Sans" w:cs="Arial"/>
                <w:i/>
                <w:iCs/>
                <w:sz w:val="18"/>
                <w:szCs w:val="22"/>
                <w:lang w:val="es-CO" w:eastAsia="es-CO"/>
              </w:rPr>
            </w:pPr>
            <w:r w:rsidRPr="004502D7">
              <w:rPr>
                <w:rFonts w:ascii="Work Sans" w:hAnsi="Work Sans" w:cs="Arial"/>
                <w:i/>
                <w:iCs/>
                <w:sz w:val="18"/>
                <w:szCs w:val="22"/>
                <w:lang w:val="es-CO" w:eastAsia="es-CO"/>
              </w:rPr>
              <w:t>$14.000</w:t>
            </w:r>
          </w:p>
        </w:tc>
      </w:tr>
    </w:tbl>
    <w:p w:rsidR="004502D7" w:rsidRPr="004502D7" w:rsidRDefault="004502D7" w:rsidP="004502D7">
      <w:pPr>
        <w:ind w:left="567" w:right="616"/>
        <w:jc w:val="both"/>
        <w:rPr>
          <w:rFonts w:ascii="Work Sans" w:hAnsi="Work Sans" w:cs="Arial"/>
          <w:i/>
          <w:iCs/>
          <w:sz w:val="18"/>
          <w:szCs w:val="22"/>
        </w:rPr>
      </w:pPr>
    </w:p>
    <w:p w:rsidR="004502D7"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Vale la pena precisar que las tarifas anteriormente indicadas tienen incluido el valor correspondiente al Programa de Seguridad en Carreteras Nacionales- FOSEVI, toda vez que el redondeo a ser aplicado según el Contrato de Concesión como ya se explicó, se efectúa una vez calculado el FOSEVI.</w:t>
      </w:r>
    </w:p>
    <w:p w:rsidR="004502D7" w:rsidRPr="004502D7" w:rsidRDefault="004502D7" w:rsidP="004502D7">
      <w:pPr>
        <w:ind w:left="567" w:right="616"/>
        <w:jc w:val="both"/>
        <w:rPr>
          <w:rFonts w:ascii="Work Sans" w:hAnsi="Work Sans" w:cs="Arial"/>
          <w:i/>
          <w:iCs/>
          <w:sz w:val="18"/>
          <w:szCs w:val="22"/>
        </w:rPr>
      </w:pPr>
    </w:p>
    <w:p w:rsidR="00FC4460" w:rsidRPr="004502D7" w:rsidRDefault="004502D7" w:rsidP="004502D7">
      <w:pPr>
        <w:ind w:left="567" w:right="616"/>
        <w:jc w:val="both"/>
        <w:rPr>
          <w:rFonts w:ascii="Work Sans" w:hAnsi="Work Sans" w:cs="Arial"/>
          <w:i/>
          <w:iCs/>
          <w:sz w:val="18"/>
          <w:szCs w:val="22"/>
        </w:rPr>
      </w:pPr>
      <w:r w:rsidRPr="004502D7">
        <w:rPr>
          <w:rFonts w:ascii="Work Sans" w:hAnsi="Work Sans" w:cs="Arial"/>
          <w:i/>
          <w:iCs/>
          <w:sz w:val="18"/>
          <w:szCs w:val="22"/>
        </w:rPr>
        <w:t xml:space="preserve">Igualmente y para evitar futuras controversias en el marco de la ejecución del Contrato de Concesión No.  012 de 2015, el Concesionario Aliadas para el Progreso S.A.S. mediante </w:t>
      </w:r>
      <w:r w:rsidRPr="004502D7">
        <w:rPr>
          <w:rFonts w:ascii="Work Sans" w:hAnsi="Work Sans" w:cs="Arial"/>
          <w:i/>
          <w:sz w:val="18"/>
          <w:szCs w:val="22"/>
        </w:rPr>
        <w:t xml:space="preserve">oficio No. S-ANI-19-0071, </w:t>
      </w:r>
      <w:r w:rsidRPr="004502D7">
        <w:rPr>
          <w:rFonts w:ascii="Work Sans" w:hAnsi="Work Sans" w:cs="Arial"/>
          <w:i/>
          <w:iCs/>
          <w:sz w:val="18"/>
          <w:szCs w:val="22"/>
        </w:rPr>
        <w:t xml:space="preserve">con radicado en la ANI No. 2019409096553-2 </w:t>
      </w:r>
      <w:r w:rsidRPr="004502D7">
        <w:rPr>
          <w:rFonts w:ascii="Work Sans" w:hAnsi="Work Sans" w:cs="Arial"/>
          <w:i/>
          <w:sz w:val="18"/>
          <w:szCs w:val="22"/>
        </w:rPr>
        <w:t>del 13 de septiembre de 2019,</w:t>
      </w:r>
      <w:r w:rsidRPr="004502D7">
        <w:rPr>
          <w:rFonts w:ascii="Work Sans" w:hAnsi="Work Sans" w:cs="Arial"/>
          <w:i/>
          <w:iCs/>
          <w:sz w:val="18"/>
          <w:szCs w:val="22"/>
        </w:rPr>
        <w:t xml:space="preserve"> ha emitido certificación en la que declara que producto de las tarifas de carácter temporal  por cuarenta y cinco (45) días: “(i) no dará lugar a la reclamación por ruptura del equilibrio económico del Contrato de Concesión, y (ii) no dará lugar a la solicitud de que se active el riesgo de cambio de tarifa de peajes”.</w:t>
      </w:r>
      <w:bookmarkEnd w:id="4"/>
    </w:p>
    <w:p w:rsidR="008C4D26" w:rsidRDefault="008C4D26" w:rsidP="008C4D26">
      <w:pPr>
        <w:jc w:val="both"/>
        <w:rPr>
          <w:rFonts w:ascii="Arial" w:hAnsi="Arial" w:cs="Arial"/>
        </w:rPr>
      </w:pPr>
    </w:p>
    <w:p w:rsidR="008D345B" w:rsidRDefault="00813634">
      <w:pPr>
        <w:widowControl/>
        <w:tabs>
          <w:tab w:val="left" w:pos="426"/>
        </w:tabs>
        <w:jc w:val="both"/>
        <w:rPr>
          <w:rFonts w:ascii="Work Sans" w:eastAsia="DengXian Light" w:hAnsi="Work Sans" w:cs="Times New Roman"/>
          <w:kern w:val="0"/>
          <w:sz w:val="20"/>
          <w:szCs w:val="20"/>
          <w:lang w:val="es" w:eastAsia="es-ES" w:bidi="ar-SA"/>
        </w:rPr>
      </w:pPr>
      <w:r w:rsidRPr="003A0144">
        <w:rPr>
          <w:rFonts w:ascii="Work Sans" w:eastAsia="DengXian Light" w:hAnsi="Work Sans" w:cs="Courier New"/>
          <w:sz w:val="20"/>
          <w:szCs w:val="20"/>
          <w:lang w:bidi="ar-SA"/>
        </w:rPr>
        <w:t>Que mediante memorando</w:t>
      </w:r>
      <w:r w:rsidR="00CF3D7B">
        <w:rPr>
          <w:rFonts w:ascii="Work Sans" w:eastAsia="DengXian Light" w:hAnsi="Work Sans" w:cs="Courier New"/>
          <w:sz w:val="20"/>
          <w:szCs w:val="20"/>
          <w:lang w:bidi="ar-SA"/>
        </w:rPr>
        <w:t xml:space="preserve"> </w:t>
      </w:r>
      <w:r w:rsidR="00F11DF8">
        <w:rPr>
          <w:rFonts w:ascii="Work Sans" w:eastAsia="DengXian Light" w:hAnsi="Work Sans" w:cs="Courier New"/>
          <w:sz w:val="20"/>
          <w:szCs w:val="20"/>
          <w:lang w:bidi="ar-SA"/>
        </w:rPr>
        <w:t xml:space="preserve">20191410090653 </w:t>
      </w:r>
      <w:r w:rsidR="005A4009" w:rsidRPr="00AD1CE0">
        <w:rPr>
          <w:rFonts w:ascii="Work Sans" w:eastAsia="DengXian Light" w:hAnsi="Work Sans" w:cs="Courier New"/>
          <w:sz w:val="20"/>
          <w:szCs w:val="20"/>
          <w:lang w:bidi="ar-SA"/>
        </w:rPr>
        <w:t>del</w:t>
      </w:r>
      <w:r w:rsidR="005A4009">
        <w:rPr>
          <w:rFonts w:ascii="Work Sans" w:eastAsia="DengXian Light" w:hAnsi="Work Sans" w:cs="Courier New"/>
          <w:sz w:val="20"/>
          <w:szCs w:val="20"/>
          <w:lang w:bidi="ar-SA"/>
        </w:rPr>
        <w:t xml:space="preserve"> </w:t>
      </w:r>
      <w:r w:rsidR="00F11DF8">
        <w:rPr>
          <w:rFonts w:ascii="Work Sans" w:eastAsia="DengXian Light" w:hAnsi="Work Sans" w:cs="Courier New"/>
          <w:sz w:val="20"/>
          <w:szCs w:val="20"/>
          <w:lang w:bidi="ar-SA"/>
        </w:rPr>
        <w:t xml:space="preserve">17 de septiembre </w:t>
      </w:r>
      <w:r w:rsidRPr="00CF3D7B">
        <w:rPr>
          <w:rFonts w:ascii="Work Sans" w:hAnsi="Work Sans"/>
          <w:sz w:val="20"/>
          <w:szCs w:val="20"/>
        </w:rPr>
        <w:t xml:space="preserve">de 2019, la Oficina de Regulación Económica, del Ministerio de Transporte en cumplimiento del numeral 9.8. del artículo 9 del Decreto 087 de 2011 analizó y viabilizó </w:t>
      </w:r>
      <w:r w:rsidR="00CF3D7B" w:rsidRPr="00CF3D7B">
        <w:rPr>
          <w:rFonts w:ascii="Work Sans" w:hAnsi="Work Sans"/>
          <w:sz w:val="20"/>
          <w:szCs w:val="20"/>
        </w:rPr>
        <w:t xml:space="preserve">el establecimiento de manera temporal de </w:t>
      </w:r>
      <w:r w:rsidRPr="00CF3D7B">
        <w:rPr>
          <w:rFonts w:ascii="Work Sans" w:hAnsi="Work Sans"/>
          <w:sz w:val="20"/>
          <w:szCs w:val="20"/>
        </w:rPr>
        <w:t>las tarifas en la estación de peaje denominada Altamira ubicada en el PR</w:t>
      </w:r>
      <w:r w:rsidR="00F11DF8">
        <w:rPr>
          <w:rFonts w:ascii="Work Sans" w:hAnsi="Work Sans"/>
          <w:sz w:val="20"/>
          <w:szCs w:val="20"/>
        </w:rPr>
        <w:t>60 +</w:t>
      </w:r>
      <w:r w:rsidRPr="00CF3D7B">
        <w:rPr>
          <w:rFonts w:ascii="Work Sans" w:hAnsi="Work Sans"/>
          <w:sz w:val="20"/>
          <w:szCs w:val="20"/>
        </w:rPr>
        <w:t>500 de la vía Gigante-Garzón, código 4505.</w:t>
      </w:r>
    </w:p>
    <w:p w:rsidR="00CF3D7B" w:rsidRDefault="00CF3D7B">
      <w:pPr>
        <w:widowControl/>
        <w:tabs>
          <w:tab w:val="left" w:pos="426"/>
        </w:tabs>
        <w:jc w:val="both"/>
        <w:rPr>
          <w:rFonts w:ascii="Work Sans" w:eastAsia="DengXian Light" w:hAnsi="Work Sans" w:cs="Times New Roman"/>
          <w:kern w:val="0"/>
          <w:sz w:val="20"/>
          <w:szCs w:val="20"/>
          <w:lang w:val="es" w:eastAsia="es-ES" w:bidi="ar-SA"/>
        </w:rPr>
      </w:pPr>
    </w:p>
    <w:p w:rsidR="00AF314D" w:rsidRPr="00CE0B1A" w:rsidRDefault="006161C9" w:rsidP="00AF314D">
      <w:pPr>
        <w:pStyle w:val="Estilo1"/>
        <w:jc w:val="both"/>
        <w:rPr>
          <w:rFonts w:ascii="Work Sans" w:hAnsi="Work Sans" w:cs="Lohit Devanagari"/>
          <w:lang w:bidi="hi-IN"/>
        </w:rPr>
      </w:pPr>
      <w:r w:rsidRPr="00CE0B1A">
        <w:rPr>
          <w:rFonts w:ascii="Work Sans" w:hAnsi="Work Sans" w:cs="Lohit Devanagari"/>
          <w:lang w:bidi="hi-IN"/>
        </w:rPr>
        <w:t>Que mediante memorando</w:t>
      </w:r>
      <w:r w:rsidR="00AF314D" w:rsidRPr="00CE0B1A">
        <w:rPr>
          <w:rFonts w:ascii="Work Sans" w:hAnsi="Work Sans" w:cs="Lohit Devanagari"/>
          <w:lang w:bidi="hi-IN"/>
        </w:rPr>
        <w:t xml:space="preserve"> 20196000090583 del 17 de septiembre de 2019 </w:t>
      </w:r>
      <w:r w:rsidRPr="00CE0B1A">
        <w:rPr>
          <w:rFonts w:ascii="Work Sans" w:hAnsi="Work Sans" w:cs="Lohit Devanagari"/>
          <w:lang w:bidi="hi-IN"/>
        </w:rPr>
        <w:t xml:space="preserve">el Viceministerio de Infraestructura </w:t>
      </w:r>
      <w:r w:rsidR="00CE0B1A" w:rsidRPr="00CE0B1A">
        <w:rPr>
          <w:rFonts w:ascii="Work Sans" w:hAnsi="Work Sans" w:cs="Lohit Devanagari"/>
          <w:lang w:bidi="hi-IN"/>
        </w:rPr>
        <w:t xml:space="preserve">encuentra procedente establecer </w:t>
      </w:r>
      <w:r w:rsidRPr="00CE0B1A">
        <w:rPr>
          <w:rFonts w:ascii="Work Sans" w:hAnsi="Work Sans" w:cs="Lohit Devanagari"/>
          <w:lang w:bidi="hi-IN"/>
        </w:rPr>
        <w:t xml:space="preserve">de manera temporal unas tarifas en la estación de peaje denominada Altamira, </w:t>
      </w:r>
      <w:r w:rsidR="00AF314D" w:rsidRPr="00CE0B1A">
        <w:rPr>
          <w:rFonts w:ascii="Work Sans" w:hAnsi="Work Sans" w:cs="Lohit Devanagari"/>
          <w:lang w:bidi="hi-IN"/>
        </w:rPr>
        <w:t xml:space="preserve">con el </w:t>
      </w:r>
      <w:r w:rsidR="00AF314D" w:rsidRPr="00CE0B1A">
        <w:rPr>
          <w:rFonts w:ascii="Work Sans" w:hAnsi="Work Sans" w:cs="Lohit Devanagari"/>
          <w:lang w:bidi="hi-IN"/>
        </w:rPr>
        <w:lastRenderedPageBreak/>
        <w:t>fin de mitigar los efectos de la pérdida de la banca en la vía entre Gigante y Garzón</w:t>
      </w:r>
      <w:r w:rsidR="00CE0B1A" w:rsidRPr="00CE0B1A">
        <w:rPr>
          <w:rFonts w:ascii="Work Sans" w:hAnsi="Work Sans" w:cs="Lohit Devanagari"/>
          <w:lang w:bidi="hi-IN"/>
        </w:rPr>
        <w:t>.</w:t>
      </w:r>
    </w:p>
    <w:p w:rsidR="00CE0B1A" w:rsidRDefault="00CE0B1A" w:rsidP="00AF314D">
      <w:pPr>
        <w:pStyle w:val="Estilo1"/>
        <w:jc w:val="both"/>
        <w:rPr>
          <w:rFonts w:ascii="Work Sans" w:hAnsi="Work Sans" w:cs="Futura Bk BT"/>
          <w:sz w:val="22"/>
          <w:szCs w:val="22"/>
        </w:rPr>
      </w:pPr>
    </w:p>
    <w:p w:rsidR="00017D3C" w:rsidRPr="003A0144" w:rsidRDefault="00813634" w:rsidP="00B20280">
      <w:pPr>
        <w:tabs>
          <w:tab w:val="left" w:pos="426"/>
        </w:tabs>
        <w:ind w:right="49"/>
        <w:jc w:val="both"/>
        <w:rPr>
          <w:rFonts w:ascii="Work Sans" w:eastAsia="DengXian Light" w:hAnsi="Work Sans" w:cs="Courier New"/>
          <w:sz w:val="20"/>
          <w:szCs w:val="20"/>
          <w:lang w:bidi="ar-SA"/>
        </w:rPr>
      </w:pPr>
      <w:r w:rsidRPr="003A0144">
        <w:rPr>
          <w:rFonts w:ascii="Work Sans" w:hAnsi="Work Sans"/>
          <w:sz w:val="20"/>
          <w:szCs w:val="20"/>
        </w:rPr>
        <w:t>Que el contenido de la presente resolución fue publicado en la página web del Ministerio de Transporte, de la Agencia Nacional de Infraestructura y del Instituto Nacional de Vías, en cumplimiento de lo determinado en el numeral 8 del artículo 8° de la Ley 1437 de 2011, Decreto 1081 de 2015 modificado por el Decreto 270 de 2017, con el objeto de recibir opiniones, sugerencias o propuestas alternativas</w:t>
      </w:r>
      <w:r w:rsidR="00794AD1">
        <w:rPr>
          <w:rFonts w:ascii="Work Sans" w:hAnsi="Work Sans"/>
          <w:sz w:val="20"/>
          <w:szCs w:val="20"/>
        </w:rPr>
        <w:t xml:space="preserve"> y con memorando xxxx del </w:t>
      </w:r>
      <w:r w:rsidR="00744271">
        <w:rPr>
          <w:rFonts w:ascii="Work Sans" w:hAnsi="Work Sans"/>
          <w:sz w:val="20"/>
          <w:szCs w:val="20"/>
        </w:rPr>
        <w:t>XXXXX</w:t>
      </w:r>
      <w:r w:rsidR="00794AD1">
        <w:rPr>
          <w:rFonts w:ascii="Work Sans" w:hAnsi="Work Sans"/>
          <w:sz w:val="20"/>
          <w:szCs w:val="20"/>
        </w:rPr>
        <w:t xml:space="preserve"> de 2019</w:t>
      </w:r>
      <w:r w:rsidR="00B20280">
        <w:rPr>
          <w:rFonts w:ascii="Work Sans" w:hAnsi="Work Sans"/>
          <w:sz w:val="20"/>
          <w:szCs w:val="20"/>
        </w:rPr>
        <w:t xml:space="preserve"> </w:t>
      </w:r>
      <w:r w:rsidRPr="003A0144">
        <w:rPr>
          <w:rFonts w:ascii="Work Sans" w:eastAsia="DengXian Light" w:hAnsi="Work Sans" w:cs="Courier New"/>
          <w:sz w:val="20"/>
          <w:szCs w:val="20"/>
          <w:lang w:bidi="ar-SA"/>
        </w:rPr>
        <w:t xml:space="preserve">el Ministerio de Transporte certifica </w:t>
      </w:r>
      <w:r w:rsidRPr="00744271">
        <w:rPr>
          <w:rFonts w:ascii="Work Sans" w:eastAsia="DengXian Light" w:hAnsi="Work Sans" w:cs="Courier New"/>
          <w:sz w:val="20"/>
          <w:szCs w:val="20"/>
          <w:lang w:bidi="ar-SA"/>
        </w:rPr>
        <w:t xml:space="preserve">que </w:t>
      </w:r>
      <w:r w:rsidR="00BD2B19" w:rsidRPr="00744271">
        <w:rPr>
          <w:rFonts w:ascii="Work Sans" w:eastAsia="DengXian Light" w:hAnsi="Work Sans" w:cs="Courier New"/>
          <w:sz w:val="20"/>
          <w:szCs w:val="20"/>
          <w:lang w:bidi="ar-SA"/>
        </w:rPr>
        <w:t>XXXX</w:t>
      </w:r>
      <w:r w:rsidR="00B20280" w:rsidRPr="00744271">
        <w:rPr>
          <w:rFonts w:ascii="Work Sans" w:eastAsia="DengXian Light" w:hAnsi="Work Sans" w:cs="Courier New"/>
          <w:sz w:val="20"/>
          <w:szCs w:val="20"/>
          <w:lang w:bidi="ar-SA"/>
        </w:rPr>
        <w:t>.</w:t>
      </w:r>
    </w:p>
    <w:p w:rsidR="008D345B" w:rsidRPr="003A0144" w:rsidRDefault="008D345B">
      <w:pPr>
        <w:tabs>
          <w:tab w:val="left" w:pos="426"/>
        </w:tabs>
        <w:ind w:right="49"/>
        <w:jc w:val="both"/>
        <w:rPr>
          <w:rFonts w:ascii="Work Sans" w:hAnsi="Work Sans"/>
          <w:sz w:val="20"/>
          <w:szCs w:val="20"/>
        </w:rPr>
      </w:pPr>
    </w:p>
    <w:p w:rsidR="008D345B" w:rsidRDefault="00813634">
      <w:pPr>
        <w:tabs>
          <w:tab w:val="left" w:pos="426"/>
        </w:tabs>
        <w:ind w:right="49"/>
        <w:jc w:val="both"/>
        <w:rPr>
          <w:rFonts w:ascii="Work Sans" w:hAnsi="Work Sans"/>
          <w:sz w:val="20"/>
          <w:szCs w:val="20"/>
        </w:rPr>
      </w:pPr>
      <w:r w:rsidRPr="003A0144">
        <w:rPr>
          <w:rFonts w:ascii="Work Sans" w:hAnsi="Work Sans"/>
          <w:sz w:val="20"/>
          <w:szCs w:val="20"/>
        </w:rPr>
        <w:t>Que la Oficina Asesora de Jurídica conservará los documentos asociados al proceso de divulgación y participación ciudadana y demás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rsidR="00942970" w:rsidRPr="003A0144" w:rsidRDefault="00942970">
      <w:pPr>
        <w:tabs>
          <w:tab w:val="left" w:pos="426"/>
        </w:tabs>
        <w:ind w:right="49"/>
        <w:jc w:val="both"/>
        <w:rPr>
          <w:rFonts w:ascii="Work Sans" w:hAnsi="Work Sans"/>
          <w:sz w:val="20"/>
          <w:szCs w:val="20"/>
        </w:rPr>
      </w:pPr>
    </w:p>
    <w:p w:rsidR="00FC4460" w:rsidRPr="00FC4460" w:rsidRDefault="00813634">
      <w:pPr>
        <w:widowControl/>
        <w:tabs>
          <w:tab w:val="left" w:pos="426"/>
        </w:tabs>
        <w:jc w:val="both"/>
        <w:rPr>
          <w:rFonts w:ascii="Work Sans" w:hAnsi="Work Sans" w:cs="Courier New"/>
          <w:sz w:val="20"/>
          <w:szCs w:val="20"/>
          <w:lang w:eastAsia="es-CO" w:bidi="ar-SA"/>
        </w:rPr>
      </w:pPr>
      <w:r w:rsidRPr="003A0144">
        <w:rPr>
          <w:rFonts w:ascii="Work Sans" w:hAnsi="Work Sans" w:cs="Courier New"/>
          <w:sz w:val="20"/>
          <w:szCs w:val="20"/>
          <w:lang w:eastAsia="es-CO" w:bidi="ar-SA"/>
        </w:rPr>
        <w:t>En mérito de lo expuesto,</w:t>
      </w:r>
    </w:p>
    <w:p w:rsidR="008900F6" w:rsidRPr="003A0144" w:rsidRDefault="008900F6">
      <w:pPr>
        <w:jc w:val="center"/>
        <w:rPr>
          <w:rFonts w:ascii="Work Sans" w:hAnsi="Work Sans"/>
          <w:b/>
          <w:sz w:val="20"/>
          <w:szCs w:val="20"/>
        </w:rPr>
      </w:pPr>
    </w:p>
    <w:p w:rsidR="008D345B" w:rsidRPr="003A0144" w:rsidRDefault="00813634">
      <w:pPr>
        <w:jc w:val="center"/>
        <w:rPr>
          <w:rFonts w:ascii="Work Sans" w:hAnsi="Work Sans"/>
          <w:b/>
          <w:sz w:val="20"/>
          <w:szCs w:val="20"/>
        </w:rPr>
      </w:pPr>
      <w:r w:rsidRPr="003A0144">
        <w:rPr>
          <w:rFonts w:ascii="Work Sans" w:hAnsi="Work Sans"/>
          <w:b/>
          <w:sz w:val="20"/>
          <w:szCs w:val="20"/>
        </w:rPr>
        <w:t>RESUELVE:</w:t>
      </w:r>
    </w:p>
    <w:p w:rsidR="008D345B" w:rsidRPr="003A0144" w:rsidRDefault="008D345B">
      <w:pPr>
        <w:jc w:val="center"/>
        <w:rPr>
          <w:rFonts w:ascii="Work Sans" w:hAnsi="Work Sans"/>
          <w:b/>
          <w:sz w:val="20"/>
          <w:szCs w:val="20"/>
        </w:rPr>
      </w:pPr>
    </w:p>
    <w:p w:rsidR="008D345B" w:rsidRPr="003A0144" w:rsidRDefault="00813634">
      <w:pPr>
        <w:pStyle w:val="pa80"/>
        <w:jc w:val="both"/>
        <w:rPr>
          <w:sz w:val="20"/>
          <w:szCs w:val="20"/>
        </w:rPr>
      </w:pPr>
      <w:r w:rsidRPr="003A0144">
        <w:rPr>
          <w:rFonts w:ascii="Work Sans" w:hAnsi="Work Sans"/>
          <w:b/>
          <w:sz w:val="20"/>
          <w:szCs w:val="20"/>
        </w:rPr>
        <w:t>Artículo 1.-</w:t>
      </w:r>
      <w:r w:rsidRPr="003A0144">
        <w:rPr>
          <w:rFonts w:ascii="Verdana" w:hAnsi="Verdana"/>
          <w:color w:val="221E1F"/>
          <w:sz w:val="20"/>
          <w:szCs w:val="20"/>
        </w:rPr>
        <w:t xml:space="preserve"> </w:t>
      </w:r>
      <w:r w:rsidRPr="003A0144">
        <w:rPr>
          <w:rFonts w:ascii="Work Sans" w:hAnsi="Work Sans" w:cs="Courier New"/>
          <w:iCs/>
          <w:sz w:val="20"/>
          <w:szCs w:val="20"/>
        </w:rPr>
        <w:t xml:space="preserve">Establecer las siguientes tarifas </w:t>
      </w:r>
      <w:r w:rsidR="00A35306" w:rsidRPr="003A0144">
        <w:rPr>
          <w:rFonts w:ascii="Work Sans" w:hAnsi="Work Sans" w:cs="Courier New"/>
          <w:iCs/>
          <w:sz w:val="20"/>
          <w:szCs w:val="20"/>
        </w:rPr>
        <w:t xml:space="preserve">de manera temporal </w:t>
      </w:r>
      <w:r w:rsidRPr="003A0144">
        <w:rPr>
          <w:rFonts w:ascii="Work Sans" w:hAnsi="Work Sans" w:cs="Courier New"/>
          <w:iCs/>
          <w:sz w:val="20"/>
          <w:szCs w:val="20"/>
        </w:rPr>
        <w:t xml:space="preserve">en la estación de peaje denominada Altamira ubicada en el PR60+500 con ocasión </w:t>
      </w:r>
      <w:r w:rsidR="00FC4460">
        <w:rPr>
          <w:rFonts w:ascii="Work Sans" w:hAnsi="Work Sans" w:cs="Courier New"/>
          <w:iCs/>
          <w:sz w:val="20"/>
          <w:szCs w:val="20"/>
        </w:rPr>
        <w:t>a la pé</w:t>
      </w:r>
      <w:r w:rsidR="00C16345" w:rsidRPr="003A0144">
        <w:rPr>
          <w:rFonts w:ascii="Work Sans" w:hAnsi="Work Sans" w:cs="Courier New"/>
          <w:iCs/>
          <w:sz w:val="20"/>
          <w:szCs w:val="20"/>
        </w:rPr>
        <w:t xml:space="preserve">rdida de la banca en la vía </w:t>
      </w:r>
      <w:r w:rsidR="00C16345" w:rsidRPr="003A0144">
        <w:rPr>
          <w:rFonts w:ascii="Work Sans" w:hAnsi="Work Sans" w:cs="Arial"/>
          <w:iCs/>
          <w:sz w:val="20"/>
          <w:szCs w:val="20"/>
        </w:rPr>
        <w:t xml:space="preserve">Gigante-Garzón, Código </w:t>
      </w:r>
      <w:r w:rsidR="00C16345" w:rsidRPr="003A0144">
        <w:rPr>
          <w:rFonts w:ascii="Work Sans" w:hAnsi="Work Sans" w:cs="Courier New"/>
          <w:iCs/>
          <w:sz w:val="20"/>
          <w:szCs w:val="20"/>
        </w:rPr>
        <w:t xml:space="preserve">4505 </w:t>
      </w:r>
      <w:r w:rsidRPr="003A0144">
        <w:rPr>
          <w:rFonts w:ascii="Work Sans" w:hAnsi="Work Sans" w:cs="Courier New"/>
          <w:iCs/>
          <w:sz w:val="20"/>
          <w:szCs w:val="20"/>
        </w:rPr>
        <w:t>entre el PR20+060 al PR21+0150</w:t>
      </w:r>
      <w:r w:rsidR="00C16345" w:rsidRPr="003A0144">
        <w:rPr>
          <w:rFonts w:ascii="Work Sans" w:hAnsi="Work Sans" w:cs="Courier New"/>
          <w:iCs/>
          <w:sz w:val="20"/>
          <w:szCs w:val="20"/>
        </w:rPr>
        <w:t>,</w:t>
      </w:r>
      <w:r w:rsidRPr="003A0144">
        <w:rPr>
          <w:rFonts w:ascii="Work Sans" w:hAnsi="Work Sans" w:cs="Courier New"/>
          <w:iCs/>
          <w:sz w:val="20"/>
          <w:szCs w:val="20"/>
        </w:rPr>
        <w:t xml:space="preserve"> Departamento del Huila</w:t>
      </w:r>
      <w:r w:rsidR="0064716E" w:rsidRPr="003A0144">
        <w:rPr>
          <w:rFonts w:ascii="Work Sans" w:hAnsi="Work Sans" w:cs="Courier New"/>
          <w:iCs/>
          <w:sz w:val="20"/>
          <w:szCs w:val="20"/>
        </w:rPr>
        <w:t>, por el término de cuarenta y cinco (45) días</w:t>
      </w:r>
      <w:r w:rsidR="00BF1CD5" w:rsidRPr="003A0144">
        <w:rPr>
          <w:rFonts w:ascii="Work Sans" w:hAnsi="Work Sans" w:cs="Courier New"/>
          <w:iCs/>
          <w:sz w:val="20"/>
          <w:szCs w:val="20"/>
        </w:rPr>
        <w:t xml:space="preserve"> calendario</w:t>
      </w:r>
      <w:r w:rsidRPr="003A0144">
        <w:rPr>
          <w:rFonts w:ascii="Work Sans" w:hAnsi="Work Sans" w:cs="Courier New"/>
          <w:sz w:val="20"/>
          <w:szCs w:val="20"/>
        </w:rPr>
        <w:t>:</w:t>
      </w:r>
    </w:p>
    <w:p w:rsidR="008D345B" w:rsidRPr="003A0144" w:rsidRDefault="008D345B">
      <w:pPr>
        <w:tabs>
          <w:tab w:val="left" w:pos="2625"/>
        </w:tabs>
        <w:jc w:val="both"/>
        <w:rPr>
          <w:rFonts w:ascii="Work Sans" w:hAnsi="Work Sans" w:cs="Courier New"/>
          <w:sz w:val="20"/>
          <w:szCs w:val="20"/>
          <w:lang w:bidi="ar-SA"/>
        </w:rPr>
      </w:pPr>
    </w:p>
    <w:tbl>
      <w:tblPr>
        <w:tblW w:w="8716" w:type="dxa"/>
        <w:tblInd w:w="108" w:type="dxa"/>
        <w:tblCellMar>
          <w:left w:w="10" w:type="dxa"/>
          <w:right w:w="10" w:type="dxa"/>
        </w:tblCellMar>
        <w:tblLook w:val="0000" w:firstRow="0" w:lastRow="0" w:firstColumn="0" w:lastColumn="0" w:noHBand="0" w:noVBand="0"/>
      </w:tblPr>
      <w:tblGrid>
        <w:gridCol w:w="1849"/>
        <w:gridCol w:w="4044"/>
        <w:gridCol w:w="2823"/>
      </w:tblGrid>
      <w:tr w:rsidR="008D345B" w:rsidRPr="003A0144" w:rsidTr="002D7130">
        <w:trPr>
          <w:trHeight w:val="240"/>
        </w:trPr>
        <w:tc>
          <w:tcPr>
            <w:tcW w:w="87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pPr>
              <w:widowControl/>
              <w:tabs>
                <w:tab w:val="left" w:pos="2625"/>
              </w:tabs>
              <w:jc w:val="center"/>
              <w:textAlignment w:val="auto"/>
              <w:rPr>
                <w:sz w:val="20"/>
                <w:szCs w:val="20"/>
              </w:rPr>
            </w:pPr>
            <w:r w:rsidRPr="003A0144">
              <w:rPr>
                <w:rFonts w:ascii="Work Sans" w:hAnsi="Work Sans" w:cs="Courier New"/>
                <w:b/>
                <w:kern w:val="0"/>
                <w:sz w:val="20"/>
                <w:szCs w:val="20"/>
                <w:lang w:val="es-CO" w:eastAsia="es-CO" w:bidi="ar-SA"/>
              </w:rPr>
              <w:t>TARIFA PEAJE ALTAMIRA</w:t>
            </w:r>
          </w:p>
        </w:tc>
      </w:tr>
      <w:tr w:rsidR="008D345B" w:rsidRPr="003A0144" w:rsidTr="002D7130">
        <w:trPr>
          <w:trHeight w:val="465"/>
        </w:trPr>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b/>
                <w:kern w:val="0"/>
                <w:sz w:val="20"/>
                <w:szCs w:val="20"/>
                <w:lang w:val="es-CO" w:eastAsia="es-CO" w:bidi="ar-SA"/>
              </w:rPr>
            </w:pPr>
            <w:r w:rsidRPr="003A0144">
              <w:rPr>
                <w:rFonts w:ascii="Work Sans" w:hAnsi="Work Sans" w:cs="Courier New"/>
                <w:b/>
                <w:kern w:val="0"/>
                <w:sz w:val="20"/>
                <w:szCs w:val="20"/>
                <w:lang w:val="es-CO" w:eastAsia="es-CO" w:bidi="ar-SA"/>
              </w:rPr>
              <w:t>CATEGORÍA</w:t>
            </w:r>
          </w:p>
        </w:tc>
        <w:tc>
          <w:tcPr>
            <w:tcW w:w="4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b/>
                <w:kern w:val="0"/>
                <w:sz w:val="20"/>
                <w:szCs w:val="20"/>
                <w:lang w:val="es-CO" w:eastAsia="es-CO" w:bidi="ar-SA"/>
              </w:rPr>
            </w:pPr>
            <w:r w:rsidRPr="003A0144">
              <w:rPr>
                <w:rFonts w:ascii="Work Sans" w:hAnsi="Work Sans" w:cs="Courier New"/>
                <w:b/>
                <w:kern w:val="0"/>
                <w:sz w:val="20"/>
                <w:szCs w:val="20"/>
                <w:lang w:val="es-CO" w:eastAsia="es-CO" w:bidi="ar-SA"/>
              </w:rPr>
              <w:t>DESCRIPCIÓN</w:t>
            </w:r>
          </w:p>
        </w:tc>
        <w:tc>
          <w:tcPr>
            <w:tcW w:w="2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b/>
                <w:kern w:val="0"/>
                <w:sz w:val="20"/>
                <w:szCs w:val="20"/>
                <w:lang w:val="es-CO" w:eastAsia="es-CO" w:bidi="ar-SA"/>
              </w:rPr>
            </w:pPr>
            <w:r w:rsidRPr="003A0144">
              <w:rPr>
                <w:rFonts w:ascii="Work Sans" w:hAnsi="Work Sans" w:cs="Courier New"/>
                <w:b/>
                <w:kern w:val="0"/>
                <w:sz w:val="20"/>
                <w:szCs w:val="20"/>
                <w:lang w:val="es-CO" w:eastAsia="es-CO" w:bidi="ar-SA"/>
              </w:rPr>
              <w:t>TARIFA</w:t>
            </w:r>
          </w:p>
          <w:p w:rsidR="00FD1340" w:rsidRPr="003A0144" w:rsidRDefault="00FD1340" w:rsidP="00FE6EB1">
            <w:pPr>
              <w:widowControl/>
              <w:tabs>
                <w:tab w:val="left" w:pos="2625"/>
              </w:tabs>
              <w:jc w:val="center"/>
              <w:textAlignment w:val="auto"/>
              <w:rPr>
                <w:rFonts w:ascii="Work Sans" w:hAnsi="Work Sans" w:cs="Courier New"/>
                <w:b/>
                <w:kern w:val="0"/>
                <w:sz w:val="20"/>
                <w:szCs w:val="20"/>
                <w:lang w:val="es-CO" w:eastAsia="es-CO" w:bidi="ar-SA"/>
              </w:rPr>
            </w:pPr>
            <w:r w:rsidRPr="003A0144">
              <w:rPr>
                <w:rFonts w:ascii="Work Sans" w:hAnsi="Work Sans" w:cs="Courier New"/>
                <w:sz w:val="20"/>
                <w:szCs w:val="20"/>
              </w:rPr>
              <w:t>(incluido valor FOSEVI</w:t>
            </w:r>
            <w:r w:rsidR="0064716E" w:rsidRPr="003A0144">
              <w:rPr>
                <w:rFonts w:ascii="Work Sans" w:hAnsi="Work Sans" w:cs="Courier New"/>
                <w:sz w:val="20"/>
                <w:szCs w:val="20"/>
              </w:rPr>
              <w:t>)</w:t>
            </w:r>
          </w:p>
        </w:tc>
      </w:tr>
      <w:tr w:rsidR="008D345B" w:rsidRPr="003A0144" w:rsidTr="002D7130">
        <w:trPr>
          <w:trHeight w:val="465"/>
        </w:trPr>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CATEGORÍA I</w:t>
            </w:r>
          </w:p>
        </w:tc>
        <w:tc>
          <w:tcPr>
            <w:tcW w:w="4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rsidP="00F11DF8">
            <w:pPr>
              <w:widowControl/>
              <w:jc w:val="center"/>
              <w:textAlignment w:val="auto"/>
              <w:rPr>
                <w:sz w:val="20"/>
                <w:szCs w:val="20"/>
              </w:rPr>
            </w:pPr>
            <w:r w:rsidRPr="003A0144">
              <w:rPr>
                <w:rFonts w:ascii="Work Sans" w:hAnsi="Work Sans" w:cs="Courier New"/>
                <w:kern w:val="0"/>
                <w:sz w:val="20"/>
                <w:szCs w:val="20"/>
                <w:lang w:val="es-CO" w:eastAsia="es-CO" w:bidi="ar-SA"/>
              </w:rPr>
              <w:t>Automóviles, Camperos y Camionetas y microbuses con ejes de llanta sencilla</w:t>
            </w:r>
          </w:p>
        </w:tc>
        <w:tc>
          <w:tcPr>
            <w:tcW w:w="2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$4.</w:t>
            </w:r>
            <w:r w:rsidR="00EE2706" w:rsidRPr="003A0144">
              <w:rPr>
                <w:rFonts w:ascii="Work Sans" w:hAnsi="Work Sans" w:cs="Courier New"/>
                <w:kern w:val="0"/>
                <w:sz w:val="20"/>
                <w:szCs w:val="20"/>
                <w:lang w:val="es-CO" w:eastAsia="es-CO" w:bidi="ar-SA"/>
              </w:rPr>
              <w:t>4</w:t>
            </w:r>
            <w:r w:rsidRPr="003A0144">
              <w:rPr>
                <w:rFonts w:ascii="Work Sans" w:hAnsi="Work Sans" w:cs="Courier New"/>
                <w:kern w:val="0"/>
                <w:sz w:val="20"/>
                <w:szCs w:val="20"/>
                <w:lang w:val="es-CO" w:eastAsia="es-CO" w:bidi="ar-SA"/>
              </w:rPr>
              <w:t>00</w:t>
            </w:r>
          </w:p>
        </w:tc>
      </w:tr>
      <w:tr w:rsidR="008D345B" w:rsidRPr="003A0144" w:rsidTr="002D7130">
        <w:trPr>
          <w:trHeight w:val="706"/>
        </w:trPr>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CATEGORÍA II</w:t>
            </w:r>
          </w:p>
        </w:tc>
        <w:tc>
          <w:tcPr>
            <w:tcW w:w="4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rsidP="00F11DF8">
            <w:pPr>
              <w:widowControl/>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Buses, Busetas microbuses con eje trasero de doble llanta y camiones de dos ejes</w:t>
            </w:r>
          </w:p>
        </w:tc>
        <w:tc>
          <w:tcPr>
            <w:tcW w:w="2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$4.</w:t>
            </w:r>
            <w:r w:rsidR="00EE2706" w:rsidRPr="003A0144">
              <w:rPr>
                <w:rFonts w:ascii="Work Sans" w:hAnsi="Work Sans" w:cs="Courier New"/>
                <w:kern w:val="0"/>
                <w:sz w:val="20"/>
                <w:szCs w:val="20"/>
                <w:lang w:val="es-CO" w:eastAsia="es-CO" w:bidi="ar-SA"/>
              </w:rPr>
              <w:t>8</w:t>
            </w:r>
            <w:r w:rsidRPr="003A0144">
              <w:rPr>
                <w:rFonts w:ascii="Work Sans" w:hAnsi="Work Sans" w:cs="Courier New"/>
                <w:kern w:val="0"/>
                <w:sz w:val="20"/>
                <w:szCs w:val="20"/>
                <w:lang w:val="es-CO" w:eastAsia="es-CO" w:bidi="ar-SA"/>
              </w:rPr>
              <w:t>00</w:t>
            </w:r>
          </w:p>
        </w:tc>
      </w:tr>
      <w:tr w:rsidR="008D345B" w:rsidRPr="003A0144" w:rsidTr="002D7130">
        <w:trPr>
          <w:trHeight w:val="465"/>
        </w:trPr>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CATEGORÍA  III</w:t>
            </w:r>
          </w:p>
        </w:tc>
        <w:tc>
          <w:tcPr>
            <w:tcW w:w="4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rsidP="00F11DF8">
            <w:pPr>
              <w:widowControl/>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Vehículos de pasajeros y de carga de tres y cuatro ejes</w:t>
            </w:r>
          </w:p>
        </w:tc>
        <w:tc>
          <w:tcPr>
            <w:tcW w:w="2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$9.</w:t>
            </w:r>
            <w:r w:rsidR="00EE2706" w:rsidRPr="003A0144">
              <w:rPr>
                <w:rFonts w:ascii="Work Sans" w:hAnsi="Work Sans" w:cs="Courier New"/>
                <w:kern w:val="0"/>
                <w:sz w:val="20"/>
                <w:szCs w:val="20"/>
                <w:lang w:val="es-CO" w:eastAsia="es-CO" w:bidi="ar-SA"/>
              </w:rPr>
              <w:t>9</w:t>
            </w:r>
            <w:r w:rsidRPr="003A0144">
              <w:rPr>
                <w:rFonts w:ascii="Work Sans" w:hAnsi="Work Sans" w:cs="Courier New"/>
                <w:kern w:val="0"/>
                <w:sz w:val="20"/>
                <w:szCs w:val="20"/>
                <w:lang w:val="es-CO" w:eastAsia="es-CO" w:bidi="ar-SA"/>
              </w:rPr>
              <w:t>00</w:t>
            </w:r>
          </w:p>
        </w:tc>
      </w:tr>
      <w:tr w:rsidR="008D345B" w:rsidRPr="003A0144" w:rsidTr="002D7130">
        <w:trPr>
          <w:trHeight w:val="225"/>
        </w:trPr>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CATEGORÍA IV</w:t>
            </w:r>
          </w:p>
        </w:tc>
        <w:tc>
          <w:tcPr>
            <w:tcW w:w="4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rsidP="00F11DF8">
            <w:pPr>
              <w:widowControl/>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Vehículos de carga de cinco (5) ejes</w:t>
            </w:r>
          </w:p>
        </w:tc>
        <w:tc>
          <w:tcPr>
            <w:tcW w:w="2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45B" w:rsidRPr="003A0144" w:rsidRDefault="00813634" w:rsidP="00FE6EB1">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$12.</w:t>
            </w:r>
            <w:r w:rsidR="00EE2706" w:rsidRPr="003A0144">
              <w:rPr>
                <w:rFonts w:ascii="Work Sans" w:hAnsi="Work Sans" w:cs="Courier New"/>
                <w:kern w:val="0"/>
                <w:sz w:val="20"/>
                <w:szCs w:val="20"/>
                <w:lang w:val="es-CO" w:eastAsia="es-CO" w:bidi="ar-SA"/>
              </w:rPr>
              <w:t>5</w:t>
            </w:r>
            <w:r w:rsidRPr="003A0144">
              <w:rPr>
                <w:rFonts w:ascii="Work Sans" w:hAnsi="Work Sans" w:cs="Courier New"/>
                <w:kern w:val="0"/>
                <w:sz w:val="20"/>
                <w:szCs w:val="20"/>
                <w:lang w:val="es-CO" w:eastAsia="es-CO" w:bidi="ar-SA"/>
              </w:rPr>
              <w:t>00</w:t>
            </w:r>
          </w:p>
        </w:tc>
      </w:tr>
      <w:tr w:rsidR="008D345B" w:rsidRPr="003A0144" w:rsidTr="002D7130">
        <w:trPr>
          <w:trHeight w:val="240"/>
        </w:trPr>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CATEGORÍA V</w:t>
            </w:r>
          </w:p>
        </w:tc>
        <w:tc>
          <w:tcPr>
            <w:tcW w:w="4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rsidP="00F11DF8">
            <w:pPr>
              <w:widowControl/>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Vehículos de carga de seis (6) ejes</w:t>
            </w:r>
          </w:p>
        </w:tc>
        <w:tc>
          <w:tcPr>
            <w:tcW w:w="2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45B" w:rsidRPr="003A0144" w:rsidRDefault="00813634" w:rsidP="00EE2706">
            <w:pPr>
              <w:widowControl/>
              <w:tabs>
                <w:tab w:val="left" w:pos="2625"/>
              </w:tabs>
              <w:jc w:val="center"/>
              <w:textAlignment w:val="auto"/>
              <w:rPr>
                <w:rFonts w:ascii="Work Sans" w:hAnsi="Work Sans" w:cs="Courier New"/>
                <w:kern w:val="0"/>
                <w:sz w:val="20"/>
                <w:szCs w:val="20"/>
                <w:lang w:val="es-CO" w:eastAsia="es-CO" w:bidi="ar-SA"/>
              </w:rPr>
            </w:pPr>
            <w:r w:rsidRPr="003A0144">
              <w:rPr>
                <w:rFonts w:ascii="Work Sans" w:hAnsi="Work Sans" w:cs="Courier New"/>
                <w:kern w:val="0"/>
                <w:sz w:val="20"/>
                <w:szCs w:val="20"/>
                <w:lang w:val="es-CO" w:eastAsia="es-CO" w:bidi="ar-SA"/>
              </w:rPr>
              <w:t>$1</w:t>
            </w:r>
            <w:r w:rsidR="00EE2706" w:rsidRPr="003A0144">
              <w:rPr>
                <w:rFonts w:ascii="Work Sans" w:hAnsi="Work Sans" w:cs="Courier New"/>
                <w:kern w:val="0"/>
                <w:sz w:val="20"/>
                <w:szCs w:val="20"/>
                <w:lang w:val="es-CO" w:eastAsia="es-CO" w:bidi="ar-SA"/>
              </w:rPr>
              <w:t>4</w:t>
            </w:r>
            <w:r w:rsidRPr="003A0144">
              <w:rPr>
                <w:rFonts w:ascii="Work Sans" w:hAnsi="Work Sans" w:cs="Courier New"/>
                <w:kern w:val="0"/>
                <w:sz w:val="20"/>
                <w:szCs w:val="20"/>
                <w:lang w:val="es-CO" w:eastAsia="es-CO" w:bidi="ar-SA"/>
              </w:rPr>
              <w:t>.</w:t>
            </w:r>
            <w:r w:rsidR="00EE2706" w:rsidRPr="003A0144">
              <w:rPr>
                <w:rFonts w:ascii="Work Sans" w:hAnsi="Work Sans" w:cs="Courier New"/>
                <w:kern w:val="0"/>
                <w:sz w:val="20"/>
                <w:szCs w:val="20"/>
                <w:lang w:val="es-CO" w:eastAsia="es-CO" w:bidi="ar-SA"/>
              </w:rPr>
              <w:t>0</w:t>
            </w:r>
            <w:r w:rsidRPr="003A0144">
              <w:rPr>
                <w:rFonts w:ascii="Work Sans" w:hAnsi="Work Sans" w:cs="Courier New"/>
                <w:kern w:val="0"/>
                <w:sz w:val="20"/>
                <w:szCs w:val="20"/>
                <w:lang w:val="es-CO" w:eastAsia="es-CO" w:bidi="ar-SA"/>
              </w:rPr>
              <w:t>00</w:t>
            </w:r>
          </w:p>
        </w:tc>
      </w:tr>
    </w:tbl>
    <w:p w:rsidR="00017D3C" w:rsidRDefault="00017D3C" w:rsidP="0064716E">
      <w:pPr>
        <w:ind w:right="-1"/>
        <w:jc w:val="both"/>
        <w:rPr>
          <w:rFonts w:ascii="Work Sans" w:hAnsi="Work Sans"/>
          <w:b/>
          <w:sz w:val="20"/>
          <w:szCs w:val="20"/>
        </w:rPr>
      </w:pPr>
    </w:p>
    <w:p w:rsidR="0064716E" w:rsidRDefault="0064716E" w:rsidP="0064716E">
      <w:pPr>
        <w:ind w:right="-1"/>
        <w:jc w:val="both"/>
        <w:rPr>
          <w:rFonts w:ascii="Work Sans" w:eastAsia="DengXian Light" w:hAnsi="Work Sans"/>
          <w:sz w:val="20"/>
          <w:szCs w:val="20"/>
        </w:rPr>
      </w:pPr>
      <w:r w:rsidRPr="003A0144">
        <w:rPr>
          <w:rFonts w:ascii="Work Sans" w:hAnsi="Work Sans"/>
          <w:b/>
          <w:sz w:val="20"/>
          <w:szCs w:val="20"/>
        </w:rPr>
        <w:t>Parágrafo:</w:t>
      </w:r>
      <w:r w:rsidRPr="003A0144">
        <w:rPr>
          <w:rFonts w:ascii="Work Sans" w:hAnsi="Work Sans"/>
          <w:sz w:val="20"/>
          <w:szCs w:val="20"/>
        </w:rPr>
        <w:t xml:space="preserve"> A</w:t>
      </w:r>
      <w:r w:rsidRPr="003A0144">
        <w:rPr>
          <w:rFonts w:ascii="Work Sans" w:eastAsia="DengXian Light" w:hAnsi="Work Sans"/>
          <w:sz w:val="20"/>
          <w:szCs w:val="20"/>
        </w:rPr>
        <w:t xml:space="preserve"> los vehículos de carga de más de seis (6) ejes no se les cobrará ningún valor por eje adicional, de manera que la tarifa máxima que aplica para esta clase de vehículos será la correspondiente a los vehículos de la categoría V. Para eje grúa y eje remolque los valores continuarán siendo los establecidos en la Resolución </w:t>
      </w:r>
      <w:r w:rsidR="00FE6EB1" w:rsidRPr="00FE6EB1">
        <w:rPr>
          <w:rFonts w:ascii="Work Sans" w:eastAsia="DengXian Light" w:hAnsi="Work Sans"/>
          <w:sz w:val="20"/>
          <w:szCs w:val="20"/>
        </w:rPr>
        <w:t>vigente.</w:t>
      </w:r>
    </w:p>
    <w:p w:rsidR="0064716E" w:rsidRPr="003A0144" w:rsidRDefault="0064716E">
      <w:pPr>
        <w:jc w:val="both"/>
        <w:rPr>
          <w:rFonts w:ascii="Work Sans" w:hAnsi="Work Sans" w:cs="Courier New"/>
          <w:b/>
          <w:sz w:val="20"/>
          <w:szCs w:val="20"/>
          <w:lang w:bidi="ar-SA"/>
        </w:rPr>
      </w:pPr>
    </w:p>
    <w:p w:rsidR="00017D3C" w:rsidRDefault="00813634">
      <w:pPr>
        <w:jc w:val="both"/>
        <w:rPr>
          <w:rFonts w:ascii="Work Sans" w:hAnsi="Work Sans"/>
          <w:sz w:val="20"/>
          <w:szCs w:val="20"/>
          <w:lang w:eastAsia="es-CO"/>
        </w:rPr>
      </w:pPr>
      <w:r w:rsidRPr="003A0144">
        <w:rPr>
          <w:rFonts w:ascii="Work Sans" w:hAnsi="Work Sans"/>
          <w:b/>
          <w:sz w:val="20"/>
          <w:szCs w:val="20"/>
          <w:lang w:eastAsia="es-CO"/>
        </w:rPr>
        <w:t xml:space="preserve">ARTÍCULO </w:t>
      </w:r>
      <w:r w:rsidR="00287245" w:rsidRPr="00A35306">
        <w:rPr>
          <w:rFonts w:ascii="Work Sans" w:hAnsi="Work Sans"/>
          <w:b/>
          <w:sz w:val="20"/>
          <w:szCs w:val="20"/>
          <w:lang w:eastAsia="es-CO"/>
        </w:rPr>
        <w:t>2</w:t>
      </w:r>
      <w:r w:rsidRPr="00A35306">
        <w:rPr>
          <w:rFonts w:ascii="Work Sans" w:hAnsi="Work Sans"/>
          <w:b/>
          <w:sz w:val="20"/>
          <w:szCs w:val="20"/>
          <w:lang w:eastAsia="es-CO"/>
        </w:rPr>
        <w:t>.-</w:t>
      </w:r>
      <w:r w:rsidRPr="00A35306">
        <w:rPr>
          <w:rFonts w:ascii="Work Sans" w:hAnsi="Work Sans"/>
          <w:sz w:val="20"/>
          <w:szCs w:val="20"/>
          <w:lang w:eastAsia="es-CO"/>
        </w:rPr>
        <w:t xml:space="preserve"> </w:t>
      </w:r>
      <w:r w:rsidR="00FE6EB1" w:rsidRPr="00A35306">
        <w:rPr>
          <w:rFonts w:ascii="Work Sans" w:hAnsi="Work Sans"/>
          <w:sz w:val="20"/>
          <w:szCs w:val="20"/>
          <w:lang w:eastAsia="es-CO"/>
        </w:rPr>
        <w:t xml:space="preserve">Una vez finalizado el termino de cuarenta y cinco (45) días </w:t>
      </w:r>
      <w:r w:rsidR="00183E2F" w:rsidRPr="00A35306">
        <w:rPr>
          <w:rFonts w:ascii="Work Sans" w:hAnsi="Work Sans"/>
          <w:sz w:val="20"/>
          <w:szCs w:val="20"/>
          <w:lang w:eastAsia="es-CO"/>
        </w:rPr>
        <w:t>calendario</w:t>
      </w:r>
      <w:r w:rsidR="00FE6EB1" w:rsidRPr="00A35306">
        <w:rPr>
          <w:rFonts w:ascii="Work Sans" w:hAnsi="Work Sans"/>
          <w:sz w:val="20"/>
          <w:szCs w:val="20"/>
          <w:lang w:eastAsia="es-CO"/>
        </w:rPr>
        <w:t xml:space="preserve">, continuarán aplicándose las tarifas </w:t>
      </w:r>
      <w:r w:rsidR="00F310EE" w:rsidRPr="00A35306">
        <w:rPr>
          <w:rFonts w:ascii="Work Sans" w:hAnsi="Work Sans"/>
          <w:sz w:val="20"/>
          <w:szCs w:val="20"/>
          <w:lang w:eastAsia="es-CO"/>
        </w:rPr>
        <w:t xml:space="preserve">previstas en la Resolución 228 de 2013 </w:t>
      </w:r>
      <w:bookmarkStart w:id="6" w:name="_Hlk15040953"/>
      <w:r w:rsidR="00A35306">
        <w:rPr>
          <w:rFonts w:ascii="Work Sans" w:hAnsi="Work Sans"/>
          <w:sz w:val="20"/>
          <w:szCs w:val="20"/>
          <w:lang w:eastAsia="es-CO"/>
        </w:rPr>
        <w:t xml:space="preserve">en consonancia </w:t>
      </w:r>
      <w:r w:rsidR="00AD1CE0">
        <w:rPr>
          <w:rFonts w:ascii="Work Sans" w:hAnsi="Work Sans"/>
          <w:sz w:val="20"/>
          <w:szCs w:val="20"/>
          <w:lang w:eastAsia="es-CO"/>
        </w:rPr>
        <w:t xml:space="preserve">con </w:t>
      </w:r>
      <w:r w:rsidR="00A35306" w:rsidRPr="00A35306">
        <w:rPr>
          <w:rFonts w:ascii="Work Sans" w:hAnsi="Work Sans"/>
          <w:sz w:val="20"/>
          <w:szCs w:val="20"/>
          <w:lang w:eastAsia="es-CO"/>
        </w:rPr>
        <w:t>la Resolución 036 de 2015</w:t>
      </w:r>
      <w:r w:rsidR="00A35306" w:rsidRPr="00A35306">
        <w:rPr>
          <w:rFonts w:ascii="Work Sans" w:hAnsi="Work Sans"/>
          <w:i/>
          <w:sz w:val="20"/>
          <w:szCs w:val="20"/>
          <w:lang w:eastAsia="es-CO"/>
        </w:rPr>
        <w:t xml:space="preserve"> </w:t>
      </w:r>
      <w:r w:rsidR="00F310EE" w:rsidRPr="00A35306">
        <w:rPr>
          <w:rFonts w:ascii="Work Sans" w:hAnsi="Work Sans"/>
          <w:sz w:val="20"/>
          <w:szCs w:val="20"/>
          <w:lang w:eastAsia="es-CO"/>
        </w:rPr>
        <w:t>para la estación de peaje denominada Altamira, actualizadas para el año 2019.</w:t>
      </w:r>
      <w:r w:rsidR="00F310EE">
        <w:rPr>
          <w:rFonts w:ascii="Work Sans" w:hAnsi="Work Sans"/>
          <w:sz w:val="20"/>
          <w:szCs w:val="20"/>
          <w:lang w:eastAsia="es-CO"/>
        </w:rPr>
        <w:t xml:space="preserve"> </w:t>
      </w:r>
    </w:p>
    <w:bookmarkEnd w:id="6"/>
    <w:p w:rsidR="00183E2F" w:rsidRDefault="00183E2F">
      <w:pPr>
        <w:jc w:val="both"/>
        <w:rPr>
          <w:rFonts w:ascii="Work Sans" w:hAnsi="Work Sans"/>
          <w:sz w:val="20"/>
          <w:szCs w:val="20"/>
          <w:lang w:eastAsia="es-CO"/>
        </w:rPr>
      </w:pPr>
    </w:p>
    <w:p w:rsidR="008D345B" w:rsidRPr="00FE6EB1" w:rsidRDefault="00FE6EB1">
      <w:pPr>
        <w:jc w:val="both"/>
        <w:rPr>
          <w:rFonts w:ascii="Work Sans" w:hAnsi="Work Sans"/>
          <w:sz w:val="20"/>
          <w:szCs w:val="20"/>
          <w:lang w:eastAsia="es-CO"/>
        </w:rPr>
      </w:pPr>
      <w:r w:rsidRPr="00FE6EB1">
        <w:rPr>
          <w:rFonts w:ascii="Work Sans" w:hAnsi="Work Sans"/>
          <w:b/>
          <w:sz w:val="20"/>
          <w:szCs w:val="20"/>
          <w:lang w:eastAsia="es-CO"/>
        </w:rPr>
        <w:t xml:space="preserve">ARTÍCULO 3.- </w:t>
      </w:r>
      <w:r w:rsidR="00813634" w:rsidRPr="00FE6EB1">
        <w:rPr>
          <w:rFonts w:ascii="Work Sans" w:hAnsi="Work Sans"/>
          <w:sz w:val="20"/>
          <w:szCs w:val="20"/>
          <w:lang w:eastAsia="es-CO"/>
        </w:rPr>
        <w:t xml:space="preserve">La </w:t>
      </w:r>
      <w:r w:rsidR="00F310EE">
        <w:rPr>
          <w:rFonts w:ascii="Work Sans" w:hAnsi="Work Sans"/>
          <w:sz w:val="20"/>
          <w:szCs w:val="20"/>
          <w:lang w:eastAsia="es-CO"/>
        </w:rPr>
        <w:t xml:space="preserve">vigencia de la </w:t>
      </w:r>
      <w:r w:rsidR="00813634" w:rsidRPr="00FE6EB1">
        <w:rPr>
          <w:rFonts w:ascii="Work Sans" w:hAnsi="Work Sans"/>
          <w:sz w:val="20"/>
          <w:szCs w:val="20"/>
          <w:lang w:eastAsia="es-CO"/>
        </w:rPr>
        <w:t xml:space="preserve">presente resolución </w:t>
      </w:r>
      <w:r w:rsidR="00F310EE">
        <w:rPr>
          <w:rFonts w:ascii="Work Sans" w:hAnsi="Work Sans"/>
          <w:sz w:val="20"/>
          <w:szCs w:val="20"/>
          <w:lang w:eastAsia="es-CO"/>
        </w:rPr>
        <w:t xml:space="preserve">es de 45 días calendario contados a partir de </w:t>
      </w:r>
      <w:r w:rsidR="00813634" w:rsidRPr="00FE6EB1">
        <w:rPr>
          <w:rFonts w:ascii="Work Sans" w:hAnsi="Work Sans"/>
          <w:sz w:val="20"/>
          <w:szCs w:val="20"/>
          <w:lang w:eastAsia="es-CO"/>
        </w:rPr>
        <w:t xml:space="preserve">la fecha de su publicación. </w:t>
      </w:r>
    </w:p>
    <w:p w:rsidR="008D345B" w:rsidRPr="003A0144" w:rsidRDefault="008D345B">
      <w:pPr>
        <w:jc w:val="both"/>
        <w:rPr>
          <w:rFonts w:ascii="Work Sans" w:hAnsi="Work Sans"/>
          <w:b/>
          <w:sz w:val="20"/>
          <w:szCs w:val="20"/>
        </w:rPr>
      </w:pPr>
    </w:p>
    <w:p w:rsidR="008D345B" w:rsidRPr="003A0144" w:rsidRDefault="00813634">
      <w:pPr>
        <w:jc w:val="center"/>
        <w:rPr>
          <w:rFonts w:ascii="Work Sans" w:hAnsi="Work Sans"/>
          <w:b/>
          <w:sz w:val="20"/>
          <w:szCs w:val="20"/>
        </w:rPr>
      </w:pPr>
      <w:r w:rsidRPr="003A0144">
        <w:rPr>
          <w:rFonts w:ascii="Work Sans" w:hAnsi="Work Sans"/>
          <w:b/>
          <w:sz w:val="20"/>
          <w:szCs w:val="20"/>
        </w:rPr>
        <w:t>PUBLÍQUESE Y CÚMPLASE,</w:t>
      </w:r>
    </w:p>
    <w:p w:rsidR="008D345B" w:rsidRPr="003A0144" w:rsidRDefault="008D345B">
      <w:pPr>
        <w:jc w:val="center"/>
        <w:rPr>
          <w:rFonts w:ascii="Work Sans" w:hAnsi="Work Sans"/>
          <w:sz w:val="20"/>
          <w:szCs w:val="20"/>
        </w:rPr>
      </w:pPr>
    </w:p>
    <w:p w:rsidR="008D345B" w:rsidRPr="003A0144" w:rsidRDefault="00813634">
      <w:pPr>
        <w:spacing w:after="120"/>
        <w:rPr>
          <w:rFonts w:ascii="Work Sans" w:hAnsi="Work Sans" w:cs="Mangal"/>
          <w:sz w:val="20"/>
          <w:szCs w:val="20"/>
        </w:rPr>
      </w:pPr>
      <w:r w:rsidRPr="003A0144">
        <w:rPr>
          <w:rFonts w:ascii="Work Sans" w:hAnsi="Work Sans" w:cs="Mangal"/>
          <w:sz w:val="20"/>
          <w:szCs w:val="20"/>
        </w:rPr>
        <w:t>Dada en Bogotá D.C., a los</w:t>
      </w:r>
    </w:p>
    <w:p w:rsidR="008D345B" w:rsidRPr="003A0144" w:rsidRDefault="008D345B">
      <w:pPr>
        <w:ind w:right="49"/>
        <w:jc w:val="center"/>
        <w:rPr>
          <w:rFonts w:ascii="Work Sans" w:hAnsi="Work Sans" w:cs="Calibri"/>
          <w:b/>
          <w:sz w:val="20"/>
          <w:szCs w:val="20"/>
          <w:lang w:val="es-MX"/>
        </w:rPr>
      </w:pPr>
    </w:p>
    <w:p w:rsidR="008D345B" w:rsidRPr="003A0144" w:rsidRDefault="008D345B">
      <w:pPr>
        <w:ind w:right="49"/>
        <w:jc w:val="center"/>
        <w:rPr>
          <w:rFonts w:ascii="Work Sans" w:hAnsi="Work Sans" w:cs="Calibri"/>
          <w:b/>
          <w:sz w:val="20"/>
          <w:szCs w:val="20"/>
          <w:lang w:val="es-MX"/>
        </w:rPr>
      </w:pPr>
    </w:p>
    <w:p w:rsidR="008D345B" w:rsidRPr="003A0144" w:rsidRDefault="008D345B">
      <w:pPr>
        <w:ind w:right="49"/>
        <w:jc w:val="center"/>
        <w:rPr>
          <w:rFonts w:ascii="Work Sans" w:hAnsi="Work Sans" w:cs="Calibri"/>
          <w:b/>
          <w:sz w:val="20"/>
          <w:szCs w:val="20"/>
          <w:lang w:val="es-MX"/>
        </w:rPr>
      </w:pPr>
    </w:p>
    <w:p w:rsidR="008D345B" w:rsidRPr="003A0144" w:rsidRDefault="008D345B">
      <w:pPr>
        <w:ind w:right="49"/>
        <w:jc w:val="center"/>
        <w:rPr>
          <w:rFonts w:ascii="Work Sans" w:hAnsi="Work Sans" w:cs="Calibri"/>
          <w:b/>
          <w:sz w:val="20"/>
          <w:szCs w:val="20"/>
          <w:lang w:val="es-MX"/>
        </w:rPr>
      </w:pPr>
    </w:p>
    <w:p w:rsidR="008D345B" w:rsidRPr="003A0144" w:rsidRDefault="008D345B">
      <w:pPr>
        <w:ind w:right="49"/>
        <w:jc w:val="center"/>
        <w:rPr>
          <w:rFonts w:ascii="Work Sans" w:hAnsi="Work Sans" w:cs="Calibri"/>
          <w:b/>
          <w:sz w:val="20"/>
          <w:szCs w:val="20"/>
          <w:lang w:val="es-MX"/>
        </w:rPr>
      </w:pPr>
    </w:p>
    <w:p w:rsidR="00183E2F" w:rsidRDefault="00183E2F">
      <w:pPr>
        <w:jc w:val="center"/>
        <w:rPr>
          <w:rFonts w:ascii="Work Sans" w:hAnsi="Work Sans" w:cs="Calibri"/>
          <w:b/>
          <w:sz w:val="20"/>
          <w:szCs w:val="20"/>
          <w:lang w:val="es-MX"/>
        </w:rPr>
      </w:pPr>
    </w:p>
    <w:p w:rsidR="00B20280" w:rsidRDefault="00FC4460" w:rsidP="00AD1CE0">
      <w:pPr>
        <w:jc w:val="center"/>
        <w:rPr>
          <w:rFonts w:ascii="Work Sans" w:hAnsi="Work Sans" w:cs="Calibri"/>
          <w:b/>
          <w:sz w:val="20"/>
          <w:szCs w:val="20"/>
          <w:lang w:val="es-MX"/>
        </w:rPr>
      </w:pPr>
      <w:r>
        <w:rPr>
          <w:rFonts w:ascii="Work Sans" w:hAnsi="Work Sans" w:cs="Calibri"/>
          <w:b/>
          <w:sz w:val="20"/>
          <w:szCs w:val="20"/>
          <w:lang w:val="es-MX"/>
        </w:rPr>
        <w:t>ÁNGELA MARÍA OROZCO GÓMEZ</w:t>
      </w:r>
    </w:p>
    <w:p w:rsidR="00AD1CE0" w:rsidRDefault="00AD1CE0" w:rsidP="00AD1CE0">
      <w:pPr>
        <w:rPr>
          <w:rFonts w:ascii="Work Sans" w:hAnsi="Work Sans" w:cs="Calibri"/>
          <w:b/>
          <w:sz w:val="20"/>
          <w:szCs w:val="20"/>
          <w:lang w:val="es-MX"/>
        </w:rPr>
      </w:pPr>
    </w:p>
    <w:p w:rsidR="00AD1CE0" w:rsidRDefault="00AD1CE0" w:rsidP="00AD1CE0">
      <w:pPr>
        <w:rPr>
          <w:rFonts w:ascii="Work Sans" w:hAnsi="Work Sans" w:cs="Calibri"/>
          <w:b/>
          <w:sz w:val="20"/>
          <w:szCs w:val="20"/>
          <w:lang w:val="es-MX"/>
        </w:rPr>
      </w:pPr>
    </w:p>
    <w:p w:rsidR="00AD1CE0" w:rsidRDefault="00AD1CE0" w:rsidP="00AD1CE0">
      <w:pPr>
        <w:rPr>
          <w:rFonts w:ascii="Work Sans" w:hAnsi="Work Sans" w:cs="Calibri"/>
          <w:b/>
          <w:sz w:val="20"/>
          <w:szCs w:val="20"/>
          <w:lang w:val="es-MX"/>
        </w:rPr>
      </w:pPr>
    </w:p>
    <w:p w:rsidR="008D345B" w:rsidRPr="00AD1CE0" w:rsidRDefault="00813634" w:rsidP="00AD1CE0">
      <w:pPr>
        <w:jc w:val="both"/>
        <w:rPr>
          <w:rFonts w:ascii="Work Sans" w:hAnsi="Work Sans" w:cs="Verdana"/>
          <w:sz w:val="16"/>
          <w:szCs w:val="16"/>
          <w:lang w:val="es-CO" w:eastAsia="es-CO"/>
        </w:rPr>
      </w:pPr>
      <w:bookmarkStart w:id="7" w:name="_Hlk19284239"/>
      <w:bookmarkStart w:id="8" w:name="_Hlk512429908"/>
      <w:r w:rsidRPr="00AD1CE0">
        <w:rPr>
          <w:rFonts w:ascii="Work Sans" w:hAnsi="Work Sans" w:cs="Verdana"/>
          <w:sz w:val="16"/>
          <w:szCs w:val="16"/>
          <w:lang w:val="es-CO" w:eastAsia="es-CO"/>
        </w:rPr>
        <w:t xml:space="preserve">Louis Francois Kleyn Lopez </w:t>
      </w:r>
      <w:bookmarkEnd w:id="7"/>
      <w:r w:rsidRPr="00AD1CE0">
        <w:rPr>
          <w:rFonts w:ascii="Work Sans" w:hAnsi="Work Sans" w:cs="Verdana"/>
          <w:sz w:val="16"/>
          <w:szCs w:val="16"/>
          <w:lang w:val="es-CO" w:eastAsia="es-CO"/>
        </w:rPr>
        <w:t xml:space="preserve">- Presidente Agencia Nacional de Infraestructura </w:t>
      </w:r>
    </w:p>
    <w:p w:rsidR="008D345B" w:rsidRPr="00AD1CE0" w:rsidRDefault="00813634"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 xml:space="preserve">Luis Eduardo Gutierrez Díaz – Vicepresidente de Gestión Contractual Agencia Nacional de Infraestructura </w:t>
      </w:r>
    </w:p>
    <w:bookmarkEnd w:id="8"/>
    <w:p w:rsidR="00971E86" w:rsidRPr="00AD1CE0" w:rsidRDefault="00971E86"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 xml:space="preserve">Manuel Isidro Raigozo Rubio - Gerente Carretero 1 VGC </w:t>
      </w:r>
    </w:p>
    <w:p w:rsidR="00971E86" w:rsidRPr="00AD1CE0" w:rsidRDefault="00971E86"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Fernando Augusto Ramirez Laguado - Vicepresidente Jurídico</w:t>
      </w:r>
    </w:p>
    <w:p w:rsidR="008D345B" w:rsidRPr="00AD1CE0" w:rsidRDefault="00813634"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 xml:space="preserve">Sol Angel Cala Acosta - Jefe Oficina Asesora de Jurídica (E) </w:t>
      </w:r>
    </w:p>
    <w:p w:rsidR="008D345B" w:rsidRPr="00AD1CE0" w:rsidRDefault="00813634"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María Angélica Cruz - Asesora Despacho Ministra</w:t>
      </w:r>
    </w:p>
    <w:p w:rsidR="008D345B" w:rsidRPr="00AD1CE0" w:rsidRDefault="0010577B"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Juan Felipe Sanabria</w:t>
      </w:r>
      <w:r w:rsidR="00813634" w:rsidRPr="00AD1CE0">
        <w:rPr>
          <w:rFonts w:ascii="Work Sans" w:hAnsi="Work Sans" w:cs="Verdana"/>
          <w:sz w:val="16"/>
          <w:szCs w:val="16"/>
          <w:lang w:val="es-CO" w:eastAsia="es-CO"/>
        </w:rPr>
        <w:t xml:space="preserve"> – Jefe de Oficina de Regulación Económica </w:t>
      </w:r>
      <w:r w:rsidR="00AD1CE0" w:rsidRPr="00AD1CE0">
        <w:rPr>
          <w:rFonts w:ascii="Work Sans" w:hAnsi="Work Sans" w:cs="Verdana"/>
          <w:sz w:val="16"/>
          <w:szCs w:val="16"/>
          <w:lang w:val="es-CO" w:eastAsia="es-CO"/>
        </w:rPr>
        <w:t>( E )</w:t>
      </w:r>
    </w:p>
    <w:p w:rsidR="008D345B" w:rsidRPr="00AD1CE0" w:rsidRDefault="00813634" w:rsidP="00971E86">
      <w:pPr>
        <w:pStyle w:val="Estilo1"/>
        <w:rPr>
          <w:rFonts w:ascii="Work Sans" w:hAnsi="Work Sans" w:cs="Verdana"/>
          <w:sz w:val="16"/>
          <w:szCs w:val="16"/>
          <w:lang w:val="es-CO" w:eastAsia="es-CO"/>
        </w:rPr>
      </w:pPr>
      <w:r w:rsidRPr="00AD1CE0">
        <w:rPr>
          <w:rFonts w:ascii="Work Sans" w:hAnsi="Work Sans" w:cs="Verdana"/>
          <w:sz w:val="16"/>
          <w:szCs w:val="16"/>
          <w:lang w:val="es-CO" w:eastAsia="es-CO"/>
        </w:rPr>
        <w:t xml:space="preserve">Claudia Patricia Roa Orjuela – Asesora Oficina Asesora de Jurídica </w:t>
      </w:r>
    </w:p>
    <w:p w:rsidR="00971E86" w:rsidRPr="00AD1CE0" w:rsidRDefault="00A35306" w:rsidP="00AD1CE0">
      <w:pPr>
        <w:pStyle w:val="Estilo1"/>
        <w:rPr>
          <w:rFonts w:ascii="Work Sans" w:hAnsi="Work Sans" w:cs="Verdana"/>
          <w:sz w:val="12"/>
          <w:szCs w:val="12"/>
          <w:lang w:val="es-CO" w:eastAsia="es-CO"/>
        </w:rPr>
      </w:pPr>
      <w:r w:rsidRPr="00AD1CE0">
        <w:rPr>
          <w:rFonts w:ascii="Work Sans" w:hAnsi="Work Sans" w:cs="Verdana"/>
          <w:sz w:val="16"/>
          <w:szCs w:val="16"/>
          <w:lang w:val="es-CO" w:eastAsia="es-CO"/>
        </w:rPr>
        <w:t>Magda Paola Suarez Alejo – Abogada Conceptos y Apoyo</w:t>
      </w:r>
      <w:r w:rsidRPr="00AD1CE0">
        <w:rPr>
          <w:rFonts w:ascii="Work Sans" w:hAnsi="Work Sans" w:cs="Verdana"/>
          <w:sz w:val="12"/>
          <w:szCs w:val="12"/>
          <w:lang w:val="es-CO" w:eastAsia="es-CO"/>
        </w:rPr>
        <w:t xml:space="preserve"> Legal</w:t>
      </w:r>
    </w:p>
    <w:sectPr w:rsidR="00971E86" w:rsidRPr="00AD1CE0" w:rsidSect="001A4E66">
      <w:headerReference w:type="first" r:id="rId8"/>
      <w:pgSz w:w="12240" w:h="18720" w:code="14"/>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56E" w:rsidRDefault="003F256E">
      <w:r>
        <w:separator/>
      </w:r>
    </w:p>
  </w:endnote>
  <w:endnote w:type="continuationSeparator" w:id="0">
    <w:p w:rsidR="003F256E" w:rsidRDefault="003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00000003" w:usb1="00000000" w:usb2="00000000" w:usb3="00000000" w:csb0="00000001" w:csb1="00000000"/>
  </w:font>
  <w:font w:name="Lohit Devanagari">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ork Sans">
    <w:altName w:val="Courier New"/>
    <w:panose1 w:val="020B0604020202020204"/>
    <w:charset w:val="00"/>
    <w:family w:val="auto"/>
    <w:pitch w:val="variable"/>
    <w:sig w:usb0="00000003" w:usb1="00000000" w:usb2="00000000" w:usb3="00000000" w:csb0="00000001" w:csb1="00000000"/>
  </w:font>
  <w:font w:name="Futura Bk BT">
    <w:altName w:val="Segoe UI"/>
    <w:panose1 w:val="020B0604020202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56E" w:rsidRDefault="003F256E">
      <w:r>
        <w:rPr>
          <w:color w:val="000000"/>
        </w:rPr>
        <w:separator/>
      </w:r>
    </w:p>
  </w:footnote>
  <w:footnote w:type="continuationSeparator" w:id="0">
    <w:p w:rsidR="003F256E" w:rsidRDefault="003F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B6" w:rsidRDefault="00836F68">
    <w:r w:rsidRPr="00BF1CD5">
      <w:rPr>
        <w:noProof/>
        <w:lang w:val="es-CO" w:eastAsia="es-CO" w:bidi="ar-SA"/>
      </w:rPr>
      <w:drawing>
        <wp:inline distT="0" distB="0" distL="0" distR="0">
          <wp:extent cx="5353050" cy="819150"/>
          <wp:effectExtent l="0" t="0" r="0" b="0"/>
          <wp:docPr id="2" name="Imagen 2" descr="C:\Users\soporteorfeo\Desktop\libre office plantillas ORFEO\Nuevas 2\Logo Orfe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oporteorfeo\Desktop\libre office plantillas ORFEO\Nuevas 2\Logo Orfe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819150"/>
                  </a:xfrm>
                  <a:prstGeom prst="rect">
                    <a:avLst/>
                  </a:prstGeom>
                  <a:noFill/>
                  <a:ln>
                    <a:noFill/>
                  </a:ln>
                </pic:spPr>
              </pic:pic>
            </a:graphicData>
          </a:graphic>
        </wp:inline>
      </w:drawing>
    </w:r>
  </w:p>
  <w:p w:rsidR="008861B6" w:rsidRDefault="008861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5413"/>
    <w:multiLevelType w:val="multilevel"/>
    <w:tmpl w:val="47C4997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15AB0604"/>
    <w:multiLevelType w:val="multilevel"/>
    <w:tmpl w:val="DD3E4C7C"/>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15B856FC"/>
    <w:multiLevelType w:val="multilevel"/>
    <w:tmpl w:val="7AD6EE38"/>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92B2CF3"/>
    <w:multiLevelType w:val="multilevel"/>
    <w:tmpl w:val="60BC6C70"/>
    <w:styleLink w:val="WW8Num4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0687DA8"/>
    <w:multiLevelType w:val="multilevel"/>
    <w:tmpl w:val="E9F852CC"/>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8B14C58"/>
    <w:multiLevelType w:val="multilevel"/>
    <w:tmpl w:val="0DD4EAB8"/>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2C8E7055"/>
    <w:multiLevelType w:val="multilevel"/>
    <w:tmpl w:val="9AFAD68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2F9E0EE3"/>
    <w:multiLevelType w:val="multilevel"/>
    <w:tmpl w:val="9238E3BA"/>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3AAE5806"/>
    <w:multiLevelType w:val="hybridMultilevel"/>
    <w:tmpl w:val="E256AF7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3B5C046F"/>
    <w:multiLevelType w:val="multilevel"/>
    <w:tmpl w:val="B0C270C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3D0F1C21"/>
    <w:multiLevelType w:val="multilevel"/>
    <w:tmpl w:val="BC0EE202"/>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3E3F43F4"/>
    <w:multiLevelType w:val="multilevel"/>
    <w:tmpl w:val="5B122128"/>
    <w:styleLink w:val="WW8Num1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EED5824"/>
    <w:multiLevelType w:val="multilevel"/>
    <w:tmpl w:val="2F14997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42532CB3"/>
    <w:multiLevelType w:val="hybridMultilevel"/>
    <w:tmpl w:val="D7EE4A3C"/>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4" w15:restartNumberingAfterBreak="0">
    <w:nsid w:val="42852B8B"/>
    <w:multiLevelType w:val="multilevel"/>
    <w:tmpl w:val="664CFC6A"/>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2A876CF"/>
    <w:multiLevelType w:val="hybridMultilevel"/>
    <w:tmpl w:val="5302EEB8"/>
    <w:lvl w:ilvl="0" w:tplc="DB167DAA">
      <w:start w:val="2"/>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15:restartNumberingAfterBreak="0">
    <w:nsid w:val="50981DD7"/>
    <w:multiLevelType w:val="multilevel"/>
    <w:tmpl w:val="03C03C3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58BE3EC0"/>
    <w:multiLevelType w:val="hybridMultilevel"/>
    <w:tmpl w:val="28AEE270"/>
    <w:lvl w:ilvl="0" w:tplc="45CC2198">
      <w:start w:val="1"/>
      <w:numFmt w:val="decimal"/>
      <w:lvlText w:val="%1."/>
      <w:lvlJc w:val="left"/>
      <w:pPr>
        <w:ind w:left="927" w:hanging="360"/>
      </w:pPr>
      <w:rPr>
        <w:rFonts w:cs="Times New Roman" w:hint="default"/>
      </w:rPr>
    </w:lvl>
    <w:lvl w:ilvl="1" w:tplc="240A0019" w:tentative="1">
      <w:start w:val="1"/>
      <w:numFmt w:val="lowerLetter"/>
      <w:lvlText w:val="%2."/>
      <w:lvlJc w:val="left"/>
      <w:pPr>
        <w:ind w:left="1647" w:hanging="360"/>
      </w:pPr>
      <w:rPr>
        <w:rFonts w:cs="Times New Roman"/>
      </w:rPr>
    </w:lvl>
    <w:lvl w:ilvl="2" w:tplc="240A001B" w:tentative="1">
      <w:start w:val="1"/>
      <w:numFmt w:val="lowerRoman"/>
      <w:lvlText w:val="%3."/>
      <w:lvlJc w:val="right"/>
      <w:pPr>
        <w:ind w:left="2367" w:hanging="180"/>
      </w:pPr>
      <w:rPr>
        <w:rFonts w:cs="Times New Roman"/>
      </w:rPr>
    </w:lvl>
    <w:lvl w:ilvl="3" w:tplc="240A000F" w:tentative="1">
      <w:start w:val="1"/>
      <w:numFmt w:val="decimal"/>
      <w:lvlText w:val="%4."/>
      <w:lvlJc w:val="left"/>
      <w:pPr>
        <w:ind w:left="3087" w:hanging="360"/>
      </w:pPr>
      <w:rPr>
        <w:rFonts w:cs="Times New Roman"/>
      </w:rPr>
    </w:lvl>
    <w:lvl w:ilvl="4" w:tplc="240A0019" w:tentative="1">
      <w:start w:val="1"/>
      <w:numFmt w:val="lowerLetter"/>
      <w:lvlText w:val="%5."/>
      <w:lvlJc w:val="left"/>
      <w:pPr>
        <w:ind w:left="3807" w:hanging="360"/>
      </w:pPr>
      <w:rPr>
        <w:rFonts w:cs="Times New Roman"/>
      </w:rPr>
    </w:lvl>
    <w:lvl w:ilvl="5" w:tplc="240A001B" w:tentative="1">
      <w:start w:val="1"/>
      <w:numFmt w:val="lowerRoman"/>
      <w:lvlText w:val="%6."/>
      <w:lvlJc w:val="right"/>
      <w:pPr>
        <w:ind w:left="4527" w:hanging="180"/>
      </w:pPr>
      <w:rPr>
        <w:rFonts w:cs="Times New Roman"/>
      </w:rPr>
    </w:lvl>
    <w:lvl w:ilvl="6" w:tplc="240A000F" w:tentative="1">
      <w:start w:val="1"/>
      <w:numFmt w:val="decimal"/>
      <w:lvlText w:val="%7."/>
      <w:lvlJc w:val="left"/>
      <w:pPr>
        <w:ind w:left="5247" w:hanging="360"/>
      </w:pPr>
      <w:rPr>
        <w:rFonts w:cs="Times New Roman"/>
      </w:rPr>
    </w:lvl>
    <w:lvl w:ilvl="7" w:tplc="240A0019" w:tentative="1">
      <w:start w:val="1"/>
      <w:numFmt w:val="lowerLetter"/>
      <w:lvlText w:val="%8."/>
      <w:lvlJc w:val="left"/>
      <w:pPr>
        <w:ind w:left="5967" w:hanging="360"/>
      </w:pPr>
      <w:rPr>
        <w:rFonts w:cs="Times New Roman"/>
      </w:rPr>
    </w:lvl>
    <w:lvl w:ilvl="8" w:tplc="240A001B" w:tentative="1">
      <w:start w:val="1"/>
      <w:numFmt w:val="lowerRoman"/>
      <w:lvlText w:val="%9."/>
      <w:lvlJc w:val="right"/>
      <w:pPr>
        <w:ind w:left="6687" w:hanging="180"/>
      </w:pPr>
      <w:rPr>
        <w:rFonts w:cs="Times New Roman"/>
      </w:rPr>
    </w:lvl>
  </w:abstractNum>
  <w:abstractNum w:abstractNumId="18" w15:restartNumberingAfterBreak="0">
    <w:nsid w:val="59F71053"/>
    <w:multiLevelType w:val="multilevel"/>
    <w:tmpl w:val="0C8CA610"/>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5A287EF1"/>
    <w:multiLevelType w:val="hybridMultilevel"/>
    <w:tmpl w:val="57D037F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0" w15:restartNumberingAfterBreak="0">
    <w:nsid w:val="643227C0"/>
    <w:multiLevelType w:val="multilevel"/>
    <w:tmpl w:val="75CA45B0"/>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665F1CBE"/>
    <w:multiLevelType w:val="multilevel"/>
    <w:tmpl w:val="9B2217E2"/>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66784A41"/>
    <w:multiLevelType w:val="multilevel"/>
    <w:tmpl w:val="CAC8D84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725E48F0"/>
    <w:multiLevelType w:val="multilevel"/>
    <w:tmpl w:val="BA06F0F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75325B22"/>
    <w:multiLevelType w:val="multilevel"/>
    <w:tmpl w:val="D39C8C5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77747B14"/>
    <w:multiLevelType w:val="multilevel"/>
    <w:tmpl w:val="09509CA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
  </w:num>
  <w:num w:numId="2">
    <w:abstractNumId w:val="11"/>
  </w:num>
  <w:num w:numId="3">
    <w:abstractNumId w:val="14"/>
  </w:num>
  <w:num w:numId="4">
    <w:abstractNumId w:val="1"/>
  </w:num>
  <w:num w:numId="5">
    <w:abstractNumId w:val="16"/>
  </w:num>
  <w:num w:numId="6">
    <w:abstractNumId w:val="0"/>
  </w:num>
  <w:num w:numId="7">
    <w:abstractNumId w:val="6"/>
  </w:num>
  <w:num w:numId="8">
    <w:abstractNumId w:val="12"/>
  </w:num>
  <w:num w:numId="9">
    <w:abstractNumId w:val="20"/>
  </w:num>
  <w:num w:numId="10">
    <w:abstractNumId w:val="21"/>
  </w:num>
  <w:num w:numId="11">
    <w:abstractNumId w:val="18"/>
  </w:num>
  <w:num w:numId="12">
    <w:abstractNumId w:val="5"/>
  </w:num>
  <w:num w:numId="13">
    <w:abstractNumId w:val="2"/>
  </w:num>
  <w:num w:numId="14">
    <w:abstractNumId w:val="7"/>
  </w:num>
  <w:num w:numId="15">
    <w:abstractNumId w:val="24"/>
  </w:num>
  <w:num w:numId="16">
    <w:abstractNumId w:val="10"/>
  </w:num>
  <w:num w:numId="17">
    <w:abstractNumId w:val="25"/>
  </w:num>
  <w:num w:numId="18">
    <w:abstractNumId w:val="23"/>
  </w:num>
  <w:num w:numId="19">
    <w:abstractNumId w:val="4"/>
  </w:num>
  <w:num w:numId="20">
    <w:abstractNumId w:val="22"/>
  </w:num>
  <w:num w:numId="21">
    <w:abstractNumId w:val="9"/>
  </w:num>
  <w:num w:numId="22">
    <w:abstractNumId w:val="15"/>
  </w:num>
  <w:num w:numId="23">
    <w:abstractNumId w:val="13"/>
  </w:num>
  <w:num w:numId="24">
    <w:abstractNumId w:val="8"/>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5B"/>
    <w:rsid w:val="00012E96"/>
    <w:rsid w:val="00017D3C"/>
    <w:rsid w:val="00041AC6"/>
    <w:rsid w:val="00045162"/>
    <w:rsid w:val="000C1EDE"/>
    <w:rsid w:val="000E2660"/>
    <w:rsid w:val="0010577B"/>
    <w:rsid w:val="001239D2"/>
    <w:rsid w:val="0013564D"/>
    <w:rsid w:val="00166AED"/>
    <w:rsid w:val="00183E2F"/>
    <w:rsid w:val="00195F70"/>
    <w:rsid w:val="001A4C80"/>
    <w:rsid w:val="001A4E66"/>
    <w:rsid w:val="001E2F20"/>
    <w:rsid w:val="001E3FFA"/>
    <w:rsid w:val="00201647"/>
    <w:rsid w:val="00201B37"/>
    <w:rsid w:val="00244283"/>
    <w:rsid w:val="00257796"/>
    <w:rsid w:val="00287245"/>
    <w:rsid w:val="002A2587"/>
    <w:rsid w:val="002A2AE0"/>
    <w:rsid w:val="002A48FF"/>
    <w:rsid w:val="002A7271"/>
    <w:rsid w:val="002C58EE"/>
    <w:rsid w:val="002C5FBB"/>
    <w:rsid w:val="002D7130"/>
    <w:rsid w:val="002E7933"/>
    <w:rsid w:val="003035C2"/>
    <w:rsid w:val="003A0144"/>
    <w:rsid w:val="003F256E"/>
    <w:rsid w:val="004502D7"/>
    <w:rsid w:val="004C4A7F"/>
    <w:rsid w:val="004D3981"/>
    <w:rsid w:val="00504FF5"/>
    <w:rsid w:val="00546D7C"/>
    <w:rsid w:val="005A12DC"/>
    <w:rsid w:val="005A3A5C"/>
    <w:rsid w:val="005A4009"/>
    <w:rsid w:val="005B6C08"/>
    <w:rsid w:val="005B7499"/>
    <w:rsid w:val="005C062C"/>
    <w:rsid w:val="005D278E"/>
    <w:rsid w:val="006161C9"/>
    <w:rsid w:val="0064716E"/>
    <w:rsid w:val="0066211B"/>
    <w:rsid w:val="006737E5"/>
    <w:rsid w:val="006775D7"/>
    <w:rsid w:val="006926F9"/>
    <w:rsid w:val="006F3A22"/>
    <w:rsid w:val="00744271"/>
    <w:rsid w:val="007637C1"/>
    <w:rsid w:val="00794AD1"/>
    <w:rsid w:val="007B0CC2"/>
    <w:rsid w:val="007C5C7E"/>
    <w:rsid w:val="007F2601"/>
    <w:rsid w:val="0081151E"/>
    <w:rsid w:val="00813634"/>
    <w:rsid w:val="00836F68"/>
    <w:rsid w:val="00855874"/>
    <w:rsid w:val="008861B6"/>
    <w:rsid w:val="008900F6"/>
    <w:rsid w:val="0089422A"/>
    <w:rsid w:val="008C3E10"/>
    <w:rsid w:val="008C4D26"/>
    <w:rsid w:val="008D345B"/>
    <w:rsid w:val="008E1CE4"/>
    <w:rsid w:val="0090161F"/>
    <w:rsid w:val="00920DC9"/>
    <w:rsid w:val="00942970"/>
    <w:rsid w:val="00947068"/>
    <w:rsid w:val="00971E86"/>
    <w:rsid w:val="0098061B"/>
    <w:rsid w:val="00996AC7"/>
    <w:rsid w:val="009D2AE7"/>
    <w:rsid w:val="009E37DA"/>
    <w:rsid w:val="009E6715"/>
    <w:rsid w:val="009F54CC"/>
    <w:rsid w:val="00A317AB"/>
    <w:rsid w:val="00A35306"/>
    <w:rsid w:val="00A53E94"/>
    <w:rsid w:val="00A64DA1"/>
    <w:rsid w:val="00AD1CE0"/>
    <w:rsid w:val="00AD3717"/>
    <w:rsid w:val="00AD6C09"/>
    <w:rsid w:val="00AE71FE"/>
    <w:rsid w:val="00AF1C0B"/>
    <w:rsid w:val="00AF314D"/>
    <w:rsid w:val="00B05995"/>
    <w:rsid w:val="00B20280"/>
    <w:rsid w:val="00B66184"/>
    <w:rsid w:val="00B837BD"/>
    <w:rsid w:val="00BB67BB"/>
    <w:rsid w:val="00BB7110"/>
    <w:rsid w:val="00BB7625"/>
    <w:rsid w:val="00BD2B19"/>
    <w:rsid w:val="00BD3ADB"/>
    <w:rsid w:val="00BF1CD5"/>
    <w:rsid w:val="00C02A7F"/>
    <w:rsid w:val="00C16345"/>
    <w:rsid w:val="00C254C2"/>
    <w:rsid w:val="00C3259B"/>
    <w:rsid w:val="00C51B46"/>
    <w:rsid w:val="00C729F1"/>
    <w:rsid w:val="00C95C8B"/>
    <w:rsid w:val="00CA6C52"/>
    <w:rsid w:val="00CE0B1A"/>
    <w:rsid w:val="00CF3D7B"/>
    <w:rsid w:val="00D12332"/>
    <w:rsid w:val="00D27C5D"/>
    <w:rsid w:val="00DB5F66"/>
    <w:rsid w:val="00E13BFF"/>
    <w:rsid w:val="00E50107"/>
    <w:rsid w:val="00E52F50"/>
    <w:rsid w:val="00E6263A"/>
    <w:rsid w:val="00E72437"/>
    <w:rsid w:val="00EC2ADD"/>
    <w:rsid w:val="00ED43CD"/>
    <w:rsid w:val="00EE2706"/>
    <w:rsid w:val="00F11DF8"/>
    <w:rsid w:val="00F310EE"/>
    <w:rsid w:val="00F53071"/>
    <w:rsid w:val="00FA2C1C"/>
    <w:rsid w:val="00FC4460"/>
    <w:rsid w:val="00FD1340"/>
    <w:rsid w:val="00FE6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BF37E"/>
  <w14:defaultImageDpi w14:val="0"/>
  <w15:docId w15:val="{8BA588D2-7F63-42DF-B8CF-C5BA039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imes New Roman" w:hAnsi="Liberation Serif" w:cs="Liberation Serif"/>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suppressAutoHyphens/>
      <w:autoSpaceDN w:val="0"/>
      <w:textAlignment w:val="baseline"/>
    </w:pPr>
    <w:rPr>
      <w:rFonts w:cs="Lohit Devanagari"/>
      <w:kern w:val="3"/>
      <w:sz w:val="24"/>
      <w:szCs w:val="24"/>
      <w:lang w:val="es-ES" w:eastAsia="zh-CN" w:bidi="hi-IN"/>
    </w:rPr>
  </w:style>
  <w:style w:type="paragraph" w:styleId="Ttulo1">
    <w:name w:val="heading 1"/>
    <w:basedOn w:val="Standard"/>
    <w:next w:val="Standard"/>
    <w:link w:val="Ttulo1Car"/>
    <w:uiPriority w:val="9"/>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link w:val="Ttulo2Car"/>
    <w:uiPriority w:val="9"/>
    <w:pPr>
      <w:keepNext/>
      <w:widowControl w:val="0"/>
      <w:jc w:val="center"/>
      <w:outlineLvl w:val="1"/>
    </w:pPr>
    <w:rPr>
      <w:rFonts w:ascii="Arial" w:hAnsi="Arial" w:cs="Arial"/>
      <w:b/>
    </w:rPr>
  </w:style>
  <w:style w:type="paragraph" w:styleId="Ttulo3">
    <w:name w:val="heading 3"/>
    <w:basedOn w:val="Standard"/>
    <w:next w:val="Standard"/>
    <w:link w:val="Ttulo3Car"/>
    <w:uiPriority w:val="9"/>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pPr>
      <w:keepNext/>
      <w:outlineLvl w:val="4"/>
    </w:pPr>
    <w:rPr>
      <w:rFonts w:ascii="Arial" w:hAnsi="Arial" w:cs="Arial"/>
      <w:b/>
      <w:bCs/>
      <w:sz w:val="28"/>
    </w:rPr>
  </w:style>
  <w:style w:type="paragraph" w:styleId="Ttulo6">
    <w:name w:val="heading 6"/>
    <w:basedOn w:val="Standard"/>
    <w:next w:val="Standard"/>
    <w:link w:val="Ttulo6Car"/>
    <w:uiPriority w:val="9"/>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pPr>
      <w:keepNext/>
      <w:outlineLvl w:val="6"/>
    </w:pPr>
    <w:rPr>
      <w:rFonts w:ascii="Arial" w:hAnsi="Arial" w:cs="Arial"/>
    </w:rPr>
  </w:style>
  <w:style w:type="paragraph" w:styleId="Ttulo8">
    <w:name w:val="heading 8"/>
    <w:basedOn w:val="Standard"/>
    <w:next w:val="Standard"/>
    <w:link w:val="Ttulo8Car"/>
    <w:uiPriority w:val="9"/>
    <w:pPr>
      <w:keepNext/>
      <w:tabs>
        <w:tab w:val="left" w:pos="-720"/>
      </w:tabs>
      <w:jc w:val="center"/>
      <w:outlineLvl w:val="7"/>
    </w:pPr>
    <w:rPr>
      <w:sz w:val="28"/>
    </w:rPr>
  </w:style>
  <w:style w:type="paragraph" w:styleId="Ttulo9">
    <w:name w:val="heading 9"/>
    <w:basedOn w:val="Standard"/>
    <w:next w:val="Standard"/>
    <w:link w:val="Ttulo9Car"/>
    <w:uiPriority w:val="9"/>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locked/>
    <w:rPr>
      <w:rFonts w:ascii="Calibri Light" w:hAnsi="Calibri Light" w:cs="Times New Roman"/>
      <w:b/>
      <w:i/>
      <w:sz w:val="25"/>
    </w:rPr>
  </w:style>
  <w:style w:type="character" w:customStyle="1" w:styleId="Ttulo3Car">
    <w:name w:val="Título 3 Car"/>
    <w:basedOn w:val="Fuentedeprrafopredeter"/>
    <w:link w:val="Ttulo3"/>
    <w:uiPriority w:val="9"/>
    <w:semiHidden/>
    <w:locked/>
    <w:rPr>
      <w:rFonts w:ascii="Calibri Light" w:hAnsi="Calibri Light" w:cs="Times New Roman"/>
      <w:b/>
      <w:sz w:val="23"/>
    </w:rPr>
  </w:style>
  <w:style w:type="character" w:customStyle="1" w:styleId="Ttulo4Car">
    <w:name w:val="Título 4 Car"/>
    <w:basedOn w:val="Fuentedeprrafopredeter"/>
    <w:link w:val="Ttulo4"/>
    <w:uiPriority w:val="9"/>
    <w:semiHidden/>
    <w:locked/>
    <w:rPr>
      <w:rFonts w:ascii="Calibri" w:hAnsi="Calibri" w:cs="Times New Roman"/>
      <w:b/>
      <w:sz w:val="25"/>
    </w:rPr>
  </w:style>
  <w:style w:type="character" w:customStyle="1" w:styleId="Ttulo5Car">
    <w:name w:val="Título 5 Car"/>
    <w:basedOn w:val="Fuentedeprrafopredeter"/>
    <w:link w:val="Ttulo5"/>
    <w:uiPriority w:val="9"/>
    <w:semiHidden/>
    <w:locked/>
    <w:rPr>
      <w:rFonts w:ascii="Calibri" w:hAnsi="Calibri" w:cs="Times New Roman"/>
      <w:b/>
      <w:i/>
      <w:sz w:val="23"/>
    </w:rPr>
  </w:style>
  <w:style w:type="character" w:customStyle="1" w:styleId="Ttulo6Car">
    <w:name w:val="Título 6 Car"/>
    <w:basedOn w:val="Fuentedeprrafopredeter"/>
    <w:link w:val="Ttulo6"/>
    <w:uiPriority w:val="9"/>
    <w:semiHidden/>
    <w:locked/>
    <w:rPr>
      <w:rFonts w:ascii="Calibri" w:hAnsi="Calibri" w:cs="Times New Roman"/>
      <w:b/>
      <w:sz w:val="20"/>
    </w:rPr>
  </w:style>
  <w:style w:type="character" w:customStyle="1" w:styleId="Ttulo7Car">
    <w:name w:val="Título 7 Car"/>
    <w:basedOn w:val="Fuentedeprrafopredeter"/>
    <w:link w:val="Ttulo7"/>
    <w:uiPriority w:val="9"/>
    <w:semiHidden/>
    <w:locked/>
    <w:rPr>
      <w:rFonts w:ascii="Calibri" w:hAnsi="Calibri" w:cs="Times New Roman"/>
      <w:sz w:val="21"/>
    </w:rPr>
  </w:style>
  <w:style w:type="character" w:customStyle="1" w:styleId="Ttulo8Car">
    <w:name w:val="Título 8 Car"/>
    <w:basedOn w:val="Fuentedeprrafopredeter"/>
    <w:link w:val="Ttulo8"/>
    <w:uiPriority w:val="9"/>
    <w:semiHidden/>
    <w:locked/>
    <w:rPr>
      <w:rFonts w:ascii="Calibri" w:hAnsi="Calibri" w:cs="Times New Roman"/>
      <w:i/>
      <w:sz w:val="21"/>
    </w:rPr>
  </w:style>
  <w:style w:type="character" w:customStyle="1" w:styleId="Ttulo9Car">
    <w:name w:val="Título 9 Car"/>
    <w:basedOn w:val="Fuentedeprrafopredeter"/>
    <w:link w:val="Ttulo9"/>
    <w:uiPriority w:val="9"/>
    <w:semiHidden/>
    <w:locked/>
    <w:rPr>
      <w:rFonts w:ascii="Calibri Light" w:hAnsi="Calibri Light" w:cs="Times New Roman"/>
      <w:sz w:val="20"/>
    </w:rPr>
  </w:style>
  <w:style w:type="paragraph" w:customStyle="1" w:styleId="TITULOUNO">
    <w:name w:val="TITULO UNO"/>
    <w:basedOn w:val="Ttulo1"/>
    <w:pPr>
      <w:tabs>
        <w:tab w:val="clear" w:pos="4395"/>
      </w:tabs>
      <w:suppressAutoHyphens w:val="0"/>
      <w:jc w:val="both"/>
    </w:pPr>
    <w:rPr>
      <w:bCs/>
      <w:spacing w:val="0"/>
      <w:sz w:val="24"/>
      <w:szCs w:val="24"/>
    </w:rPr>
  </w:style>
  <w:style w:type="character" w:customStyle="1" w:styleId="Ttulo1Car">
    <w:name w:val="Título 1 Car"/>
    <w:basedOn w:val="Fuentedeprrafopredeter"/>
    <w:link w:val="Ttulo1"/>
    <w:uiPriority w:val="9"/>
    <w:locked/>
    <w:rPr>
      <w:rFonts w:ascii="Calibri Light" w:hAnsi="Calibri Light" w:cs="Times New Roman"/>
      <w:b/>
      <w:kern w:val="32"/>
      <w:sz w:val="29"/>
    </w:rPr>
  </w:style>
  <w:style w:type="paragraph" w:customStyle="1" w:styleId="Standard">
    <w:name w:val="Standard"/>
    <w:pPr>
      <w:suppressAutoHyphens/>
      <w:autoSpaceDN w:val="0"/>
      <w:textAlignment w:val="baseline"/>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Standard"/>
    <w:uiPriority w:val="35"/>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character" w:customStyle="1" w:styleId="PiedepginaCar">
    <w:name w:val="Pie de página Car"/>
    <w:basedOn w:val="Fuentedeprrafopredeter"/>
    <w:link w:val="Piedepgina"/>
    <w:uiPriority w:val="99"/>
    <w:locked/>
    <w:rPr>
      <w:rFonts w:cs="Times New Roman"/>
      <w:sz w:val="21"/>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2Car">
    <w:name w:val="Texto independiente 2 Car"/>
    <w:basedOn w:val="Fuentedeprrafopredeter"/>
    <w:link w:val="Textoindependiente2"/>
    <w:uiPriority w:val="99"/>
    <w:semiHidden/>
    <w:locked/>
    <w:rPr>
      <w:rFonts w:cs="Times New Roman"/>
      <w:sz w:val="21"/>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character" w:customStyle="1" w:styleId="Textoindependiente3Car">
    <w:name w:val="Texto independiente 3 Car"/>
    <w:basedOn w:val="Fuentedeprrafopredeter"/>
    <w:link w:val="Textoindependiente3"/>
    <w:uiPriority w:val="99"/>
    <w:semiHidden/>
    <w:locked/>
    <w:rPr>
      <w:rFonts w:cs="Times New Roman"/>
      <w:sz w:val="14"/>
    </w:rPr>
  </w:style>
  <w:style w:type="paragraph" w:customStyle="1" w:styleId="Documento1">
    <w:name w:val="Documento 1"/>
    <w:pPr>
      <w:keepNext/>
      <w:keepLines/>
      <w:tabs>
        <w:tab w:val="left" w:pos="-720"/>
      </w:tabs>
      <w:suppressAutoHyphens/>
      <w:autoSpaceDN w:val="0"/>
      <w:textAlignment w:val="baseline"/>
    </w:pPr>
    <w:rPr>
      <w:rFonts w:ascii="Courier" w:hAnsi="Courier" w:cs="Courier"/>
      <w:kern w:val="3"/>
      <w:sz w:val="24"/>
      <w:lang w:eastAsia="zh-CN"/>
    </w:rPr>
  </w:style>
  <w:style w:type="paragraph" w:styleId="Textocomentario">
    <w:name w:val="annotation text"/>
    <w:basedOn w:val="Standard"/>
    <w:link w:val="TextocomentarioCar"/>
    <w:uiPriority w:val="99"/>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tres">
    <w:name w:val="titulo tres"/>
    <w:basedOn w:val="Ttulo1"/>
    <w:pPr>
      <w:widowControl w:val="0"/>
      <w:numPr>
        <w:numId w:val="8"/>
      </w:numPr>
      <w:tabs>
        <w:tab w:val="clear" w:pos="4395"/>
      </w:tabs>
      <w:suppressAutoHyphens w:val="0"/>
      <w:jc w:val="both"/>
    </w:pPr>
    <w:rPr>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textAlignment w:val="baseline"/>
    </w:pPr>
    <w:rPr>
      <w:rFonts w:ascii="Courier New"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hAnsi="Verdana" w:cs="Verdana"/>
      <w:color w:val="000000"/>
      <w:kern w:val="3"/>
      <w:sz w:val="24"/>
      <w:szCs w:val="24"/>
      <w:lang w:val="es-ES" w:eastAsia="zh-CN"/>
    </w:rPr>
  </w:style>
  <w:style w:type="paragraph" w:styleId="Prrafodelista">
    <w:name w:val="List Paragraph"/>
    <w:aliases w:val="Bolita,Párrafo de lista2,Párrafo de lista3,Párrafo de lista21,BOLA,HOJA,BOLADEF,Párrafo de lista1,Titulo 8,Guión,Párrafo de lista31,BOLITA,Viñeta 2,Bola,MIBEX B,4.2.3.1.1,Párrafo de lista5,Colorful List Accent,Chulito"/>
    <w:basedOn w:val="Standard"/>
    <w:link w:val="PrrafodelistaCar"/>
    <w:uiPriority w:val="34"/>
    <w:qFormat/>
    <w:pPr>
      <w:ind w:left="708"/>
    </w:pPr>
  </w:style>
  <w:style w:type="paragraph" w:customStyle="1" w:styleId="Style1">
    <w:name w:val="Style 1"/>
    <w:pPr>
      <w:widowControl w:val="0"/>
      <w:suppressAutoHyphens/>
      <w:autoSpaceDE w:val="0"/>
      <w:autoSpaceDN w:val="0"/>
      <w:textAlignment w:val="baseline"/>
    </w:pPr>
    <w:rPr>
      <w:rFonts w:ascii="Times New Roman" w:hAnsi="Times New Roman" w:cs="Times New Roman"/>
      <w:kern w:val="3"/>
      <w:lang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hAnsi="Bookman Old Style" w:cs="Bookman Old Style"/>
      <w:kern w:val="3"/>
      <w:sz w:val="22"/>
      <w:szCs w:val="22"/>
      <w:lang w:eastAsia="zh-CN"/>
    </w:rPr>
  </w:style>
  <w:style w:type="paragraph" w:customStyle="1" w:styleId="Style3">
    <w:name w:val="Style 3"/>
    <w:pPr>
      <w:widowControl w:val="0"/>
      <w:suppressAutoHyphens/>
      <w:autoSpaceDE w:val="0"/>
      <w:autoSpaceDN w:val="0"/>
      <w:ind w:left="360"/>
      <w:textAlignment w:val="baseline"/>
    </w:pPr>
    <w:rPr>
      <w:rFonts w:ascii="Times New Roman" w:hAnsi="Times New Roman" w:cs="Times New Roman"/>
      <w:kern w:val="3"/>
      <w:sz w:val="26"/>
      <w:szCs w:val="26"/>
      <w:lang w:eastAsia="zh-CN"/>
    </w:rPr>
  </w:style>
  <w:style w:type="paragraph" w:customStyle="1" w:styleId="Style7">
    <w:name w:val="Style 7"/>
    <w:pPr>
      <w:widowControl w:val="0"/>
      <w:suppressAutoHyphens/>
      <w:autoSpaceDE w:val="0"/>
      <w:autoSpaceDN w:val="0"/>
      <w:textAlignment w:val="baseline"/>
    </w:pPr>
    <w:rPr>
      <w:rFonts w:ascii="Times New Roman" w:hAnsi="Times New Roman" w:cs="Times New Roman"/>
      <w:kern w:val="3"/>
      <w:lang w:eastAsia="zh-CN"/>
    </w:rPr>
  </w:style>
  <w:style w:type="paragraph" w:customStyle="1" w:styleId="Style8">
    <w:name w:val="Style 8"/>
    <w:pPr>
      <w:widowControl w:val="0"/>
      <w:suppressAutoHyphens/>
      <w:autoSpaceDE w:val="0"/>
      <w:autoSpaceDN w:val="0"/>
      <w:ind w:left="936" w:hanging="504"/>
      <w:textAlignment w:val="baseline"/>
    </w:pPr>
    <w:rPr>
      <w:rFonts w:ascii="Arial" w:hAnsi="Arial" w:cs="Arial"/>
      <w:kern w:val="3"/>
      <w:sz w:val="24"/>
      <w:szCs w:val="24"/>
      <w:lang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hAnsi="Arial" w:cs="Arial"/>
      <w:kern w:val="3"/>
      <w:sz w:val="24"/>
      <w:szCs w:val="24"/>
      <w:lang w:eastAsia="zh-CN"/>
    </w:rPr>
  </w:style>
  <w:style w:type="paragraph" w:styleId="Textodeglobo">
    <w:name w:val="Balloon Text"/>
    <w:basedOn w:val="Normal"/>
    <w:link w:val="TextodegloboCar"/>
    <w:uiPriority w:val="99"/>
    <w:rPr>
      <w:rFonts w:ascii="Tahoma" w:hAnsi="Tahoma" w:cs="Mangal"/>
      <w:sz w:val="16"/>
      <w:szCs w:val="14"/>
    </w:rPr>
  </w:style>
  <w:style w:type="character" w:customStyle="1" w:styleId="WW8Num1z0">
    <w:name w:val="WW8Num1z0"/>
    <w:rPr>
      <w:rFonts w:ascii="Arial" w:hAnsi="Arial"/>
      <w:spacing w:val="6"/>
      <w:sz w:val="22"/>
    </w:rPr>
  </w:style>
  <w:style w:type="character" w:customStyle="1" w:styleId="TextodegloboCar">
    <w:name w:val="Texto de globo Car"/>
    <w:basedOn w:val="Fuentedeprrafopredeter"/>
    <w:link w:val="Textodeglobo"/>
    <w:uiPriority w:val="99"/>
    <w:locked/>
    <w:rPr>
      <w:rFonts w:ascii="Tahoma" w:hAnsi="Tahoma" w:cs="Times New Roman"/>
      <w:sz w:val="14"/>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paragraph" w:customStyle="1" w:styleId="pa80">
    <w:name w:val="pa80"/>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styleId="Refdecomentario">
    <w:name w:val="annotation reference"/>
    <w:basedOn w:val="Fuentedeprrafopredeter"/>
    <w:uiPriority w:val="99"/>
    <w:rPr>
      <w:rFonts w:cs="Times New Roman"/>
      <w:sz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StandardCar">
    <w:name w:val="Standard Car"/>
    <w:rPr>
      <w:rFonts w:ascii="Courier New" w:hAnsi="Courier New"/>
      <w:sz w:val="20"/>
    </w:rPr>
  </w:style>
  <w:style w:type="character" w:customStyle="1" w:styleId="AsuntodelcomentarioCar">
    <w:name w:val="Asunto del comentario Car"/>
    <w:basedOn w:val="TextocomentarioCar"/>
    <w:link w:val="Asuntodelcomentario"/>
    <w:uiPriority w:val="99"/>
    <w:locked/>
    <w:rPr>
      <w:rFonts w:ascii="Arial" w:hAnsi="Arial" w:cs="Times New Roman"/>
      <w:b/>
      <w:sz w:val="18"/>
    </w:rPr>
  </w:style>
  <w:style w:type="paragraph" w:customStyle="1" w:styleId="Estilo1">
    <w:name w:val="Estilo1"/>
    <w:basedOn w:val="Standard"/>
    <w:rPr>
      <w:rFonts w:ascii="Arial" w:hAnsi="Arial" w:cs="Arial"/>
      <w:sz w:val="20"/>
    </w:rPr>
  </w:style>
  <w:style w:type="table" w:styleId="Tablaconcuadrcula">
    <w:name w:val="Table Grid"/>
    <w:basedOn w:val="Tablanormal"/>
    <w:uiPriority w:val="39"/>
    <w:rsid w:val="00E52F50"/>
    <w:rPr>
      <w:rFonts w:ascii="Calibri" w:hAnsi="Calibri"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olita Car,Párrafo de lista2 Car,Párrafo de lista3 Car,Párrafo de lista21 Car,BOLA Car,HOJA Car,BOLADEF Car,Párrafo de lista1 Car,Titulo 8 Car,Guión Car,Párrafo de lista31 Car,BOLITA Car,Viñeta 2 Car,Bola Car,MIBEX B Car,Chulito Car"/>
    <w:link w:val="Prrafodelista"/>
    <w:uiPriority w:val="34"/>
    <w:locked/>
    <w:rsid w:val="00E52F50"/>
    <w:rPr>
      <w:rFonts w:ascii="Courier New" w:hAnsi="Courier New"/>
      <w:sz w:val="20"/>
    </w:rPr>
  </w:style>
  <w:style w:type="paragraph" w:customStyle="1" w:styleId="Default">
    <w:name w:val="Default"/>
    <w:rsid w:val="00E52F50"/>
    <w:pPr>
      <w:autoSpaceDE w:val="0"/>
      <w:autoSpaceDN w:val="0"/>
      <w:adjustRightInd w:val="0"/>
    </w:pPr>
    <w:rPr>
      <w:rFonts w:ascii="Times New Roman" w:hAnsi="Times New Roman" w:cs="Times New Roman"/>
      <w:color w:val="000000"/>
      <w:sz w:val="24"/>
      <w:szCs w:val="24"/>
      <w:lang w:val="es-CO" w:eastAsia="es-ES"/>
    </w:rPr>
  </w:style>
  <w:style w:type="character" w:styleId="Hipervnculo">
    <w:name w:val="Hyperlink"/>
    <w:basedOn w:val="Fuentedeprrafopredeter"/>
    <w:uiPriority w:val="99"/>
    <w:rsid w:val="00EC2ADD"/>
    <w:rPr>
      <w:rFonts w:cs="Times New Roman"/>
      <w:color w:val="0000FF"/>
      <w:u w:val="single"/>
    </w:rPr>
  </w:style>
  <w:style w:type="numbering" w:customStyle="1" w:styleId="WW8Num4">
    <w:name w:val="WW8Num4"/>
    <w:pPr>
      <w:numPr>
        <w:numId w:val="6"/>
      </w:numPr>
    </w:pPr>
  </w:style>
  <w:style w:type="numbering" w:customStyle="1" w:styleId="WW8Num2">
    <w:name w:val="WW8Num2"/>
    <w:pPr>
      <w:numPr>
        <w:numId w:val="4"/>
      </w:numPr>
    </w:pPr>
  </w:style>
  <w:style w:type="numbering" w:customStyle="1" w:styleId="WW8Num11">
    <w:name w:val="WW8Num11"/>
    <w:pPr>
      <w:numPr>
        <w:numId w:val="13"/>
      </w:numPr>
    </w:pPr>
  </w:style>
  <w:style w:type="numbering" w:customStyle="1" w:styleId="WW8Num41">
    <w:name w:val="WW8Num41"/>
    <w:pPr>
      <w:numPr>
        <w:numId w:val="1"/>
      </w:numPr>
    </w:pPr>
  </w:style>
  <w:style w:type="numbering" w:customStyle="1" w:styleId="WW8Num17">
    <w:name w:val="WW8Num17"/>
    <w:pPr>
      <w:numPr>
        <w:numId w:val="19"/>
      </w:numPr>
    </w:pPr>
  </w:style>
  <w:style w:type="numbering" w:customStyle="1" w:styleId="WW8Num10">
    <w:name w:val="WW8Num10"/>
    <w:pPr>
      <w:numPr>
        <w:numId w:val="12"/>
      </w:numPr>
    </w:pPr>
  </w:style>
  <w:style w:type="numbering" w:customStyle="1" w:styleId="WW8Num5">
    <w:name w:val="WW8Num5"/>
    <w:pPr>
      <w:numPr>
        <w:numId w:val="7"/>
      </w:numPr>
    </w:pPr>
  </w:style>
  <w:style w:type="numbering" w:customStyle="1" w:styleId="WW8Num12">
    <w:name w:val="WW8Num12"/>
    <w:pPr>
      <w:numPr>
        <w:numId w:val="14"/>
      </w:numPr>
    </w:pPr>
  </w:style>
  <w:style w:type="numbering" w:customStyle="1" w:styleId="WW8Num19">
    <w:name w:val="WW8Num19"/>
    <w:pPr>
      <w:numPr>
        <w:numId w:val="21"/>
      </w:numPr>
    </w:pPr>
  </w:style>
  <w:style w:type="numbering" w:customStyle="1" w:styleId="WW8Num14">
    <w:name w:val="WW8Num14"/>
    <w:pPr>
      <w:numPr>
        <w:numId w:val="16"/>
      </w:numPr>
    </w:pPr>
  </w:style>
  <w:style w:type="numbering" w:customStyle="1" w:styleId="WW8Num111">
    <w:name w:val="WW8Num111"/>
    <w:pPr>
      <w:numPr>
        <w:numId w:val="2"/>
      </w:numPr>
    </w:pPr>
  </w:style>
  <w:style w:type="numbering" w:customStyle="1" w:styleId="WW8Num6">
    <w:name w:val="WW8Num6"/>
    <w:pPr>
      <w:numPr>
        <w:numId w:val="8"/>
      </w:numPr>
    </w:pPr>
  </w:style>
  <w:style w:type="numbering" w:customStyle="1" w:styleId="WW8Num1">
    <w:name w:val="WW8Num1"/>
    <w:pPr>
      <w:numPr>
        <w:numId w:val="3"/>
      </w:numPr>
    </w:pPr>
  </w:style>
  <w:style w:type="numbering" w:customStyle="1" w:styleId="WW8Num3">
    <w:name w:val="WW8Num3"/>
    <w:pPr>
      <w:numPr>
        <w:numId w:val="5"/>
      </w:numPr>
    </w:pPr>
  </w:style>
  <w:style w:type="numbering" w:customStyle="1" w:styleId="WW8Num9">
    <w:name w:val="WW8Num9"/>
    <w:pPr>
      <w:numPr>
        <w:numId w:val="11"/>
      </w:numPr>
    </w:pPr>
  </w:style>
  <w:style w:type="numbering" w:customStyle="1" w:styleId="WW8Num7">
    <w:name w:val="WW8Num7"/>
    <w:pPr>
      <w:numPr>
        <w:numId w:val="9"/>
      </w:numPr>
    </w:pPr>
  </w:style>
  <w:style w:type="numbering" w:customStyle="1" w:styleId="WW8Num8">
    <w:name w:val="WW8Num8"/>
    <w:pPr>
      <w:numPr>
        <w:numId w:val="10"/>
      </w:numPr>
    </w:pPr>
  </w:style>
  <w:style w:type="numbering" w:customStyle="1" w:styleId="WW8Num18">
    <w:name w:val="WW8Num18"/>
    <w:pPr>
      <w:numPr>
        <w:numId w:val="20"/>
      </w:numPr>
    </w:pPr>
  </w:style>
  <w:style w:type="numbering" w:customStyle="1" w:styleId="WW8Num16">
    <w:name w:val="WW8Num16"/>
    <w:pPr>
      <w:numPr>
        <w:numId w:val="18"/>
      </w:numPr>
    </w:pPr>
  </w:style>
  <w:style w:type="numbering" w:customStyle="1" w:styleId="WW8Num13">
    <w:name w:val="WW8Num13"/>
    <w:pPr>
      <w:numPr>
        <w:numId w:val="15"/>
      </w:numPr>
    </w:pPr>
  </w:style>
  <w:style w:type="numbering" w:customStyle="1" w:styleId="WW8Num15">
    <w:name w:val="WW8Num1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207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4511</Words>
  <Characters>23425</Characters>
  <Application>Microsoft Office Word</Application>
  <DocSecurity>0</DocSecurity>
  <Lines>195</Lines>
  <Paragraphs>55</Paragraphs>
  <ScaleCrop>false</ScaleCrop>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Evelyn Julieth Medina Medina</cp:lastModifiedBy>
  <cp:revision>2</cp:revision>
  <cp:lastPrinted>2019-09-16T14:30:00Z</cp:lastPrinted>
  <dcterms:created xsi:type="dcterms:W3CDTF">2019-09-18T00:33:00Z</dcterms:created>
  <dcterms:modified xsi:type="dcterms:W3CDTF">2019-09-18T00:33:00Z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