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80C2" w14:textId="77777777" w:rsidR="00FB7BC4" w:rsidRDefault="00C51BDF">
      <w:pPr>
        <w:jc w:val="center"/>
        <w:rPr>
          <w:rFonts w:ascii="Work Sans" w:eastAsia="Work Sans" w:hAnsi="Work Sans" w:cs="Work Sans"/>
          <w:b/>
          <w:sz w:val="20"/>
          <w:szCs w:val="20"/>
        </w:rPr>
      </w:pPr>
      <w:r>
        <w:rPr>
          <w:rFonts w:ascii="Work Sans" w:eastAsia="Work Sans" w:hAnsi="Work Sans" w:cs="Work Sans"/>
          <w:b/>
          <w:sz w:val="20"/>
          <w:szCs w:val="20"/>
        </w:rPr>
        <w:t>LA MINISTRA DE TRANSPORTE</w:t>
      </w:r>
    </w:p>
    <w:p w14:paraId="3BD48B30" w14:textId="77777777" w:rsidR="00FB7BC4" w:rsidRDefault="00FB7BC4">
      <w:pPr>
        <w:jc w:val="both"/>
        <w:rPr>
          <w:rFonts w:ascii="Work Sans" w:eastAsia="Work Sans" w:hAnsi="Work Sans" w:cs="Work Sans"/>
          <w:sz w:val="20"/>
          <w:szCs w:val="20"/>
        </w:rPr>
      </w:pPr>
    </w:p>
    <w:p w14:paraId="63EC7BE3" w14:textId="77777777" w:rsidR="00FB7BC4" w:rsidRDefault="00C51BDF">
      <w:pPr>
        <w:widowControl/>
        <w:ind w:right="40"/>
        <w:jc w:val="both"/>
        <w:rPr>
          <w:rFonts w:ascii="Work Sans" w:eastAsia="Work Sans" w:hAnsi="Work Sans" w:cs="Work Sans"/>
          <w:sz w:val="20"/>
          <w:szCs w:val="20"/>
        </w:rPr>
      </w:pPr>
      <w:r>
        <w:rPr>
          <w:rFonts w:ascii="Work Sans" w:eastAsia="Work Sans" w:hAnsi="Work Sans" w:cs="Work Sans"/>
          <w:sz w:val="20"/>
          <w:szCs w:val="20"/>
        </w:rPr>
        <w:t xml:space="preserve">En ejercicio de las facultades legales y en especial las conferidas por el artículo 21 de la Ley 105 de 1993 modificado parcialmente por el artículo 1° de la Ley 787 de 2002, el numeral 6.15 del artículo 6° </w:t>
      </w:r>
      <w:r>
        <w:rPr>
          <w:rFonts w:ascii="Work Sans" w:eastAsia="Work Sans" w:hAnsi="Work Sans" w:cs="Work Sans"/>
          <w:sz w:val="20"/>
          <w:szCs w:val="20"/>
        </w:rPr>
        <w:t>del Decreto 087 de 2011, y</w:t>
      </w:r>
    </w:p>
    <w:p w14:paraId="0259B04D" w14:textId="77777777" w:rsidR="00FB7BC4" w:rsidRDefault="00FB7BC4">
      <w:pPr>
        <w:widowControl/>
        <w:ind w:right="40"/>
        <w:jc w:val="both"/>
        <w:rPr>
          <w:rFonts w:ascii="Work Sans" w:eastAsia="Work Sans" w:hAnsi="Work Sans" w:cs="Work Sans"/>
          <w:sz w:val="20"/>
          <w:szCs w:val="20"/>
        </w:rPr>
      </w:pPr>
    </w:p>
    <w:p w14:paraId="45CD1E9D" w14:textId="77777777" w:rsidR="00FB7BC4" w:rsidRDefault="00C51BDF">
      <w:pPr>
        <w:jc w:val="center"/>
        <w:rPr>
          <w:rFonts w:ascii="Work Sans" w:eastAsia="Work Sans" w:hAnsi="Work Sans" w:cs="Work Sans"/>
          <w:b/>
          <w:sz w:val="20"/>
          <w:szCs w:val="20"/>
        </w:rPr>
      </w:pPr>
      <w:r>
        <w:rPr>
          <w:rFonts w:ascii="Work Sans" w:eastAsia="Work Sans" w:hAnsi="Work Sans" w:cs="Work Sans"/>
          <w:b/>
          <w:sz w:val="20"/>
          <w:szCs w:val="20"/>
        </w:rPr>
        <w:t>C O N S I D E R A N D O:</w:t>
      </w:r>
    </w:p>
    <w:p w14:paraId="691C400E" w14:textId="77777777" w:rsidR="00FB7BC4" w:rsidRDefault="00FB7BC4">
      <w:pPr>
        <w:pStyle w:val="Standard"/>
        <w:jc w:val="both"/>
        <w:rPr>
          <w:rFonts w:ascii="Work Sans" w:hAnsi="Work Sans"/>
          <w:bCs/>
          <w:color w:val="221E1F"/>
          <w:sz w:val="20"/>
        </w:rPr>
      </w:pPr>
    </w:p>
    <w:p w14:paraId="7BD253D1" w14:textId="77777777" w:rsidR="00FB7BC4" w:rsidRDefault="00C51BDF">
      <w:pPr>
        <w:pStyle w:val="Standard"/>
        <w:jc w:val="both"/>
        <w:rPr>
          <w:rFonts w:ascii="Work Sans" w:hAnsi="Work Sans"/>
          <w:bCs/>
          <w:color w:val="221E1F"/>
          <w:sz w:val="20"/>
        </w:rPr>
      </w:pPr>
      <w:r>
        <w:rPr>
          <w:rFonts w:ascii="Work Sans" w:hAnsi="Work Sans"/>
          <w:bCs/>
          <w:color w:val="221E1F"/>
          <w:sz w:val="20"/>
        </w:rPr>
        <w:t>Que mediante la Resolución 20213040018155 del 30 de abril de 2022, se establecieron tarifas diferenciales de manera temporal para las categorías IE y IIE en la estación de peaje denominada aburra del pr</w:t>
      </w:r>
      <w:r>
        <w:rPr>
          <w:rFonts w:ascii="Work Sans" w:hAnsi="Work Sans"/>
          <w:bCs/>
          <w:color w:val="221E1F"/>
          <w:sz w:val="20"/>
        </w:rPr>
        <w:t>oyecto Autopista Mar 1.</w:t>
      </w:r>
    </w:p>
    <w:p w14:paraId="4EE666FF" w14:textId="77777777" w:rsidR="00FB7BC4" w:rsidRDefault="00FB7BC4">
      <w:pPr>
        <w:pStyle w:val="Standard"/>
        <w:jc w:val="both"/>
        <w:rPr>
          <w:rFonts w:ascii="Work Sans" w:hAnsi="Work Sans"/>
          <w:bCs/>
          <w:color w:val="221E1F"/>
          <w:sz w:val="20"/>
        </w:rPr>
      </w:pPr>
    </w:p>
    <w:p w14:paraId="780A1807" w14:textId="77777777" w:rsidR="00FB7BC4" w:rsidRDefault="00C51BDF">
      <w:pPr>
        <w:pStyle w:val="Standard"/>
        <w:jc w:val="both"/>
        <w:rPr>
          <w:rFonts w:ascii="Work Sans" w:hAnsi="Work Sans"/>
          <w:bCs/>
          <w:color w:val="221E1F"/>
          <w:sz w:val="20"/>
        </w:rPr>
      </w:pPr>
      <w:r>
        <w:rPr>
          <w:rFonts w:ascii="Work Sans" w:hAnsi="Work Sans"/>
          <w:bCs/>
          <w:color w:val="221E1F"/>
          <w:sz w:val="20"/>
        </w:rPr>
        <w:t xml:space="preserve">Que el artículo 2 de la referida resolución establece la fórmula de actualización anual para las categorías IE y IIE de la estación de peaje denominada aburra, en los siguientes términos: </w:t>
      </w:r>
    </w:p>
    <w:p w14:paraId="3648CB1D" w14:textId="77777777" w:rsidR="00FB7BC4" w:rsidRDefault="00FB7BC4">
      <w:pPr>
        <w:pStyle w:val="Standard"/>
        <w:jc w:val="both"/>
        <w:rPr>
          <w:rFonts w:ascii="Work Sans" w:hAnsi="Work Sans"/>
          <w:sz w:val="20"/>
          <w:lang w:val="es-CO"/>
        </w:rPr>
      </w:pPr>
    </w:p>
    <w:p w14:paraId="21A4FA11" w14:textId="77777777" w:rsidR="00FB7BC4" w:rsidRDefault="00C51BDF">
      <w:pPr>
        <w:widowControl/>
        <w:spacing w:after="160"/>
        <w:ind w:left="426" w:right="481"/>
        <w:jc w:val="both"/>
        <w:textAlignment w:val="auto"/>
        <w:rPr>
          <w:rFonts w:ascii="Work Sans" w:hAnsi="Work Sans" w:cs="Calibri"/>
          <w:i/>
          <w:color w:val="221E1F"/>
          <w:kern w:val="0"/>
          <w:sz w:val="18"/>
          <w:szCs w:val="18"/>
          <w:lang w:val="es-CO" w:eastAsia="es-CO" w:bidi="ar-SA"/>
        </w:rPr>
      </w:pPr>
      <w:r>
        <w:rPr>
          <w:rFonts w:ascii="Work Sans" w:hAnsi="Work Sans" w:cs="Calibri"/>
          <w:i/>
          <w:color w:val="221E1F"/>
          <w:kern w:val="0"/>
          <w:sz w:val="18"/>
          <w:szCs w:val="18"/>
          <w:lang w:val="es-CO" w:eastAsia="es-CO" w:bidi="ar-SA"/>
        </w:rPr>
        <w:t>“Artículo 2°. Las actualizaciones anuales</w:t>
      </w:r>
      <w:r>
        <w:rPr>
          <w:rFonts w:ascii="Work Sans" w:hAnsi="Work Sans" w:cs="Calibri"/>
          <w:i/>
          <w:color w:val="221E1F"/>
          <w:kern w:val="0"/>
          <w:sz w:val="18"/>
          <w:szCs w:val="18"/>
          <w:lang w:val="es-CO" w:eastAsia="es-CO" w:bidi="ar-SA"/>
        </w:rPr>
        <w:t xml:space="preserve"> para las categorías IE y IIE del peaje Aburrá, a partir del 16 de enero de 2022, de conformidad con el estudio de la Agencia Nacional de Infraestructura, se realizará aplicando la siguiente formula:</w:t>
      </w:r>
    </w:p>
    <w:p w14:paraId="511A328B" w14:textId="77777777" w:rsidR="00FB7BC4" w:rsidRDefault="00C51BDF">
      <w:pPr>
        <w:widowControl/>
        <w:spacing w:after="160"/>
        <w:ind w:left="426" w:right="481"/>
        <w:jc w:val="both"/>
        <w:textAlignment w:val="auto"/>
      </w:pPr>
      <w:r>
        <w:rPr>
          <w:noProof/>
        </w:rPr>
        <w:drawing>
          <wp:inline distT="0" distB="0" distL="0" distR="0" wp14:anchorId="2083B156" wp14:editId="7736F759">
            <wp:extent cx="4453100" cy="3177146"/>
            <wp:effectExtent l="0" t="0" r="4600" b="0"/>
            <wp:docPr id="2"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9689" r="4758"/>
                    <a:stretch>
                      <a:fillRect/>
                    </a:stretch>
                  </pic:blipFill>
                  <pic:spPr>
                    <a:xfrm>
                      <a:off x="0" y="0"/>
                      <a:ext cx="4453100" cy="3177146"/>
                    </a:xfrm>
                    <a:prstGeom prst="rect">
                      <a:avLst/>
                    </a:prstGeom>
                    <a:noFill/>
                    <a:ln>
                      <a:noFill/>
                      <a:prstDash/>
                    </a:ln>
                  </pic:spPr>
                </pic:pic>
              </a:graphicData>
            </a:graphic>
          </wp:inline>
        </w:drawing>
      </w:r>
    </w:p>
    <w:p w14:paraId="7511EC90" w14:textId="77777777" w:rsidR="00FB7BC4" w:rsidRDefault="00C51BDF">
      <w:pPr>
        <w:widowControl/>
        <w:ind w:right="-1"/>
        <w:jc w:val="both"/>
      </w:pPr>
      <w:r>
        <w:rPr>
          <w:rFonts w:ascii="Work Sans" w:eastAsia="Segoe UI" w:hAnsi="Work Sans" w:cs="Segoe UI"/>
          <w:sz w:val="20"/>
          <w:szCs w:val="20"/>
        </w:rPr>
        <w:t xml:space="preserve">Que la Agencia Nacional de </w:t>
      </w:r>
      <w:r>
        <w:rPr>
          <w:rFonts w:ascii="Work Sans" w:eastAsia="Segoe UI" w:hAnsi="Work Sans" w:cs="Segoe UI"/>
          <w:sz w:val="20"/>
          <w:szCs w:val="20"/>
        </w:rPr>
        <w:t xml:space="preserve">Infraestructura mediante oficio con número de radicado 20225000138731 </w:t>
      </w:r>
      <w:r>
        <w:rPr>
          <w:rFonts w:ascii="Work Sans" w:eastAsia="Segoe UI" w:hAnsi="Work Sans" w:cs="Segoe UI"/>
          <w:bCs/>
          <w:sz w:val="20"/>
          <w:szCs w:val="20"/>
        </w:rPr>
        <w:t xml:space="preserve">del 16 de mayo de 2022, solicita al Ministerio de Transporte la </w:t>
      </w:r>
      <w:r>
        <w:rPr>
          <w:rFonts w:ascii="Work Sans" w:hAnsi="Work Sans" w:cs="Arial"/>
          <w:sz w:val="20"/>
          <w:szCs w:val="20"/>
        </w:rPr>
        <w:t xml:space="preserve">modificación del artículo 2 de la Resolución No. 20213040018155 del 30 de abril de 2021, en el cual se establece la </w:t>
      </w:r>
      <w:r>
        <w:rPr>
          <w:rFonts w:ascii="Work Sans" w:hAnsi="Work Sans" w:cs="Arial"/>
          <w:sz w:val="20"/>
          <w:szCs w:val="20"/>
        </w:rPr>
        <w:t>fórmula de actualización anual para las categorías IE y IIE del peaje Aburrá, de manera que dicha actualización se realice de conformidad con lo establecido en la Sección 4.2 de la Parte Especial del Contrato de Concesión, con fundamento en lo siguiente</w:t>
      </w:r>
      <w:r>
        <w:rPr>
          <w:rFonts w:ascii="Work Sans" w:eastAsia="Segoe UI" w:hAnsi="Work Sans" w:cs="Segoe UI"/>
          <w:sz w:val="20"/>
          <w:szCs w:val="20"/>
        </w:rPr>
        <w:t xml:space="preserve">: </w:t>
      </w:r>
    </w:p>
    <w:p w14:paraId="4BAD49FF" w14:textId="77777777" w:rsidR="00FB7BC4" w:rsidRDefault="00FB7BC4">
      <w:pPr>
        <w:widowControl/>
        <w:ind w:right="-1"/>
        <w:jc w:val="both"/>
        <w:rPr>
          <w:rFonts w:ascii="Work Sans" w:hAnsi="Work Sans" w:cs="Arial"/>
          <w:sz w:val="20"/>
          <w:szCs w:val="20"/>
        </w:rPr>
      </w:pPr>
    </w:p>
    <w:p w14:paraId="51FC94E0" w14:textId="77777777" w:rsidR="00FB7BC4" w:rsidRDefault="00C51BDF">
      <w:pPr>
        <w:ind w:left="426" w:right="481"/>
        <w:jc w:val="both"/>
        <w:rPr>
          <w:rFonts w:ascii="Work Sans" w:hAnsi="Work Sans" w:cs="Arial"/>
          <w:b/>
          <w:i/>
          <w:sz w:val="18"/>
          <w:szCs w:val="18"/>
        </w:rPr>
      </w:pPr>
      <w:r>
        <w:rPr>
          <w:rFonts w:ascii="Work Sans" w:hAnsi="Work Sans" w:cs="Arial"/>
          <w:b/>
          <w:i/>
          <w:sz w:val="18"/>
          <w:szCs w:val="18"/>
        </w:rPr>
        <w:t>“ANTECEDENTES Y FUNDAMENTOS QUE SUSTENTAN LA SOLICITUD DE MODIFICACIÓN</w:t>
      </w:r>
    </w:p>
    <w:p w14:paraId="61E83C06" w14:textId="77777777" w:rsidR="00FB7BC4" w:rsidRDefault="00FB7BC4">
      <w:pPr>
        <w:ind w:left="426" w:right="481"/>
        <w:jc w:val="both"/>
        <w:rPr>
          <w:rFonts w:ascii="Work Sans" w:hAnsi="Work Sans" w:cs="Arial"/>
          <w:b/>
          <w:i/>
          <w:sz w:val="18"/>
          <w:szCs w:val="18"/>
        </w:rPr>
      </w:pPr>
    </w:p>
    <w:p w14:paraId="2553AC8A" w14:textId="77777777" w:rsidR="00FB7BC4" w:rsidRDefault="00C51BDF">
      <w:pPr>
        <w:ind w:left="426" w:right="481"/>
        <w:jc w:val="both"/>
      </w:pPr>
      <w:bookmarkStart w:id="0" w:name="_Hlk100222654"/>
      <w:r>
        <w:rPr>
          <w:rFonts w:ascii="Work Sans" w:hAnsi="Work Sans" w:cs="Arial"/>
          <w:i/>
          <w:sz w:val="18"/>
          <w:szCs w:val="18"/>
          <w:lang w:val="es"/>
        </w:rPr>
        <w:t xml:space="preserve">En cumplimiento de las competencias asignadas a la Agencia Nacional de Infraestructura - ANI, se adelantó el proceso de selección para la adjudicación del contrato correspondiente al </w:t>
      </w:r>
      <w:r>
        <w:rPr>
          <w:rFonts w:ascii="Work Sans" w:hAnsi="Work Sans" w:cs="Arial"/>
          <w:i/>
          <w:sz w:val="18"/>
          <w:szCs w:val="18"/>
          <w:lang w:val="es"/>
        </w:rPr>
        <w:t xml:space="preserve">proyecto “Autopista al Mar 1” culminando con la suscripción del Contrato de Concesión No. 014 de 2015, con la sociedad DESARROLLO VIAL AL MAR S.A.S. “DEVIMAR S.A.S., el cual, de acuerdo con la Sección 2.1 de su Parte General, contempla como objeto </w:t>
      </w:r>
      <w:r>
        <w:rPr>
          <w:rFonts w:ascii="Work Sans" w:hAnsi="Work Sans" w:cs="Arial"/>
          <w:i/>
          <w:iCs/>
          <w:sz w:val="18"/>
          <w:szCs w:val="18"/>
          <w:lang w:val="es"/>
        </w:rPr>
        <w:t xml:space="preserve">“(…) </w:t>
      </w:r>
      <w:r>
        <w:rPr>
          <w:rFonts w:ascii="Work Sans" w:hAnsi="Work Sans" w:cs="Arial"/>
          <w:i/>
          <w:iCs/>
          <w:sz w:val="18"/>
          <w:szCs w:val="18"/>
          <w:lang w:val="es-CO"/>
        </w:rPr>
        <w:t xml:space="preserve">el </w:t>
      </w:r>
      <w:r>
        <w:rPr>
          <w:rFonts w:ascii="Work Sans" w:hAnsi="Work Sans" w:cs="Arial"/>
          <w:i/>
          <w:iCs/>
          <w:sz w:val="18"/>
          <w:szCs w:val="18"/>
          <w:lang w:val="es-CO"/>
        </w:rPr>
        <w:t>otorgamiento de una concesión para que, de conformidad con lo previsto en este Contrato, el Concesionario, por su cuenta y riesgo, lleve a cabo el Proyecto. El alcance físico del proyecto se describe en la Parte Especial y en el Apéndice Técnico 1”,</w:t>
      </w:r>
      <w:r>
        <w:rPr>
          <w:rFonts w:ascii="Work Sans" w:hAnsi="Work Sans" w:cs="Arial"/>
          <w:i/>
          <w:sz w:val="18"/>
          <w:szCs w:val="18"/>
          <w:lang w:val="es-CO"/>
        </w:rPr>
        <w:t xml:space="preserve"> y cuyo</w:t>
      </w:r>
      <w:r>
        <w:rPr>
          <w:rFonts w:ascii="Work Sans" w:hAnsi="Work Sans" w:cs="Arial"/>
          <w:i/>
          <w:sz w:val="18"/>
          <w:szCs w:val="18"/>
          <w:lang w:val="es-CO"/>
        </w:rPr>
        <w:t xml:space="preserve"> alcance, conforme a la Sección 3.2 de su Parte Especial es: </w:t>
      </w:r>
      <w:r>
        <w:rPr>
          <w:rFonts w:ascii="Work Sans" w:hAnsi="Work Sans" w:cs="Arial"/>
          <w:i/>
          <w:iCs/>
          <w:sz w:val="18"/>
          <w:szCs w:val="18"/>
          <w:lang w:val="es-CO"/>
        </w:rPr>
        <w:t xml:space="preserve">“Los estudios y diseños definitivos, financiación, gestión ambiental, predial y social, construcción, mejoramiento, rehabilitación, operación, mantenimiento y reversión de la Concesión Autopista </w:t>
      </w:r>
      <w:r>
        <w:rPr>
          <w:rFonts w:ascii="Work Sans" w:hAnsi="Work Sans" w:cs="Arial"/>
          <w:i/>
          <w:iCs/>
          <w:sz w:val="18"/>
          <w:szCs w:val="18"/>
          <w:lang w:val="es-CO"/>
        </w:rPr>
        <w:t>al Mar 1, del Proyecto “Autopistas para la Prosperidad, de acuerdo con el Apéndice Técnico 1 y demás Apéndices del Contrato”</w:t>
      </w:r>
      <w:r>
        <w:rPr>
          <w:rFonts w:ascii="Work Sans" w:hAnsi="Work Sans" w:cs="Arial"/>
          <w:i/>
          <w:sz w:val="18"/>
          <w:szCs w:val="18"/>
          <w:lang w:val="es-CO"/>
        </w:rPr>
        <w:t>.</w:t>
      </w:r>
    </w:p>
    <w:p w14:paraId="160EF55D" w14:textId="77777777" w:rsidR="00FB7BC4" w:rsidRDefault="00FB7BC4">
      <w:pPr>
        <w:ind w:left="426" w:right="481"/>
        <w:jc w:val="both"/>
        <w:rPr>
          <w:rFonts w:ascii="Work Sans" w:hAnsi="Work Sans" w:cs="Arial"/>
          <w:i/>
          <w:sz w:val="18"/>
          <w:szCs w:val="18"/>
          <w:lang w:val="es-CO"/>
        </w:rPr>
      </w:pPr>
    </w:p>
    <w:p w14:paraId="56E7B259" w14:textId="77777777" w:rsidR="00FB7BC4" w:rsidRDefault="00C51BDF">
      <w:pPr>
        <w:shd w:val="clear" w:color="auto" w:fill="FFFFFF"/>
        <w:ind w:left="426" w:right="481"/>
        <w:jc w:val="both"/>
        <w:rPr>
          <w:rFonts w:ascii="Work Sans" w:hAnsi="Work Sans" w:cs="Arial"/>
          <w:i/>
          <w:color w:val="000000"/>
          <w:sz w:val="18"/>
          <w:szCs w:val="18"/>
          <w:lang w:eastAsia="es-CO"/>
        </w:rPr>
      </w:pPr>
      <w:r>
        <w:rPr>
          <w:rFonts w:ascii="Work Sans" w:hAnsi="Work Sans" w:cs="Arial"/>
          <w:i/>
          <w:color w:val="000000"/>
          <w:sz w:val="18"/>
          <w:szCs w:val="18"/>
          <w:lang w:eastAsia="es-CO"/>
        </w:rPr>
        <w:t>A su turno, el literal (a) de la Sección 3.6 “Estaciones de Peaje” de la Parte Especial del Contrato 014 de 2015, establece:</w:t>
      </w:r>
    </w:p>
    <w:p w14:paraId="11B1D7B4" w14:textId="77777777" w:rsidR="00FB7BC4" w:rsidRDefault="00FB7BC4">
      <w:pPr>
        <w:shd w:val="clear" w:color="auto" w:fill="FFFFFF"/>
        <w:ind w:left="426" w:right="481"/>
        <w:jc w:val="both"/>
        <w:rPr>
          <w:rFonts w:ascii="Work Sans" w:hAnsi="Work Sans" w:cs="Arial"/>
          <w:i/>
          <w:color w:val="000000"/>
          <w:sz w:val="18"/>
          <w:szCs w:val="18"/>
          <w:lang w:eastAsia="es-CO"/>
        </w:rPr>
      </w:pPr>
    </w:p>
    <w:p w14:paraId="6EACBFEC" w14:textId="77777777" w:rsidR="00FB7BC4" w:rsidRDefault="00C51BDF">
      <w:pPr>
        <w:shd w:val="clear" w:color="auto" w:fill="FFFFFF"/>
        <w:ind w:left="426" w:right="481"/>
        <w:jc w:val="both"/>
        <w:rPr>
          <w:rFonts w:ascii="Work Sans" w:hAnsi="Work Sans" w:cs="Arial"/>
          <w:i/>
          <w:iCs/>
          <w:color w:val="000000"/>
          <w:sz w:val="18"/>
          <w:szCs w:val="18"/>
          <w:lang w:eastAsia="es-CO"/>
        </w:rPr>
      </w:pPr>
      <w:r>
        <w:rPr>
          <w:rFonts w:ascii="Work Sans" w:hAnsi="Work Sans" w:cs="Arial"/>
          <w:i/>
          <w:iCs/>
          <w:color w:val="000000"/>
          <w:sz w:val="18"/>
          <w:szCs w:val="18"/>
          <w:lang w:eastAsia="es-CO"/>
        </w:rPr>
        <w:t>“(a) Este proyecto cuenta con la Estación de Peaje de Aburrá que incluye los Puntos de Recaudo San Cristóbal y Palmitas. Una vez vencido el plazo establecido en el Convenio 583 de 1996 mencionado en la Sección 3.5 (b) de esta Parte Especial o terminado dic</w:t>
      </w:r>
      <w:r>
        <w:rPr>
          <w:rFonts w:ascii="Work Sans" w:hAnsi="Work Sans" w:cs="Arial"/>
          <w:i/>
          <w:iCs/>
          <w:color w:val="000000"/>
          <w:sz w:val="18"/>
          <w:szCs w:val="18"/>
          <w:lang w:eastAsia="es-CO"/>
        </w:rPr>
        <w:t>ho convenio por cualquier causa, se procederá a hacer entrega al Concesionario de las Estaciones de Peaje correspondientes para que el Concesionario las opere y realice directamente el recaudo de los Peajes en los términos de este Contrato, para lo cual se</w:t>
      </w:r>
      <w:r>
        <w:rPr>
          <w:rFonts w:ascii="Work Sans" w:hAnsi="Work Sans" w:cs="Arial"/>
          <w:i/>
          <w:iCs/>
          <w:color w:val="000000"/>
          <w:sz w:val="18"/>
          <w:szCs w:val="18"/>
          <w:lang w:eastAsia="es-CO"/>
        </w:rPr>
        <w:t xml:space="preserve"> suscribirá el documento que corresponda.”</w:t>
      </w:r>
    </w:p>
    <w:p w14:paraId="744BAF07" w14:textId="77777777" w:rsidR="00FB7BC4" w:rsidRDefault="00FB7BC4">
      <w:pPr>
        <w:shd w:val="clear" w:color="auto" w:fill="FFFFFF"/>
        <w:ind w:left="426" w:right="481"/>
        <w:jc w:val="both"/>
        <w:rPr>
          <w:rFonts w:ascii="Work Sans" w:hAnsi="Work Sans" w:cs="Arial"/>
          <w:i/>
          <w:iCs/>
          <w:color w:val="000000"/>
          <w:sz w:val="18"/>
          <w:szCs w:val="18"/>
          <w:lang w:eastAsia="es-CO"/>
        </w:rPr>
      </w:pPr>
    </w:p>
    <w:p w14:paraId="168687C5" w14:textId="77777777" w:rsidR="00FB7BC4" w:rsidRDefault="00C51BDF">
      <w:pPr>
        <w:shd w:val="clear" w:color="auto" w:fill="FFFFFF"/>
        <w:ind w:left="426" w:right="481"/>
        <w:jc w:val="both"/>
        <w:rPr>
          <w:rFonts w:ascii="Work Sans" w:hAnsi="Work Sans" w:cs="Arial"/>
          <w:i/>
          <w:color w:val="000000"/>
          <w:sz w:val="18"/>
          <w:szCs w:val="18"/>
          <w:lang w:eastAsia="es-CO"/>
        </w:rPr>
      </w:pPr>
      <w:r>
        <w:rPr>
          <w:rFonts w:ascii="Work Sans" w:hAnsi="Work Sans" w:cs="Arial"/>
          <w:i/>
          <w:color w:val="000000"/>
          <w:sz w:val="18"/>
          <w:szCs w:val="18"/>
          <w:lang w:eastAsia="es-CO"/>
        </w:rPr>
        <w:t>A su vez, el literal (b) de la Sección 3.5 “Entrega de la Infraestructura”, señala:</w:t>
      </w:r>
    </w:p>
    <w:p w14:paraId="42135D85" w14:textId="77777777" w:rsidR="00FB7BC4" w:rsidRDefault="00FB7BC4">
      <w:pPr>
        <w:shd w:val="clear" w:color="auto" w:fill="FFFFFF"/>
        <w:ind w:left="426" w:right="481"/>
        <w:jc w:val="both"/>
        <w:rPr>
          <w:rFonts w:ascii="Work Sans" w:hAnsi="Work Sans" w:cs="Arial"/>
          <w:i/>
          <w:color w:val="000000"/>
          <w:sz w:val="18"/>
          <w:szCs w:val="18"/>
          <w:lang w:eastAsia="es-CO"/>
        </w:rPr>
      </w:pPr>
    </w:p>
    <w:p w14:paraId="7BF77FB2" w14:textId="77777777" w:rsidR="00FB7BC4" w:rsidRDefault="00C51BDF">
      <w:pPr>
        <w:shd w:val="clear" w:color="auto" w:fill="FFFFFF"/>
        <w:ind w:left="426" w:right="481"/>
        <w:jc w:val="both"/>
        <w:rPr>
          <w:rFonts w:ascii="Work Sans" w:hAnsi="Work Sans" w:cs="Arial"/>
          <w:i/>
          <w:iCs/>
          <w:color w:val="000000"/>
          <w:sz w:val="18"/>
          <w:szCs w:val="18"/>
          <w:lang w:eastAsia="es-CO"/>
        </w:rPr>
      </w:pPr>
      <w:r>
        <w:rPr>
          <w:rFonts w:ascii="Work Sans" w:hAnsi="Work Sans" w:cs="Arial"/>
          <w:i/>
          <w:iCs/>
          <w:color w:val="000000"/>
          <w:sz w:val="18"/>
          <w:szCs w:val="18"/>
          <w:lang w:eastAsia="es-CO"/>
        </w:rPr>
        <w:t>“(…)</w:t>
      </w:r>
    </w:p>
    <w:p w14:paraId="60EABB56" w14:textId="77777777" w:rsidR="00FB7BC4" w:rsidRDefault="00FB7BC4">
      <w:pPr>
        <w:shd w:val="clear" w:color="auto" w:fill="FFFFFF"/>
        <w:ind w:left="426" w:right="481"/>
        <w:jc w:val="both"/>
        <w:rPr>
          <w:rFonts w:ascii="Work Sans" w:hAnsi="Work Sans" w:cs="Arial"/>
          <w:i/>
          <w:iCs/>
          <w:color w:val="000000"/>
          <w:sz w:val="18"/>
          <w:szCs w:val="18"/>
          <w:lang w:eastAsia="es-CO"/>
        </w:rPr>
      </w:pPr>
    </w:p>
    <w:p w14:paraId="2821ACD5" w14:textId="77777777" w:rsidR="00FB7BC4" w:rsidRDefault="00C51BDF">
      <w:pPr>
        <w:shd w:val="clear" w:color="auto" w:fill="FFFFFF"/>
        <w:ind w:left="426" w:right="481"/>
        <w:jc w:val="both"/>
        <w:rPr>
          <w:rFonts w:ascii="Work Sans" w:hAnsi="Work Sans" w:cs="Arial"/>
          <w:i/>
          <w:iCs/>
          <w:color w:val="000000"/>
          <w:sz w:val="18"/>
          <w:szCs w:val="18"/>
          <w:lang w:eastAsia="es-CO"/>
        </w:rPr>
      </w:pPr>
      <w:r>
        <w:rPr>
          <w:rFonts w:ascii="Work Sans" w:hAnsi="Work Sans" w:cs="Arial"/>
          <w:i/>
          <w:iCs/>
          <w:color w:val="000000"/>
          <w:sz w:val="18"/>
          <w:szCs w:val="18"/>
          <w:lang w:eastAsia="es-CO"/>
        </w:rPr>
        <w:t>(b) Dentro de la infraestructura programada para ser recibida por el Concesionario al inicio del Contrato se encuentran l</w:t>
      </w:r>
      <w:r>
        <w:rPr>
          <w:rFonts w:ascii="Work Sans" w:hAnsi="Work Sans" w:cs="Arial"/>
          <w:i/>
          <w:iCs/>
          <w:color w:val="000000"/>
          <w:sz w:val="18"/>
          <w:szCs w:val="18"/>
          <w:lang w:eastAsia="es-CO"/>
        </w:rPr>
        <w:t>as siguientes vías:</w:t>
      </w:r>
    </w:p>
    <w:p w14:paraId="2EF03202" w14:textId="77777777" w:rsidR="00FB7BC4" w:rsidRDefault="00FB7BC4">
      <w:pPr>
        <w:shd w:val="clear" w:color="auto" w:fill="FFFFFF"/>
        <w:ind w:left="708" w:right="333"/>
        <w:jc w:val="both"/>
        <w:rPr>
          <w:rFonts w:ascii="Arial Narrow" w:hAnsi="Arial Narrow" w:cs="Arial"/>
          <w:i/>
          <w:iCs/>
          <w:color w:val="000000"/>
          <w:lang w:eastAsia="es-CO"/>
        </w:rPr>
      </w:pPr>
    </w:p>
    <w:tbl>
      <w:tblPr>
        <w:tblW w:w="7371" w:type="dxa"/>
        <w:tblInd w:w="846" w:type="dxa"/>
        <w:tblCellMar>
          <w:left w:w="10" w:type="dxa"/>
          <w:right w:w="10" w:type="dxa"/>
        </w:tblCellMar>
        <w:tblLook w:val="0000" w:firstRow="0" w:lastRow="0" w:firstColumn="0" w:lastColumn="0" w:noHBand="0" w:noVBand="0"/>
      </w:tblPr>
      <w:tblGrid>
        <w:gridCol w:w="2455"/>
        <w:gridCol w:w="2223"/>
        <w:gridCol w:w="2693"/>
      </w:tblGrid>
      <w:tr w:rsidR="00FB7BC4" w14:paraId="5E2C4D82" w14:textId="77777777">
        <w:tblPrEx>
          <w:tblCellMar>
            <w:top w:w="0" w:type="dxa"/>
            <w:bottom w:w="0" w:type="dxa"/>
          </w:tblCellMar>
        </w:tblPrEx>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B4D45" w14:textId="77777777" w:rsidR="00FB7BC4" w:rsidRDefault="00C51BDF">
            <w:pPr>
              <w:jc w:val="center"/>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No. de Contrato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2209" w14:textId="77777777" w:rsidR="00FB7BC4" w:rsidRDefault="00C51BDF">
            <w:pPr>
              <w:jc w:val="center"/>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Objeto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A888" w14:textId="77777777" w:rsidR="00FB7BC4" w:rsidRDefault="00C51BDF">
            <w:pPr>
              <w:jc w:val="center"/>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Fecha estimada de terminación</w:t>
            </w:r>
          </w:p>
        </w:tc>
      </w:tr>
      <w:tr w:rsidR="00FB7BC4" w14:paraId="569E9E8F" w14:textId="77777777">
        <w:tblPrEx>
          <w:tblCellMar>
            <w:top w:w="0" w:type="dxa"/>
            <w:bottom w:w="0" w:type="dxa"/>
          </w:tblCellMar>
        </w:tblPrEx>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67D7" w14:textId="77777777" w:rsidR="00FB7BC4" w:rsidRDefault="00C51BDF">
            <w:pPr>
              <w:jc w:val="both"/>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Convenio 0583-1996</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875C" w14:textId="77777777" w:rsidR="00FB7BC4" w:rsidRDefault="00C51BDF">
            <w:pPr>
              <w:jc w:val="both"/>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Construcción De 4.1. Km.</w:t>
            </w:r>
          </w:p>
          <w:p w14:paraId="6657AF9C" w14:textId="77777777" w:rsidR="00FB7BC4" w:rsidRDefault="00C51BDF">
            <w:pPr>
              <w:jc w:val="both"/>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Tramo San Cristóbal - Carrera</w:t>
            </w:r>
          </w:p>
          <w:p w14:paraId="4CF8CFAF" w14:textId="77777777" w:rsidR="00FB7BC4" w:rsidRDefault="00C51BDF">
            <w:pPr>
              <w:jc w:val="both"/>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80 (Medellín)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44884" w14:textId="77777777" w:rsidR="00FB7BC4" w:rsidRDefault="00C51BDF">
            <w:pPr>
              <w:jc w:val="both"/>
              <w:rPr>
                <w:rFonts w:ascii="Arial Narrow" w:hAnsi="Arial Narrow" w:cs="Arial"/>
                <w:i/>
                <w:iCs/>
                <w:color w:val="000000"/>
                <w:sz w:val="18"/>
                <w:szCs w:val="18"/>
                <w:lang w:eastAsia="es-CO"/>
              </w:rPr>
            </w:pPr>
            <w:r>
              <w:rPr>
                <w:rFonts w:ascii="Arial Narrow" w:hAnsi="Arial Narrow" w:cs="Arial"/>
                <w:i/>
                <w:iCs/>
                <w:color w:val="000000"/>
                <w:sz w:val="18"/>
                <w:szCs w:val="18"/>
                <w:lang w:eastAsia="es-CO"/>
              </w:rPr>
              <w:t>30 de junio de 2016</w:t>
            </w:r>
          </w:p>
        </w:tc>
      </w:tr>
    </w:tbl>
    <w:p w14:paraId="1E35AD0B" w14:textId="77777777" w:rsidR="00FB7BC4" w:rsidRDefault="00C51BDF">
      <w:pPr>
        <w:shd w:val="clear" w:color="auto" w:fill="FFFFFF"/>
        <w:jc w:val="both"/>
        <w:rPr>
          <w:rFonts w:ascii="Arial Narrow" w:hAnsi="Arial Narrow" w:cs="Arial"/>
          <w:color w:val="000000"/>
          <w:sz w:val="18"/>
          <w:szCs w:val="18"/>
          <w:lang w:eastAsia="es-CO"/>
        </w:rPr>
      </w:pPr>
      <w:r>
        <w:rPr>
          <w:rFonts w:ascii="Arial Narrow" w:hAnsi="Arial Narrow" w:cs="Arial"/>
          <w:color w:val="000000"/>
          <w:sz w:val="18"/>
          <w:szCs w:val="18"/>
          <w:lang w:eastAsia="es-CO"/>
        </w:rPr>
        <w:tab/>
      </w:r>
    </w:p>
    <w:p w14:paraId="0C3C3FBD" w14:textId="77777777" w:rsidR="00FB7BC4" w:rsidRDefault="00C51BDF">
      <w:pPr>
        <w:shd w:val="clear" w:color="auto" w:fill="FFFFFF"/>
        <w:jc w:val="both"/>
        <w:rPr>
          <w:rFonts w:ascii="Arial Narrow" w:hAnsi="Arial Narrow" w:cs="Arial"/>
          <w:color w:val="000000"/>
          <w:sz w:val="18"/>
          <w:szCs w:val="18"/>
          <w:lang w:eastAsia="es-CO"/>
        </w:rPr>
      </w:pPr>
      <w:r>
        <w:rPr>
          <w:rFonts w:ascii="Arial Narrow" w:hAnsi="Arial Narrow" w:cs="Arial"/>
          <w:color w:val="000000"/>
          <w:sz w:val="18"/>
          <w:szCs w:val="18"/>
          <w:lang w:eastAsia="es-CO"/>
        </w:rPr>
        <w:tab/>
        <w:t>(…)”.</w:t>
      </w:r>
    </w:p>
    <w:p w14:paraId="7E65E6BC" w14:textId="77777777" w:rsidR="00FB7BC4" w:rsidRDefault="00FB7BC4">
      <w:pPr>
        <w:tabs>
          <w:tab w:val="left" w:pos="0"/>
        </w:tabs>
        <w:jc w:val="both"/>
        <w:rPr>
          <w:rFonts w:ascii="Arial" w:hAnsi="Arial" w:cs="Arial"/>
          <w:i/>
          <w:sz w:val="20"/>
          <w:szCs w:val="20"/>
          <w:lang w:val="es-CO"/>
        </w:rPr>
      </w:pPr>
    </w:p>
    <w:p w14:paraId="2651B987" w14:textId="77777777" w:rsidR="00FB7BC4" w:rsidRDefault="00C51BDF">
      <w:pPr>
        <w:autoSpaceDE w:val="0"/>
        <w:ind w:left="426" w:right="481"/>
        <w:jc w:val="both"/>
        <w:rPr>
          <w:rFonts w:ascii="Work Sans" w:hAnsi="Work Sans" w:cs="Arial"/>
          <w:i/>
          <w:sz w:val="18"/>
          <w:szCs w:val="18"/>
          <w:lang w:val="es-CO"/>
        </w:rPr>
      </w:pPr>
      <w:r>
        <w:rPr>
          <w:rFonts w:ascii="Work Sans" w:hAnsi="Work Sans" w:cs="Arial"/>
          <w:i/>
          <w:sz w:val="18"/>
          <w:szCs w:val="18"/>
          <w:lang w:val="es-CO"/>
        </w:rPr>
        <w:t xml:space="preserve">Ahora, en virtud del Convenio 0583 de 1996 y su </w:t>
      </w:r>
      <w:r>
        <w:rPr>
          <w:rFonts w:ascii="Work Sans" w:hAnsi="Work Sans" w:cs="Arial"/>
          <w:i/>
          <w:sz w:val="18"/>
          <w:szCs w:val="18"/>
          <w:lang w:val="es-CO"/>
        </w:rPr>
        <w:t>respectivo Otrosí No. 34 de 2015, suscritos por el Instituto Nacional de Vías, el Departamento de Antioquia, el Área Metropolitana del Valle de Aburrá, el Municipio de Medellín, el Instituto de Estudios Ambientales, el Instituto Social de Vivienda y Hábita</w:t>
      </w:r>
      <w:r>
        <w:rPr>
          <w:rFonts w:ascii="Work Sans" w:hAnsi="Work Sans" w:cs="Arial"/>
          <w:i/>
          <w:sz w:val="18"/>
          <w:szCs w:val="18"/>
          <w:lang w:val="es-CO"/>
        </w:rPr>
        <w:t xml:space="preserve">t de Medellín y el Ministerio de Transporte, la operación de la Estación del Peaje Aburrá estuvo en cabeza de la Gobernación de Antioquia hasta el 30 de junio de 2016, fecha en la cual los suscribientes del mencionado convenio se comprometieron a entregar </w:t>
      </w:r>
      <w:r>
        <w:rPr>
          <w:rFonts w:ascii="Work Sans" w:hAnsi="Work Sans" w:cs="Arial"/>
          <w:i/>
          <w:sz w:val="18"/>
          <w:szCs w:val="18"/>
          <w:lang w:val="es-CO"/>
        </w:rPr>
        <w:t xml:space="preserve">la infraestructura descrita en el literal (b) de la Sección 3.5 “Entrega de la </w:t>
      </w:r>
      <w:r>
        <w:rPr>
          <w:rFonts w:ascii="Work Sans" w:hAnsi="Work Sans" w:cs="Arial"/>
          <w:i/>
          <w:sz w:val="18"/>
          <w:szCs w:val="18"/>
          <w:lang w:val="es-CO"/>
        </w:rPr>
        <w:lastRenderedPageBreak/>
        <w:t>Infraestructura” de la Parte Especial del Contrato 014 de 2015 a la Agencia Nacional de Infraestructura.</w:t>
      </w:r>
    </w:p>
    <w:p w14:paraId="28473401" w14:textId="77777777" w:rsidR="00FB7BC4" w:rsidRDefault="00FB7BC4">
      <w:pPr>
        <w:autoSpaceDE w:val="0"/>
        <w:ind w:left="426" w:right="481"/>
        <w:jc w:val="both"/>
        <w:rPr>
          <w:rFonts w:ascii="Work Sans" w:hAnsi="Work Sans" w:cs="Arial"/>
          <w:i/>
          <w:sz w:val="18"/>
          <w:szCs w:val="18"/>
          <w:lang w:val="es-CO"/>
        </w:rPr>
      </w:pPr>
    </w:p>
    <w:p w14:paraId="4EA2DA89" w14:textId="77777777" w:rsidR="00FB7BC4" w:rsidRDefault="00C51BDF">
      <w:pPr>
        <w:autoSpaceDE w:val="0"/>
        <w:ind w:left="426" w:right="481"/>
        <w:jc w:val="both"/>
        <w:rPr>
          <w:rFonts w:ascii="Work Sans" w:hAnsi="Work Sans" w:cs="Arial"/>
          <w:i/>
          <w:sz w:val="18"/>
          <w:szCs w:val="18"/>
          <w:lang w:val="es-CO"/>
        </w:rPr>
      </w:pPr>
      <w:r>
        <w:rPr>
          <w:rFonts w:ascii="Work Sans" w:hAnsi="Work Sans" w:cs="Arial"/>
          <w:i/>
          <w:sz w:val="18"/>
          <w:szCs w:val="18"/>
          <w:lang w:val="es-CO"/>
        </w:rPr>
        <w:t>De otra parte, mediante Resolución No. 228 del 1 de febrero de 2013, ex</w:t>
      </w:r>
      <w:r>
        <w:rPr>
          <w:rFonts w:ascii="Work Sans" w:hAnsi="Work Sans" w:cs="Arial"/>
          <w:i/>
          <w:sz w:val="18"/>
          <w:szCs w:val="18"/>
          <w:lang w:val="es-CO"/>
        </w:rPr>
        <w:t>pedida por el Ministerio de Transporte, se fijaron las tarifas para las estaciones a cargo del Instituto Nacional de Vías (en adelante el “INVÍAS”). Específicamente para la Estación de Peaje Aburrá se estableció:</w:t>
      </w:r>
    </w:p>
    <w:p w14:paraId="58A6A13F" w14:textId="77777777" w:rsidR="00FB7BC4" w:rsidRDefault="00FB7BC4">
      <w:pPr>
        <w:autoSpaceDE w:val="0"/>
        <w:ind w:left="426" w:right="481"/>
        <w:rPr>
          <w:rFonts w:ascii="Work Sans" w:hAnsi="Work Sans" w:cs="Arial"/>
          <w:i/>
          <w:iCs/>
          <w:sz w:val="18"/>
          <w:szCs w:val="18"/>
          <w:lang w:val="es-CO"/>
        </w:rPr>
      </w:pPr>
    </w:p>
    <w:p w14:paraId="0B84C1CF" w14:textId="77777777" w:rsidR="00FB7BC4" w:rsidRDefault="00C51BDF">
      <w:pPr>
        <w:tabs>
          <w:tab w:val="left" w:pos="0"/>
        </w:tabs>
        <w:ind w:left="426" w:right="481"/>
        <w:jc w:val="both"/>
      </w:pPr>
      <w:r>
        <w:rPr>
          <w:rFonts w:ascii="Work Sans" w:hAnsi="Work Sans" w:cs="Arial"/>
          <w:i/>
          <w:sz w:val="18"/>
          <w:szCs w:val="18"/>
          <w:lang w:val="es-CO"/>
        </w:rPr>
        <w:t>“</w:t>
      </w:r>
      <w:r>
        <w:rPr>
          <w:rFonts w:ascii="Work Sans" w:hAnsi="Work Sans" w:cs="Arial"/>
          <w:b/>
          <w:bCs/>
          <w:i/>
          <w:sz w:val="18"/>
          <w:szCs w:val="18"/>
          <w:lang w:val="es-CO"/>
        </w:rPr>
        <w:t xml:space="preserve">ARTICULO 15.- </w:t>
      </w:r>
      <w:r>
        <w:rPr>
          <w:rFonts w:ascii="Work Sans" w:hAnsi="Work Sans" w:cs="Arial"/>
          <w:i/>
          <w:sz w:val="18"/>
          <w:szCs w:val="18"/>
          <w:lang w:val="es-CO"/>
        </w:rPr>
        <w:t xml:space="preserve">Los usuarios de las </w:t>
      </w:r>
      <w:r>
        <w:rPr>
          <w:rFonts w:ascii="Work Sans" w:hAnsi="Work Sans" w:cs="Arial"/>
          <w:i/>
          <w:sz w:val="18"/>
          <w:szCs w:val="18"/>
          <w:lang w:val="es-CO"/>
        </w:rPr>
        <w:t>estaciones de peaje</w:t>
      </w:r>
      <w:r>
        <w:rPr>
          <w:rFonts w:ascii="Work Sans" w:hAnsi="Work Sans" w:cs="Arial"/>
          <w:b/>
          <w:bCs/>
          <w:i/>
          <w:sz w:val="18"/>
          <w:szCs w:val="18"/>
          <w:lang w:val="es-CO"/>
        </w:rPr>
        <w:t xml:space="preserve"> EBÉJICO, ABURRÁ Y PANDEQUESO</w:t>
      </w:r>
      <w:r>
        <w:rPr>
          <w:rFonts w:ascii="Work Sans" w:hAnsi="Work Sans" w:cs="Arial"/>
          <w:i/>
          <w:sz w:val="18"/>
          <w:szCs w:val="18"/>
          <w:lang w:val="es-CO"/>
        </w:rPr>
        <w:t xml:space="preserve"> en el Departamento de Antioquia, pagarán las siguientes tarifas:</w:t>
      </w:r>
    </w:p>
    <w:p w14:paraId="7F0BE675" w14:textId="77777777" w:rsidR="00FB7BC4" w:rsidRDefault="00FB7BC4">
      <w:pPr>
        <w:tabs>
          <w:tab w:val="left" w:pos="0"/>
        </w:tabs>
        <w:ind w:left="426" w:right="481"/>
        <w:jc w:val="both"/>
        <w:rPr>
          <w:rFonts w:ascii="Arial Narrow" w:hAnsi="Arial Narrow" w:cs="Arial"/>
          <w:i/>
          <w:lang w:val="es-CO"/>
        </w:rPr>
      </w:pPr>
    </w:p>
    <w:p w14:paraId="0695028E" w14:textId="77777777" w:rsidR="00FB7BC4" w:rsidRDefault="00C51BDF">
      <w:pPr>
        <w:tabs>
          <w:tab w:val="left" w:pos="0"/>
        </w:tabs>
        <w:jc w:val="both"/>
      </w:pPr>
      <w:r>
        <w:t xml:space="preserve">            </w:t>
      </w:r>
      <w:r>
        <w:rPr>
          <w:noProof/>
        </w:rPr>
        <w:drawing>
          <wp:inline distT="0" distB="0" distL="0" distR="0" wp14:anchorId="12BBF9A3" wp14:editId="50648FB2">
            <wp:extent cx="4377360" cy="848215"/>
            <wp:effectExtent l="0" t="0" r="4140" b="2685"/>
            <wp:docPr id="3"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4328" t="40526" r="43049" b="23320"/>
                    <a:stretch>
                      <a:fillRect/>
                    </a:stretch>
                  </pic:blipFill>
                  <pic:spPr>
                    <a:xfrm>
                      <a:off x="0" y="0"/>
                      <a:ext cx="4377360" cy="848215"/>
                    </a:xfrm>
                    <a:prstGeom prst="rect">
                      <a:avLst/>
                    </a:prstGeom>
                    <a:noFill/>
                    <a:ln>
                      <a:noFill/>
                      <a:prstDash/>
                    </a:ln>
                  </pic:spPr>
                </pic:pic>
              </a:graphicData>
            </a:graphic>
          </wp:inline>
        </w:drawing>
      </w:r>
    </w:p>
    <w:p w14:paraId="1D8FB25E" w14:textId="77777777" w:rsidR="00FB7BC4" w:rsidRDefault="00FB7BC4">
      <w:pPr>
        <w:tabs>
          <w:tab w:val="left" w:pos="0"/>
        </w:tabs>
        <w:jc w:val="both"/>
        <w:rPr>
          <w:rFonts w:ascii="Arial" w:hAnsi="Arial" w:cs="Arial"/>
          <w:iCs/>
          <w:sz w:val="20"/>
          <w:szCs w:val="20"/>
          <w:lang w:val="es-CO"/>
        </w:rPr>
      </w:pPr>
    </w:p>
    <w:p w14:paraId="2CBA7D24" w14:textId="77777777" w:rsidR="00FB7BC4" w:rsidRDefault="00C51BDF">
      <w:pPr>
        <w:tabs>
          <w:tab w:val="left" w:pos="284"/>
        </w:tabs>
        <w:ind w:left="426" w:right="481"/>
        <w:jc w:val="both"/>
      </w:pPr>
      <w:r>
        <w:rPr>
          <w:rFonts w:ascii="Work Sans" w:hAnsi="Work Sans" w:cs="Arial"/>
          <w:i/>
          <w:sz w:val="18"/>
          <w:szCs w:val="18"/>
          <w:lang w:val="es-CO"/>
        </w:rPr>
        <w:t>Vale la pena poner de presente que en la mencionada resolución no se señalaron tarifas diferenciales para la Estación de Peaje</w:t>
      </w:r>
      <w:r>
        <w:rPr>
          <w:rFonts w:ascii="Work Sans" w:hAnsi="Work Sans" w:cs="Arial"/>
          <w:i/>
          <w:sz w:val="18"/>
          <w:szCs w:val="18"/>
          <w:lang w:val="es-CO"/>
        </w:rPr>
        <w:t xml:space="preserve"> Aburrá, y que, por el contrario, estas fueron establecidas por la </w:t>
      </w:r>
      <w:r>
        <w:rPr>
          <w:rFonts w:ascii="Work Sans" w:hAnsi="Work Sans" w:cs="Arial"/>
          <w:i/>
          <w:sz w:val="18"/>
          <w:szCs w:val="18"/>
          <w:lang w:val="es"/>
        </w:rPr>
        <w:t>Junta Directiva del Proyecto Conexión Vial “Guillermo Gaviria Correa” (Túnel de Occidente), según Acta de la sesión celebrada el 14 de septiembre de 2009, proyecto que en ese entonces estab</w:t>
      </w:r>
      <w:r>
        <w:rPr>
          <w:rFonts w:ascii="Work Sans" w:hAnsi="Work Sans" w:cs="Arial"/>
          <w:i/>
          <w:sz w:val="18"/>
          <w:szCs w:val="18"/>
          <w:lang w:val="es"/>
        </w:rPr>
        <w:t>a a cargo del departamento de Antioquia, así:</w:t>
      </w:r>
    </w:p>
    <w:p w14:paraId="095FA260" w14:textId="77777777" w:rsidR="00FB7BC4" w:rsidRDefault="00FB7BC4">
      <w:pPr>
        <w:tabs>
          <w:tab w:val="left" w:pos="284"/>
        </w:tabs>
        <w:ind w:left="426" w:right="481"/>
        <w:jc w:val="both"/>
        <w:rPr>
          <w:rFonts w:ascii="Work Sans" w:hAnsi="Work Sans" w:cs="Arial"/>
          <w:i/>
          <w:sz w:val="18"/>
          <w:szCs w:val="18"/>
          <w:lang w:val="es"/>
        </w:rPr>
      </w:pPr>
    </w:p>
    <w:p w14:paraId="34E4FD9D" w14:textId="77777777" w:rsidR="00FB7BC4" w:rsidRDefault="00C51BDF">
      <w:pPr>
        <w:pStyle w:val="Prrafodelista"/>
        <w:tabs>
          <w:tab w:val="left" w:pos="284"/>
        </w:tabs>
        <w:ind w:left="426" w:right="481"/>
        <w:jc w:val="both"/>
        <w:rPr>
          <w:rFonts w:ascii="Work Sans" w:hAnsi="Work Sans" w:cs="Arial"/>
          <w:i/>
          <w:sz w:val="18"/>
          <w:szCs w:val="18"/>
          <w:lang w:val="es"/>
        </w:rPr>
      </w:pPr>
      <w:r>
        <w:rPr>
          <w:rFonts w:ascii="Work Sans" w:hAnsi="Work Sans" w:cs="Arial"/>
          <w:i/>
          <w:sz w:val="18"/>
          <w:szCs w:val="18"/>
          <w:lang w:val="es"/>
        </w:rPr>
        <w:t>“Cobro de tarifa diferencial de peaje para Corregimiento de Palmitas.</w:t>
      </w:r>
    </w:p>
    <w:p w14:paraId="4FE2477A" w14:textId="77777777" w:rsidR="00FB7BC4" w:rsidRDefault="00FB7BC4">
      <w:pPr>
        <w:pStyle w:val="Prrafodelista"/>
        <w:tabs>
          <w:tab w:val="left" w:pos="284"/>
        </w:tabs>
        <w:ind w:left="851" w:right="906"/>
        <w:jc w:val="both"/>
        <w:rPr>
          <w:rFonts w:ascii="Work Sans" w:hAnsi="Work Sans" w:cs="Arial"/>
          <w:i/>
          <w:sz w:val="18"/>
          <w:szCs w:val="18"/>
          <w:lang w:val="es"/>
        </w:rPr>
      </w:pPr>
    </w:p>
    <w:p w14:paraId="36DCEC30" w14:textId="77777777" w:rsidR="00FB7BC4" w:rsidRDefault="00C51BDF">
      <w:pPr>
        <w:pStyle w:val="Prrafodelista"/>
        <w:tabs>
          <w:tab w:val="left" w:pos="284"/>
        </w:tabs>
        <w:ind w:left="851" w:right="906"/>
        <w:jc w:val="both"/>
      </w:pPr>
      <w:r>
        <w:rPr>
          <w:rFonts w:ascii="Work Sans" w:hAnsi="Work Sans" w:cs="Arial"/>
          <w:i/>
          <w:sz w:val="18"/>
          <w:szCs w:val="18"/>
          <w:lang w:val="es"/>
        </w:rPr>
        <w:t xml:space="preserve"> El gerente informa que con el Municipio se revisaron las diferentes alternativas estudiadas para el cobro, por lo tanto, se </w:t>
      </w:r>
      <w:r>
        <w:rPr>
          <w:rFonts w:ascii="Work Sans" w:hAnsi="Work Sans" w:cs="Arial"/>
          <w:i/>
          <w:sz w:val="18"/>
          <w:szCs w:val="18"/>
          <w:lang w:val="es"/>
        </w:rPr>
        <w:t xml:space="preserve">propone cobrar en relación con los costos de operación y mantenimiento del Túnel y la vía por los kilómetros de uso, una tarifa equivalente a la mitad del valor de peaje; </w:t>
      </w:r>
      <w:r>
        <w:rPr>
          <w:rFonts w:ascii="Work Sans" w:hAnsi="Work Sans" w:cs="Arial"/>
          <w:b/>
          <w:i/>
          <w:sz w:val="18"/>
          <w:szCs w:val="18"/>
          <w:u w:val="single"/>
          <w:lang w:val="es"/>
        </w:rPr>
        <w:t>propuesta que es aprobada por los miembros de Junta para los vehículos que acreditaro</w:t>
      </w:r>
      <w:r>
        <w:rPr>
          <w:rFonts w:ascii="Work Sans" w:hAnsi="Work Sans" w:cs="Arial"/>
          <w:b/>
          <w:i/>
          <w:sz w:val="18"/>
          <w:szCs w:val="18"/>
          <w:u w:val="single"/>
          <w:lang w:val="es"/>
        </w:rPr>
        <w:t>n requisitos</w:t>
      </w:r>
      <w:r>
        <w:rPr>
          <w:rFonts w:ascii="Work Sans" w:hAnsi="Work Sans" w:cs="Arial"/>
          <w:i/>
          <w:sz w:val="18"/>
          <w:szCs w:val="18"/>
          <w:lang w:val="es"/>
        </w:rPr>
        <w:t>”.</w:t>
      </w:r>
    </w:p>
    <w:p w14:paraId="545DB13F" w14:textId="77777777" w:rsidR="00FB7BC4" w:rsidRDefault="00FB7BC4">
      <w:pPr>
        <w:tabs>
          <w:tab w:val="left" w:pos="284"/>
        </w:tabs>
        <w:ind w:left="851" w:right="906"/>
        <w:jc w:val="both"/>
        <w:rPr>
          <w:rFonts w:ascii="Work Sans" w:hAnsi="Work Sans" w:cs="Arial"/>
          <w:i/>
          <w:sz w:val="18"/>
          <w:szCs w:val="18"/>
          <w:lang w:val="es"/>
        </w:rPr>
      </w:pPr>
    </w:p>
    <w:p w14:paraId="2965A67D" w14:textId="77777777" w:rsidR="00FB7BC4" w:rsidRDefault="00C51BDF">
      <w:pPr>
        <w:shd w:val="clear" w:color="auto" w:fill="FFFFFF"/>
        <w:tabs>
          <w:tab w:val="left" w:pos="284"/>
        </w:tabs>
        <w:ind w:left="426" w:right="481"/>
        <w:jc w:val="both"/>
        <w:rPr>
          <w:rFonts w:ascii="Work Sans" w:hAnsi="Work Sans" w:cs="Arial"/>
          <w:i/>
          <w:color w:val="000000"/>
          <w:sz w:val="18"/>
          <w:szCs w:val="18"/>
          <w:lang w:eastAsia="es-CO"/>
        </w:rPr>
      </w:pPr>
      <w:r>
        <w:rPr>
          <w:rFonts w:ascii="Work Sans" w:hAnsi="Work Sans" w:cs="Arial"/>
          <w:i/>
          <w:color w:val="000000"/>
          <w:sz w:val="18"/>
          <w:szCs w:val="18"/>
          <w:lang w:eastAsia="es-CO"/>
        </w:rPr>
        <w:t>De acuerdo con lo dispuesto en el Contrato, y teniendo en cuenta que la Estación de Peaje Aburrá se encontraba dentro de la Infraestructura que comprendía el Convenio 0583 de 1996, la misma fue entregada el 1 de julio de 2016 al Concesionar</w:t>
      </w:r>
      <w:r>
        <w:rPr>
          <w:rFonts w:ascii="Work Sans" w:hAnsi="Work Sans" w:cs="Arial"/>
          <w:i/>
          <w:color w:val="000000"/>
          <w:sz w:val="18"/>
          <w:szCs w:val="18"/>
          <w:lang w:eastAsia="es-CO"/>
        </w:rPr>
        <w:t>io Desarrollo Vial al Mar S.A.S.</w:t>
      </w:r>
    </w:p>
    <w:p w14:paraId="3BB0D2C4" w14:textId="77777777" w:rsidR="00FB7BC4" w:rsidRDefault="00FB7BC4">
      <w:pPr>
        <w:tabs>
          <w:tab w:val="left" w:pos="284"/>
        </w:tabs>
        <w:ind w:left="426" w:right="481"/>
        <w:jc w:val="both"/>
        <w:rPr>
          <w:rFonts w:ascii="Work Sans" w:hAnsi="Work Sans" w:cs="Arial"/>
          <w:i/>
          <w:sz w:val="18"/>
          <w:szCs w:val="18"/>
          <w:lang w:val="es"/>
        </w:rPr>
      </w:pPr>
    </w:p>
    <w:p w14:paraId="09927C61" w14:textId="77777777" w:rsidR="00FB7BC4" w:rsidRDefault="00C51BDF">
      <w:pPr>
        <w:tabs>
          <w:tab w:val="left" w:pos="284"/>
        </w:tabs>
        <w:autoSpaceDE w:val="0"/>
        <w:ind w:left="426" w:right="481"/>
        <w:jc w:val="both"/>
        <w:rPr>
          <w:rFonts w:ascii="Work Sans" w:hAnsi="Work Sans" w:cs="Arial"/>
          <w:i/>
          <w:sz w:val="18"/>
          <w:szCs w:val="18"/>
          <w:lang w:val="es-CO"/>
        </w:rPr>
      </w:pPr>
      <w:r>
        <w:rPr>
          <w:rFonts w:ascii="Work Sans" w:hAnsi="Work Sans" w:cs="Arial"/>
          <w:i/>
          <w:sz w:val="18"/>
          <w:szCs w:val="18"/>
          <w:lang w:val="es-CO"/>
        </w:rPr>
        <w:t xml:space="preserve">En ese sentido, al momento de la entrega de la Estación de Peaje Aburrá al Concesionario Desarrollo Vial al Mar S.A.S., Concesionario del Contrato No. 014 de 2015, las tarifas cobradas por parte del proyecto </w:t>
      </w:r>
      <w:r>
        <w:rPr>
          <w:rFonts w:ascii="Work Sans" w:hAnsi="Work Sans" w:cs="Arial"/>
          <w:i/>
          <w:sz w:val="18"/>
          <w:szCs w:val="18"/>
          <w:lang w:val="es-CO"/>
        </w:rPr>
        <w:t>denominado “Túnel de Occidente” eran las establecidas en la Resolución 228 de 2013 actualizadas, y aquellas diferenciales adoptadas por la Junta Directiva del Proyecto Conexión Vial “Guillermo Gaviria Correa” mediante Acta del 14 de septiembre de 2009, est</w:t>
      </w:r>
      <w:r>
        <w:rPr>
          <w:rFonts w:ascii="Work Sans" w:hAnsi="Work Sans" w:cs="Arial"/>
          <w:i/>
          <w:sz w:val="18"/>
          <w:szCs w:val="18"/>
          <w:lang w:val="es-CO"/>
        </w:rPr>
        <w:t>as últimas vigentes a la fecha.</w:t>
      </w:r>
    </w:p>
    <w:p w14:paraId="53BA3A2D" w14:textId="77777777" w:rsidR="00FB7BC4" w:rsidRDefault="00FB7BC4">
      <w:pPr>
        <w:tabs>
          <w:tab w:val="left" w:pos="284"/>
        </w:tabs>
        <w:autoSpaceDE w:val="0"/>
        <w:ind w:left="426" w:right="481"/>
        <w:jc w:val="both"/>
        <w:rPr>
          <w:rFonts w:ascii="Work Sans" w:hAnsi="Work Sans" w:cs="Arial"/>
          <w:i/>
          <w:sz w:val="18"/>
          <w:szCs w:val="18"/>
          <w:lang w:val="es-CO"/>
        </w:rPr>
      </w:pPr>
    </w:p>
    <w:p w14:paraId="2A56BF3E" w14:textId="77777777" w:rsidR="00FB7BC4" w:rsidRDefault="00C51BDF">
      <w:pPr>
        <w:tabs>
          <w:tab w:val="left" w:pos="284"/>
        </w:tabs>
        <w:autoSpaceDE w:val="0"/>
        <w:ind w:left="426" w:right="481"/>
        <w:jc w:val="both"/>
        <w:rPr>
          <w:rFonts w:ascii="Work Sans" w:hAnsi="Work Sans" w:cs="Arial"/>
          <w:i/>
          <w:sz w:val="18"/>
          <w:szCs w:val="18"/>
          <w:lang w:val="es-CO"/>
        </w:rPr>
      </w:pPr>
      <w:r>
        <w:rPr>
          <w:rFonts w:ascii="Work Sans" w:hAnsi="Work Sans" w:cs="Arial"/>
          <w:i/>
          <w:sz w:val="18"/>
          <w:szCs w:val="18"/>
          <w:lang w:val="es-CO"/>
        </w:rPr>
        <w:t>De otra parte, en el artículo segundo de la Resolución No. 1546 del 27 de mayo de 2015, expedida por el Ministerio de Transporte, se establecieron, en su artículo segundo, las tarifas a cobrar en la Estación de Peaje Aburrá</w:t>
      </w:r>
      <w:r>
        <w:rPr>
          <w:rFonts w:ascii="Work Sans" w:hAnsi="Work Sans" w:cs="Arial"/>
          <w:i/>
          <w:sz w:val="18"/>
          <w:szCs w:val="18"/>
          <w:lang w:val="es-CO"/>
        </w:rPr>
        <w:t xml:space="preserve">, dentro del Proyecto Autopista al Mar 1, la cual incluye los puntos de recaudo San Cristóbal ubicado en el PR 44+800 y </w:t>
      </w:r>
      <w:r>
        <w:rPr>
          <w:rFonts w:ascii="Work Sans" w:hAnsi="Work Sans" w:cs="Arial"/>
          <w:i/>
          <w:sz w:val="18"/>
          <w:szCs w:val="18"/>
          <w:lang w:val="es-CO"/>
        </w:rPr>
        <w:lastRenderedPageBreak/>
        <w:t>Palmitas ubicado en el PR 39+600.</w:t>
      </w:r>
    </w:p>
    <w:p w14:paraId="5CF380C4" w14:textId="77777777" w:rsidR="00FB7BC4" w:rsidRDefault="00FB7BC4">
      <w:pPr>
        <w:tabs>
          <w:tab w:val="left" w:pos="284"/>
        </w:tabs>
        <w:autoSpaceDE w:val="0"/>
        <w:ind w:left="426" w:right="481"/>
        <w:rPr>
          <w:rFonts w:ascii="Work Sans" w:eastAsia="Segoe UI" w:hAnsi="Work Sans" w:cs="Arial"/>
          <w:i/>
          <w:color w:val="000000"/>
          <w:sz w:val="18"/>
          <w:szCs w:val="18"/>
        </w:rPr>
      </w:pPr>
    </w:p>
    <w:p w14:paraId="049FD7D7" w14:textId="77777777" w:rsidR="00FB7BC4" w:rsidRDefault="00C51BDF">
      <w:pPr>
        <w:tabs>
          <w:tab w:val="left" w:pos="284"/>
        </w:tabs>
        <w:ind w:left="426" w:right="481"/>
        <w:jc w:val="both"/>
      </w:pPr>
      <w:r>
        <w:rPr>
          <w:rFonts w:ascii="Work Sans" w:hAnsi="Work Sans" w:cs="Arial"/>
          <w:i/>
          <w:sz w:val="18"/>
          <w:szCs w:val="18"/>
        </w:rPr>
        <w:t>Posteriormente, mediante Resolución 3025 del 27 de agosto de 2015, se corrigió un yerro en el artícul</w:t>
      </w:r>
      <w:r>
        <w:rPr>
          <w:rFonts w:ascii="Work Sans" w:hAnsi="Work Sans" w:cs="Arial"/>
          <w:i/>
          <w:sz w:val="18"/>
          <w:szCs w:val="18"/>
        </w:rPr>
        <w:t xml:space="preserve">o segundo de la Resolución 1546 del 27 de mayo de 2015, </w:t>
      </w:r>
      <w:r>
        <w:rPr>
          <w:rFonts w:ascii="Work Sans" w:eastAsia="Segoe UI" w:hAnsi="Work Sans" w:cs="Arial"/>
          <w:i/>
          <w:color w:val="000000"/>
          <w:sz w:val="18"/>
          <w:szCs w:val="18"/>
        </w:rPr>
        <w:t xml:space="preserve">consistente en modificar las categorías establecidas, </w:t>
      </w:r>
      <w:r>
        <w:rPr>
          <w:rFonts w:ascii="Work Sans" w:hAnsi="Work Sans" w:cs="Arial"/>
          <w:i/>
          <w:sz w:val="18"/>
          <w:szCs w:val="18"/>
        </w:rPr>
        <w:t>así:</w:t>
      </w:r>
    </w:p>
    <w:p w14:paraId="03281785" w14:textId="77777777" w:rsidR="00FB7BC4" w:rsidRDefault="00FB7BC4">
      <w:pPr>
        <w:tabs>
          <w:tab w:val="left" w:pos="284"/>
        </w:tabs>
        <w:ind w:left="426" w:right="481"/>
        <w:jc w:val="both"/>
        <w:rPr>
          <w:rFonts w:ascii="Work Sans" w:hAnsi="Work Sans" w:cs="Arial"/>
          <w:i/>
          <w:iCs/>
          <w:sz w:val="18"/>
          <w:szCs w:val="18"/>
        </w:rPr>
      </w:pPr>
    </w:p>
    <w:p w14:paraId="341AF693" w14:textId="77777777" w:rsidR="00FB7BC4" w:rsidRDefault="00C51BDF">
      <w:pPr>
        <w:tabs>
          <w:tab w:val="left" w:pos="284"/>
          <w:tab w:val="left" w:pos="709"/>
        </w:tabs>
        <w:ind w:left="709" w:right="764"/>
        <w:jc w:val="both"/>
      </w:pPr>
      <w:r>
        <w:rPr>
          <w:rFonts w:ascii="Work Sans" w:hAnsi="Work Sans" w:cs="Arial"/>
          <w:i/>
          <w:sz w:val="18"/>
          <w:szCs w:val="18"/>
        </w:rPr>
        <w:t>“</w:t>
      </w:r>
      <w:r>
        <w:rPr>
          <w:rFonts w:ascii="Work Sans" w:hAnsi="Work Sans" w:cs="Arial"/>
          <w:b/>
          <w:bCs/>
          <w:i/>
          <w:sz w:val="18"/>
          <w:szCs w:val="18"/>
        </w:rPr>
        <w:t>ARTÍCULO PRIMERO:</w:t>
      </w:r>
      <w:r>
        <w:rPr>
          <w:rFonts w:ascii="Work Sans" w:hAnsi="Work Sans" w:cs="Arial"/>
          <w:i/>
          <w:sz w:val="18"/>
          <w:szCs w:val="18"/>
        </w:rPr>
        <w:t xml:space="preserve"> corríjase el artículo 2° de la Resolución 1546 de 2015, el cual quedará así:</w:t>
      </w:r>
    </w:p>
    <w:p w14:paraId="09723428" w14:textId="77777777" w:rsidR="00FB7BC4" w:rsidRDefault="00FB7BC4">
      <w:pPr>
        <w:tabs>
          <w:tab w:val="left" w:pos="284"/>
        </w:tabs>
        <w:ind w:left="709" w:right="764"/>
        <w:jc w:val="both"/>
        <w:rPr>
          <w:rFonts w:ascii="Work Sans" w:hAnsi="Work Sans" w:cs="Arial"/>
          <w:i/>
          <w:sz w:val="18"/>
          <w:szCs w:val="18"/>
        </w:rPr>
      </w:pPr>
    </w:p>
    <w:p w14:paraId="7D47A956" w14:textId="77777777" w:rsidR="00FB7BC4" w:rsidRDefault="00C51BDF">
      <w:pPr>
        <w:tabs>
          <w:tab w:val="left" w:pos="284"/>
        </w:tabs>
        <w:ind w:left="709" w:right="764"/>
        <w:jc w:val="both"/>
      </w:pPr>
      <w:r>
        <w:rPr>
          <w:rFonts w:ascii="Work Sans" w:hAnsi="Work Sans" w:cs="Arial"/>
          <w:b/>
          <w:bCs/>
          <w:i/>
          <w:sz w:val="18"/>
          <w:szCs w:val="18"/>
        </w:rPr>
        <w:t xml:space="preserve">ARTÍCULO SEGUNDO: </w:t>
      </w:r>
      <w:r>
        <w:rPr>
          <w:rFonts w:ascii="Work Sans" w:hAnsi="Work Sans" w:cs="Arial"/>
          <w:i/>
          <w:sz w:val="18"/>
          <w:szCs w:val="18"/>
        </w:rPr>
        <w:t xml:space="preserve">Establecer las </w:t>
      </w:r>
      <w:r>
        <w:rPr>
          <w:rFonts w:ascii="Work Sans" w:hAnsi="Work Sans" w:cs="Arial"/>
          <w:i/>
          <w:sz w:val="18"/>
          <w:szCs w:val="18"/>
        </w:rPr>
        <w:t>siguientes categorías y tarifas de peaje que podrá cobrar el Concesionario en la estación de Peaje Aburrá con sus dos puntos de recaudo San Cristobal ubicado en el PR 44 + 800 y Palmitas ubicado en el PR 39 + 600:</w:t>
      </w:r>
    </w:p>
    <w:p w14:paraId="41383B08" w14:textId="77777777" w:rsidR="00FB7BC4" w:rsidRDefault="00FB7BC4">
      <w:pPr>
        <w:tabs>
          <w:tab w:val="left" w:pos="0"/>
        </w:tabs>
        <w:ind w:left="709" w:right="764"/>
        <w:jc w:val="both"/>
        <w:rPr>
          <w:rFonts w:ascii="Arial Narrow" w:hAnsi="Arial Narrow" w:cs="Arial"/>
          <w:i/>
        </w:rPr>
      </w:pPr>
    </w:p>
    <w:tbl>
      <w:tblPr>
        <w:tblW w:w="6227" w:type="dxa"/>
        <w:jc w:val="center"/>
        <w:tblCellMar>
          <w:left w:w="10" w:type="dxa"/>
          <w:right w:w="10" w:type="dxa"/>
        </w:tblCellMar>
        <w:tblLook w:val="0000" w:firstRow="0" w:lastRow="0" w:firstColumn="0" w:lastColumn="0" w:noHBand="0" w:noVBand="0"/>
      </w:tblPr>
      <w:tblGrid>
        <w:gridCol w:w="1481"/>
        <w:gridCol w:w="2975"/>
        <w:gridCol w:w="1771"/>
      </w:tblGrid>
      <w:tr w:rsidR="00FB7BC4" w14:paraId="5936BAB7" w14:textId="77777777">
        <w:tblPrEx>
          <w:tblCellMar>
            <w:top w:w="0" w:type="dxa"/>
            <w:bottom w:w="0" w:type="dxa"/>
          </w:tblCellMar>
        </w:tblPrEx>
        <w:trPr>
          <w:tblHeade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D863D" w14:textId="77777777" w:rsidR="00FB7BC4" w:rsidRDefault="00C51BDF">
            <w:pPr>
              <w:ind w:right="333"/>
              <w:jc w:val="both"/>
              <w:textAlignment w:val="auto"/>
              <w:rPr>
                <w:rFonts w:ascii="Arial Narrow" w:eastAsia="Segoe UI" w:hAnsi="Arial Narrow" w:cs="Arial"/>
                <w:i/>
                <w:color w:val="000000"/>
                <w:sz w:val="16"/>
                <w:szCs w:val="16"/>
              </w:rPr>
            </w:pPr>
            <w:bookmarkStart w:id="1" w:name="_Hlk49413817"/>
            <w:r>
              <w:rPr>
                <w:rFonts w:ascii="Arial Narrow" w:eastAsia="Segoe UI" w:hAnsi="Arial Narrow" w:cs="Arial"/>
                <w:i/>
                <w:color w:val="000000"/>
                <w:sz w:val="16"/>
                <w:szCs w:val="16"/>
              </w:rPr>
              <w:t xml:space="preserve">CATEGORIA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8DF4"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CATEGORIAS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9A188"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TARIFAS (Precios 20</w:t>
            </w:r>
            <w:r>
              <w:rPr>
                <w:rFonts w:ascii="Arial Narrow" w:eastAsia="Segoe UI" w:hAnsi="Arial Narrow" w:cs="Arial"/>
                <w:i/>
                <w:color w:val="000000"/>
                <w:sz w:val="16"/>
                <w:szCs w:val="16"/>
              </w:rPr>
              <w:t>12) No incluye FOSEVI</w:t>
            </w:r>
          </w:p>
        </w:tc>
      </w:tr>
      <w:tr w:rsidR="00FB7BC4" w14:paraId="643DD64E" w14:textId="77777777">
        <w:tblPrEx>
          <w:tblCellMar>
            <w:top w:w="0" w:type="dxa"/>
            <w:bottom w:w="0" w:type="dxa"/>
          </w:tblCellMar>
        </w:tblPrEx>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F64B"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Categoría I</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5FBB"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Automóviles, camperos y camionetas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6386" w14:textId="77777777" w:rsidR="00FB7BC4" w:rsidRDefault="00C51BDF">
            <w:pPr>
              <w:ind w:right="333"/>
              <w:jc w:val="center"/>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16.500</w:t>
            </w:r>
          </w:p>
        </w:tc>
      </w:tr>
      <w:tr w:rsidR="00FB7BC4" w14:paraId="07CA6B61" w14:textId="77777777">
        <w:tblPrEx>
          <w:tblCellMar>
            <w:top w:w="0" w:type="dxa"/>
            <w:bottom w:w="0" w:type="dxa"/>
          </w:tblCellMar>
        </w:tblPrEx>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36B3E"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Categoría II</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FB7F"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 xml:space="preserve">Buses, busetas, microbuses con eje trasero de doble llanta </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0609" w14:textId="77777777" w:rsidR="00FB7BC4" w:rsidRDefault="00C51BDF">
            <w:pPr>
              <w:ind w:right="333"/>
              <w:jc w:val="center"/>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20.400</w:t>
            </w:r>
          </w:p>
        </w:tc>
      </w:tr>
      <w:tr w:rsidR="00FB7BC4" w14:paraId="4738DBDA" w14:textId="77777777">
        <w:tblPrEx>
          <w:tblCellMar>
            <w:top w:w="0" w:type="dxa"/>
            <w:bottom w:w="0" w:type="dxa"/>
          </w:tblCellMar>
        </w:tblPrEx>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0F1F"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Categoría III</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22E1"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Camiones pequeños de dos ejes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ED14" w14:textId="77777777" w:rsidR="00FB7BC4" w:rsidRDefault="00C51BDF">
            <w:pPr>
              <w:ind w:right="333"/>
              <w:jc w:val="center"/>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20.400</w:t>
            </w:r>
          </w:p>
        </w:tc>
      </w:tr>
      <w:tr w:rsidR="00FB7BC4" w14:paraId="5780F726" w14:textId="77777777">
        <w:tblPrEx>
          <w:tblCellMar>
            <w:top w:w="0" w:type="dxa"/>
            <w:bottom w:w="0" w:type="dxa"/>
          </w:tblCellMar>
        </w:tblPrEx>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0DE3"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Categoría IV</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CB98D"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Camiones grandes de dos ejes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01E8" w14:textId="77777777" w:rsidR="00FB7BC4" w:rsidRDefault="00C51BDF">
            <w:pPr>
              <w:ind w:right="333"/>
              <w:jc w:val="center"/>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20.400</w:t>
            </w:r>
          </w:p>
        </w:tc>
      </w:tr>
      <w:tr w:rsidR="00FB7BC4" w14:paraId="71BE3572" w14:textId="77777777">
        <w:tblPrEx>
          <w:tblCellMar>
            <w:top w:w="0" w:type="dxa"/>
            <w:bottom w:w="0" w:type="dxa"/>
          </w:tblCellMar>
        </w:tblPrEx>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4CCB"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Categoría V</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AF02"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Camiones de tres y cuatro ejes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2C076" w14:textId="77777777" w:rsidR="00FB7BC4" w:rsidRDefault="00C51BDF">
            <w:pPr>
              <w:ind w:right="333"/>
              <w:jc w:val="center"/>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49.100</w:t>
            </w:r>
          </w:p>
        </w:tc>
      </w:tr>
      <w:tr w:rsidR="00FB7BC4" w14:paraId="3BDCB187" w14:textId="77777777">
        <w:tblPrEx>
          <w:tblCellMar>
            <w:top w:w="0" w:type="dxa"/>
            <w:bottom w:w="0" w:type="dxa"/>
          </w:tblCellMar>
        </w:tblPrEx>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5AAA"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Categoría VI</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F62A"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Camiones de cinco ejes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6AE5" w14:textId="77777777" w:rsidR="00FB7BC4" w:rsidRDefault="00C51BDF">
            <w:pPr>
              <w:ind w:right="333"/>
              <w:jc w:val="center"/>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61.600</w:t>
            </w:r>
          </w:p>
        </w:tc>
      </w:tr>
      <w:tr w:rsidR="00FB7BC4" w14:paraId="3BCE445F" w14:textId="77777777">
        <w:tblPrEx>
          <w:tblCellMar>
            <w:top w:w="0" w:type="dxa"/>
            <w:bottom w:w="0" w:type="dxa"/>
          </w:tblCellMar>
        </w:tblPrEx>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55D2"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Categoría VII</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02198" w14:textId="77777777" w:rsidR="00FB7BC4" w:rsidRDefault="00C51BDF">
            <w:pPr>
              <w:ind w:right="333"/>
              <w:jc w:val="both"/>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Camiones de seis ejes o más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A8ED" w14:textId="77777777" w:rsidR="00FB7BC4" w:rsidRDefault="00C51BDF">
            <w:pPr>
              <w:ind w:right="333"/>
              <w:jc w:val="center"/>
              <w:textAlignment w:val="auto"/>
              <w:rPr>
                <w:rFonts w:ascii="Arial Narrow" w:eastAsia="Segoe UI" w:hAnsi="Arial Narrow" w:cs="Arial"/>
                <w:i/>
                <w:color w:val="000000"/>
                <w:sz w:val="16"/>
                <w:szCs w:val="16"/>
              </w:rPr>
            </w:pPr>
            <w:r>
              <w:rPr>
                <w:rFonts w:ascii="Arial Narrow" w:eastAsia="Segoe UI" w:hAnsi="Arial Narrow" w:cs="Arial"/>
                <w:i/>
                <w:color w:val="000000"/>
                <w:sz w:val="16"/>
                <w:szCs w:val="16"/>
              </w:rPr>
              <w:t>71.300</w:t>
            </w:r>
          </w:p>
        </w:tc>
      </w:tr>
      <w:bookmarkEnd w:id="1"/>
    </w:tbl>
    <w:p w14:paraId="7321B3CB" w14:textId="77777777" w:rsidR="00FB7BC4" w:rsidRDefault="00FB7BC4">
      <w:pPr>
        <w:ind w:right="333"/>
        <w:jc w:val="both"/>
        <w:rPr>
          <w:rFonts w:ascii="Arial" w:eastAsia="Segoe UI" w:hAnsi="Arial" w:cs="Arial"/>
          <w:i/>
          <w:color w:val="000000"/>
          <w:sz w:val="20"/>
          <w:szCs w:val="20"/>
        </w:rPr>
      </w:pPr>
    </w:p>
    <w:p w14:paraId="6EFB774B" w14:textId="77777777" w:rsidR="00FB7BC4" w:rsidRDefault="00C51BDF">
      <w:pPr>
        <w:ind w:left="426" w:right="481"/>
        <w:jc w:val="both"/>
      </w:pPr>
      <w:r>
        <w:rPr>
          <w:rFonts w:ascii="Work Sans" w:hAnsi="Work Sans" w:cs="Arial"/>
          <w:iCs/>
          <w:sz w:val="18"/>
          <w:szCs w:val="18"/>
          <w:lang w:val="es-CO"/>
        </w:rPr>
        <w:t xml:space="preserve">Sobre el particular, </w:t>
      </w:r>
      <w:r>
        <w:rPr>
          <w:rFonts w:ascii="Work Sans" w:hAnsi="Work Sans" w:cs="Arial"/>
          <w:iCs/>
          <w:sz w:val="18"/>
          <w:szCs w:val="18"/>
        </w:rPr>
        <w:t xml:space="preserve">el Contrato de Concesión No. 014 de 2015, Parte Especial, Capítulo IV </w:t>
      </w:r>
      <w:r>
        <w:rPr>
          <w:rFonts w:ascii="Work Sans" w:hAnsi="Work Sans" w:cs="Arial"/>
          <w:iCs/>
          <w:sz w:val="18"/>
          <w:szCs w:val="18"/>
        </w:rPr>
        <w:t>“Aspectos Económicos del Contrato”, Sección 4.2 “Estructura Tarifaria”, indica:</w:t>
      </w:r>
    </w:p>
    <w:p w14:paraId="401C5E86" w14:textId="77777777" w:rsidR="00FB7BC4" w:rsidRDefault="00FB7BC4">
      <w:pPr>
        <w:ind w:left="426" w:right="481"/>
        <w:jc w:val="both"/>
        <w:rPr>
          <w:rFonts w:ascii="Work Sans" w:hAnsi="Work Sans" w:cs="Arial"/>
          <w:sz w:val="18"/>
          <w:szCs w:val="18"/>
        </w:rPr>
      </w:pPr>
    </w:p>
    <w:p w14:paraId="1B631246" w14:textId="77777777" w:rsidR="00FB7BC4" w:rsidRDefault="00C51BDF">
      <w:pPr>
        <w:tabs>
          <w:tab w:val="left" w:pos="0"/>
        </w:tabs>
        <w:ind w:left="426" w:right="481"/>
        <w:jc w:val="both"/>
        <w:rPr>
          <w:rFonts w:ascii="Work Sans" w:hAnsi="Work Sans" w:cs="Arial"/>
          <w:i/>
          <w:iCs/>
          <w:sz w:val="18"/>
          <w:szCs w:val="18"/>
        </w:rPr>
      </w:pPr>
      <w:r>
        <w:rPr>
          <w:rFonts w:ascii="Work Sans" w:hAnsi="Work Sans" w:cs="Arial"/>
          <w:i/>
          <w:iCs/>
          <w:sz w:val="18"/>
          <w:szCs w:val="18"/>
        </w:rPr>
        <w:t xml:space="preserve">“4.2 Estructura Tarifaria </w:t>
      </w:r>
    </w:p>
    <w:p w14:paraId="42C0C7DE" w14:textId="77777777" w:rsidR="00FB7BC4" w:rsidRDefault="00FB7BC4">
      <w:pPr>
        <w:tabs>
          <w:tab w:val="left" w:pos="0"/>
        </w:tabs>
        <w:ind w:left="426" w:right="481"/>
        <w:jc w:val="both"/>
        <w:rPr>
          <w:rFonts w:ascii="Work Sans" w:hAnsi="Work Sans" w:cs="Arial"/>
          <w:i/>
          <w:iCs/>
          <w:sz w:val="18"/>
          <w:szCs w:val="18"/>
        </w:rPr>
      </w:pPr>
    </w:p>
    <w:p w14:paraId="78C07194" w14:textId="77777777" w:rsidR="00FB7BC4" w:rsidRDefault="00C51BDF">
      <w:pPr>
        <w:pStyle w:val="Prrafodelista"/>
        <w:numPr>
          <w:ilvl w:val="0"/>
          <w:numId w:val="23"/>
        </w:numPr>
        <w:tabs>
          <w:tab w:val="left" w:pos="0"/>
        </w:tabs>
        <w:ind w:left="426" w:right="481"/>
        <w:jc w:val="both"/>
        <w:textAlignment w:val="auto"/>
        <w:rPr>
          <w:rFonts w:ascii="Work Sans" w:hAnsi="Work Sans" w:cs="Arial"/>
          <w:i/>
          <w:iCs/>
          <w:sz w:val="18"/>
          <w:szCs w:val="18"/>
        </w:rPr>
      </w:pPr>
      <w:r>
        <w:rPr>
          <w:rFonts w:ascii="Work Sans" w:hAnsi="Work Sans" w:cs="Arial"/>
          <w:i/>
          <w:iCs/>
          <w:sz w:val="18"/>
          <w:szCs w:val="18"/>
        </w:rPr>
        <w:t xml:space="preserve">Para efectos de lo dispuesto en la Sección 1.137 de la Parte General, y de acuerdo con lo establecido por la Resolución No. 1546 del 27 de mayo de </w:t>
      </w:r>
      <w:r>
        <w:rPr>
          <w:rFonts w:ascii="Work Sans" w:hAnsi="Work Sans" w:cs="Arial"/>
          <w:i/>
          <w:iCs/>
          <w:sz w:val="18"/>
          <w:szCs w:val="18"/>
        </w:rPr>
        <w:t xml:space="preserve">2015, la Estructura Tarifaria que regirá el Proyecto estará compuesta por las siguientes tarifas: </w:t>
      </w:r>
    </w:p>
    <w:p w14:paraId="09D2241E" w14:textId="77777777" w:rsidR="00FB7BC4" w:rsidRDefault="00FB7BC4">
      <w:pPr>
        <w:pStyle w:val="Prrafodelista"/>
        <w:tabs>
          <w:tab w:val="left" w:pos="0"/>
        </w:tabs>
        <w:ind w:left="1068" w:right="333"/>
        <w:jc w:val="both"/>
        <w:rPr>
          <w:rFonts w:ascii="Arial" w:hAnsi="Arial" w:cs="Arial"/>
          <w:i/>
          <w:iCs/>
          <w:sz w:val="20"/>
        </w:rPr>
      </w:pPr>
    </w:p>
    <w:p w14:paraId="5DC0555C" w14:textId="77777777" w:rsidR="00FB7BC4" w:rsidRDefault="00C51BDF">
      <w:pPr>
        <w:pStyle w:val="Prrafodelista"/>
        <w:tabs>
          <w:tab w:val="left" w:pos="0"/>
        </w:tabs>
        <w:ind w:left="1068" w:right="333"/>
        <w:jc w:val="both"/>
      </w:pPr>
      <w:r>
        <w:rPr>
          <w:noProof/>
        </w:rPr>
        <w:drawing>
          <wp:inline distT="0" distB="0" distL="0" distR="0" wp14:anchorId="3CE98352" wp14:editId="655FAA97">
            <wp:extent cx="4047125" cy="648775"/>
            <wp:effectExtent l="0" t="0" r="4175" b="0"/>
            <wp:docPr id="4"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0876" t="26942" r="20774" b="38548"/>
                    <a:stretch>
                      <a:fillRect/>
                    </a:stretch>
                  </pic:blipFill>
                  <pic:spPr>
                    <a:xfrm>
                      <a:off x="0" y="0"/>
                      <a:ext cx="4047125" cy="648775"/>
                    </a:xfrm>
                    <a:prstGeom prst="rect">
                      <a:avLst/>
                    </a:prstGeom>
                    <a:noFill/>
                    <a:ln>
                      <a:noFill/>
                      <a:prstDash/>
                    </a:ln>
                  </pic:spPr>
                </pic:pic>
              </a:graphicData>
            </a:graphic>
          </wp:inline>
        </w:drawing>
      </w:r>
    </w:p>
    <w:p w14:paraId="369788AF" w14:textId="77777777" w:rsidR="00FB7BC4" w:rsidRDefault="00FB7BC4">
      <w:pPr>
        <w:pStyle w:val="Prrafodelista"/>
        <w:tabs>
          <w:tab w:val="left" w:pos="0"/>
        </w:tabs>
        <w:ind w:left="1068" w:right="333"/>
        <w:jc w:val="both"/>
        <w:rPr>
          <w:rFonts w:ascii="Arial" w:hAnsi="Arial" w:cs="Arial"/>
          <w:i/>
          <w:iCs/>
          <w:sz w:val="20"/>
        </w:rPr>
      </w:pPr>
    </w:p>
    <w:p w14:paraId="6E636861" w14:textId="77777777" w:rsidR="00FB7BC4" w:rsidRDefault="00C51BDF">
      <w:pPr>
        <w:pStyle w:val="Prrafodelista"/>
        <w:numPr>
          <w:ilvl w:val="0"/>
          <w:numId w:val="24"/>
        </w:numPr>
        <w:tabs>
          <w:tab w:val="left" w:pos="0"/>
        </w:tabs>
        <w:ind w:left="1788" w:right="481"/>
        <w:jc w:val="both"/>
        <w:textAlignment w:val="auto"/>
        <w:rPr>
          <w:rFonts w:ascii="Work Sans" w:hAnsi="Work Sans" w:cs="Arial"/>
          <w:i/>
          <w:iCs/>
          <w:sz w:val="18"/>
          <w:szCs w:val="18"/>
        </w:rPr>
      </w:pPr>
      <w:r>
        <w:rPr>
          <w:rFonts w:ascii="Work Sans" w:hAnsi="Work Sans" w:cs="Arial"/>
          <w:i/>
          <w:iCs/>
          <w:sz w:val="18"/>
          <w:szCs w:val="18"/>
        </w:rPr>
        <w:t xml:space="preserve">Esta concesión cuenta con una Estación de Peaje que actualmente está en operación que es el peaje de Aburrá (compuesto por los Puntos de Recaudo de </w:t>
      </w:r>
      <w:r>
        <w:rPr>
          <w:rFonts w:ascii="Work Sans" w:hAnsi="Work Sans" w:cs="Arial"/>
          <w:i/>
          <w:iCs/>
          <w:sz w:val="18"/>
          <w:szCs w:val="18"/>
        </w:rPr>
        <w:t xml:space="preserve">San Cristóbal y Palmitas), y que hace parte del Convenio 0583-1996. </w:t>
      </w:r>
    </w:p>
    <w:p w14:paraId="76A84407" w14:textId="77777777" w:rsidR="00FB7BC4" w:rsidRDefault="00C51BDF">
      <w:pPr>
        <w:pStyle w:val="Prrafodelista"/>
        <w:numPr>
          <w:ilvl w:val="0"/>
          <w:numId w:val="24"/>
        </w:numPr>
        <w:tabs>
          <w:tab w:val="left" w:pos="0"/>
        </w:tabs>
        <w:ind w:left="1788" w:right="481"/>
        <w:jc w:val="both"/>
        <w:textAlignment w:val="auto"/>
      </w:pPr>
      <w:r>
        <w:rPr>
          <w:rFonts w:ascii="Work Sans" w:hAnsi="Work Sans" w:cs="Arial"/>
          <w:i/>
          <w:iCs/>
          <w:sz w:val="18"/>
          <w:szCs w:val="18"/>
        </w:rPr>
        <w:t>Una vez sea entregado el recaudo de esta caseta conforme a lo definido en el numeral 3.6 anterior, el concesionario tendrá el derecho al recaudo correspondiente de las tarifas que al mome</w:t>
      </w:r>
      <w:r>
        <w:rPr>
          <w:rFonts w:ascii="Work Sans" w:hAnsi="Work Sans" w:cs="Arial"/>
          <w:i/>
          <w:iCs/>
          <w:sz w:val="18"/>
          <w:szCs w:val="18"/>
        </w:rPr>
        <w:t>nto de la entrega de la Estación de Peaje se estén cobrando al público, descontando el Fondo de Seguridad Vial.(…)”.</w:t>
      </w:r>
    </w:p>
    <w:p w14:paraId="3046A4E0" w14:textId="77777777" w:rsidR="00FB7BC4" w:rsidRDefault="00FB7BC4">
      <w:pPr>
        <w:jc w:val="both"/>
        <w:rPr>
          <w:rFonts w:ascii="Work Sans" w:hAnsi="Work Sans" w:cs="Arial"/>
          <w:bCs/>
          <w:sz w:val="18"/>
          <w:szCs w:val="18"/>
        </w:rPr>
      </w:pPr>
    </w:p>
    <w:p w14:paraId="212FE13F" w14:textId="77777777" w:rsidR="00FB7BC4" w:rsidRDefault="00C51BDF">
      <w:pPr>
        <w:ind w:left="426" w:right="56"/>
        <w:jc w:val="both"/>
      </w:pPr>
      <w:r>
        <w:rPr>
          <w:rFonts w:ascii="Work Sans" w:eastAsia="Segoe UI" w:hAnsi="Work Sans" w:cs="Arial"/>
          <w:color w:val="000000"/>
          <w:sz w:val="18"/>
          <w:szCs w:val="18"/>
        </w:rPr>
        <w:t>En este punto es menester resaltar que las tarifas de la Estación de Peaje Aburrá, establecidas en la Resolución No.1546 del 27 de mayo de</w:t>
      </w:r>
      <w:r>
        <w:rPr>
          <w:rFonts w:ascii="Work Sans" w:eastAsia="Segoe UI" w:hAnsi="Work Sans" w:cs="Arial"/>
          <w:color w:val="000000"/>
          <w:sz w:val="18"/>
          <w:szCs w:val="18"/>
        </w:rPr>
        <w:t xml:space="preserve"> 2015, modificada mediante </w:t>
      </w:r>
      <w:r>
        <w:rPr>
          <w:rFonts w:ascii="Work Sans" w:hAnsi="Work Sans" w:cs="Arial"/>
          <w:sz w:val="18"/>
          <w:szCs w:val="18"/>
        </w:rPr>
        <w:lastRenderedPageBreak/>
        <w:t xml:space="preserve">Resolución 3025 del 27 de agosto de 2015, serán cobradas una vez se cumpla el requisito establecido en el parágrafo segundo del artículo primero de esta Resolución, que indica: </w:t>
      </w:r>
    </w:p>
    <w:p w14:paraId="44E0E662" w14:textId="77777777" w:rsidR="00FB7BC4" w:rsidRDefault="00FB7BC4">
      <w:pPr>
        <w:ind w:left="426" w:right="56"/>
        <w:jc w:val="both"/>
        <w:rPr>
          <w:rFonts w:ascii="Work Sans" w:hAnsi="Work Sans" w:cs="Arial"/>
          <w:iCs/>
          <w:sz w:val="18"/>
          <w:szCs w:val="18"/>
        </w:rPr>
      </w:pPr>
    </w:p>
    <w:p w14:paraId="02F315CC" w14:textId="77777777" w:rsidR="00FB7BC4" w:rsidRDefault="00C51BDF">
      <w:pPr>
        <w:ind w:left="709" w:right="764"/>
        <w:jc w:val="both"/>
      </w:pPr>
      <w:r>
        <w:rPr>
          <w:rFonts w:ascii="Work Sans" w:hAnsi="Work Sans" w:cs="Arial"/>
          <w:b/>
          <w:bCs/>
          <w:i/>
          <w:sz w:val="18"/>
          <w:szCs w:val="18"/>
        </w:rPr>
        <w:t>PARÁGRAFO SEGUNDO:</w:t>
      </w:r>
      <w:r>
        <w:rPr>
          <w:rFonts w:ascii="Work Sans" w:hAnsi="Work Sans" w:cs="Arial"/>
          <w:i/>
          <w:sz w:val="18"/>
          <w:szCs w:val="18"/>
        </w:rPr>
        <w:t xml:space="preserve"> Las tarifas establecidas en el </w:t>
      </w:r>
      <w:r>
        <w:rPr>
          <w:rFonts w:ascii="Work Sans" w:hAnsi="Work Sans" w:cs="Arial"/>
          <w:i/>
          <w:sz w:val="18"/>
          <w:szCs w:val="18"/>
        </w:rPr>
        <w:t>presente artículo serán cobradas a partir de la suscripción del Acta de Terminación de la Unidad Funcional o del Acta de Terminación Parcial de la Unidad Funcional en la que se encuentre ubicada cada punto de recaudo de conformidad con lo establecido en el</w:t>
      </w:r>
      <w:r>
        <w:rPr>
          <w:rFonts w:ascii="Work Sans" w:hAnsi="Work Sans" w:cs="Arial"/>
          <w:i/>
          <w:sz w:val="18"/>
          <w:szCs w:val="18"/>
        </w:rPr>
        <w:t xml:space="preserve"> contrato de concesión que se suscriba del proceso licitatorio No. VJ-VE-IP-LP-022-2013”.</w:t>
      </w:r>
    </w:p>
    <w:p w14:paraId="4297DE91" w14:textId="77777777" w:rsidR="00FB7BC4" w:rsidRDefault="00FB7BC4">
      <w:pPr>
        <w:tabs>
          <w:tab w:val="left" w:pos="0"/>
        </w:tabs>
        <w:ind w:right="764"/>
        <w:jc w:val="both"/>
        <w:rPr>
          <w:rFonts w:ascii="Work Sans" w:hAnsi="Work Sans" w:cs="Arial"/>
          <w:i/>
          <w:sz w:val="18"/>
          <w:szCs w:val="18"/>
          <w:lang w:val="es"/>
        </w:rPr>
      </w:pPr>
    </w:p>
    <w:p w14:paraId="57424801" w14:textId="77777777" w:rsidR="00FB7BC4" w:rsidRDefault="00C51BDF">
      <w:pPr>
        <w:tabs>
          <w:tab w:val="left" w:pos="426"/>
        </w:tabs>
        <w:ind w:left="426" w:right="481"/>
        <w:jc w:val="both"/>
      </w:pPr>
      <w:r>
        <w:rPr>
          <w:rFonts w:ascii="Work Sans" w:hAnsi="Work Sans" w:cs="Arial"/>
          <w:i/>
          <w:iCs/>
          <w:sz w:val="18"/>
          <w:szCs w:val="18"/>
          <w:lang w:val="es"/>
        </w:rPr>
        <w:t xml:space="preserve">Con fundamento en lo expuesto y considerando que la Unidad Funcional dentro de la cual se encuentra el Peaje Aburrá es la última Unidad Funcional que se </w:t>
      </w:r>
      <w:r>
        <w:rPr>
          <w:rFonts w:ascii="Work Sans" w:hAnsi="Work Sans" w:cs="Arial"/>
          <w:i/>
          <w:iCs/>
          <w:sz w:val="18"/>
          <w:szCs w:val="18"/>
          <w:lang w:val="es"/>
        </w:rPr>
        <w:t xml:space="preserve">finaliza, las tarifas establecidas </w:t>
      </w:r>
      <w:r>
        <w:rPr>
          <w:rFonts w:ascii="Work Sans" w:eastAsia="Segoe UI" w:hAnsi="Work Sans" w:cs="Arial"/>
          <w:i/>
          <w:iCs/>
          <w:color w:val="000000"/>
          <w:sz w:val="18"/>
          <w:szCs w:val="18"/>
        </w:rPr>
        <w:t xml:space="preserve">en la Resolución No.1546 del 27 de mayo de 2015, modificada mediante </w:t>
      </w:r>
      <w:r>
        <w:rPr>
          <w:rFonts w:ascii="Work Sans" w:hAnsi="Work Sans" w:cs="Arial"/>
          <w:i/>
          <w:iCs/>
          <w:sz w:val="18"/>
          <w:szCs w:val="18"/>
        </w:rPr>
        <w:t xml:space="preserve">Resolución 3025 del 27 de agosto de 2015, serán cobradas una vez el Proyecto entre en Operación y Mantenimiento. </w:t>
      </w:r>
    </w:p>
    <w:p w14:paraId="24D12B5A" w14:textId="77777777" w:rsidR="00FB7BC4" w:rsidRDefault="00FB7BC4">
      <w:pPr>
        <w:tabs>
          <w:tab w:val="left" w:pos="426"/>
        </w:tabs>
        <w:ind w:left="426" w:right="481"/>
        <w:jc w:val="both"/>
        <w:rPr>
          <w:rFonts w:ascii="Work Sans" w:hAnsi="Work Sans" w:cs="Arial"/>
          <w:i/>
          <w:iCs/>
          <w:sz w:val="18"/>
          <w:szCs w:val="18"/>
          <w:lang w:val="es-CO"/>
        </w:rPr>
      </w:pPr>
    </w:p>
    <w:p w14:paraId="0778DF22" w14:textId="77777777" w:rsidR="00FB7BC4" w:rsidRDefault="00C51BDF">
      <w:pPr>
        <w:tabs>
          <w:tab w:val="left" w:pos="426"/>
        </w:tabs>
        <w:ind w:left="426" w:right="481"/>
        <w:jc w:val="both"/>
      </w:pPr>
      <w:r>
        <w:rPr>
          <w:rFonts w:ascii="Work Sans" w:hAnsi="Work Sans" w:cs="Arial"/>
          <w:i/>
          <w:iCs/>
          <w:sz w:val="18"/>
          <w:szCs w:val="18"/>
          <w:lang w:val="es"/>
        </w:rPr>
        <w:t xml:space="preserve">Asimismo, el artículo cuarto de la </w:t>
      </w:r>
      <w:r>
        <w:rPr>
          <w:rFonts w:ascii="Work Sans" w:hAnsi="Work Sans" w:cs="Arial"/>
          <w:i/>
          <w:iCs/>
          <w:sz w:val="18"/>
          <w:szCs w:val="18"/>
        </w:rPr>
        <w:t xml:space="preserve">Resolución 3025 del 27 de agosto de 2015 </w:t>
      </w:r>
      <w:r>
        <w:rPr>
          <w:rFonts w:ascii="Work Sans" w:hAnsi="Work Sans" w:cs="Arial"/>
          <w:i/>
          <w:iCs/>
          <w:sz w:val="18"/>
          <w:szCs w:val="18"/>
          <w:lang w:val="es"/>
        </w:rPr>
        <w:t xml:space="preserve">estableció que </w:t>
      </w:r>
      <w:r>
        <w:rPr>
          <w:rFonts w:ascii="Work Sans" w:hAnsi="Work Sans" w:cs="Arial"/>
          <w:i/>
          <w:sz w:val="18"/>
          <w:szCs w:val="18"/>
          <w:lang w:val="es"/>
        </w:rPr>
        <w:t>“Las tarifas de peajes de que trata la presente resolución se actualizarán cada año, de acuerdo a lo establecido en la minuta del contrato de concesión que se suscriba del proceso licitatorio VJ-VE-IP</w:t>
      </w:r>
      <w:r>
        <w:rPr>
          <w:rFonts w:ascii="Work Sans" w:hAnsi="Work Sans" w:cs="Arial"/>
          <w:i/>
          <w:sz w:val="18"/>
          <w:szCs w:val="18"/>
          <w:lang w:val="es"/>
        </w:rPr>
        <w:t>-LP-022-2013 y deberán ser ajustadas a la centena más cercana, con el fin de facilitar el recaudo por parte del Concesionario”.</w:t>
      </w:r>
    </w:p>
    <w:p w14:paraId="4314E11C" w14:textId="77777777" w:rsidR="00FB7BC4" w:rsidRDefault="00FB7BC4">
      <w:pPr>
        <w:tabs>
          <w:tab w:val="left" w:pos="426"/>
        </w:tabs>
        <w:ind w:left="426" w:right="481"/>
        <w:jc w:val="both"/>
        <w:rPr>
          <w:rFonts w:ascii="Work Sans" w:hAnsi="Work Sans" w:cs="Arial"/>
          <w:i/>
          <w:iCs/>
          <w:sz w:val="18"/>
          <w:szCs w:val="18"/>
          <w:lang w:val="es-CO"/>
        </w:rPr>
      </w:pPr>
    </w:p>
    <w:p w14:paraId="130CCD23" w14:textId="77777777" w:rsidR="00FB7BC4" w:rsidRDefault="00C51BDF">
      <w:pPr>
        <w:tabs>
          <w:tab w:val="left" w:pos="426"/>
        </w:tabs>
        <w:ind w:left="426" w:right="481"/>
        <w:jc w:val="both"/>
      </w:pPr>
      <w:r>
        <w:rPr>
          <w:rFonts w:ascii="Work Sans" w:eastAsia="Segoe UI" w:hAnsi="Work Sans" w:cs="Arial"/>
          <w:i/>
          <w:iCs/>
          <w:color w:val="000000"/>
          <w:sz w:val="18"/>
          <w:szCs w:val="18"/>
        </w:rPr>
        <w:t>La actualización correspondiente se encuentra regulada en el Contrato de Concesión No. 014 de 2015, en la Parte Especial, Capít</w:t>
      </w:r>
      <w:r>
        <w:rPr>
          <w:rFonts w:ascii="Work Sans" w:eastAsia="Segoe UI" w:hAnsi="Work Sans" w:cs="Arial"/>
          <w:i/>
          <w:iCs/>
          <w:color w:val="000000"/>
          <w:sz w:val="18"/>
          <w:szCs w:val="18"/>
        </w:rPr>
        <w:t>ulo IV “Aspectos Económicos del Contrato”, numeral 4.2 “Estructura Tarifaria”, literal e), que dispone que las tarifas deben ser actualizadas el dieciséis (16) de enero de cada año de acuerdo con la fórmula establecida en dicho acápite.</w:t>
      </w:r>
    </w:p>
    <w:p w14:paraId="6D2662A5" w14:textId="77777777" w:rsidR="00FB7BC4" w:rsidRDefault="00FB7BC4">
      <w:pPr>
        <w:tabs>
          <w:tab w:val="left" w:pos="426"/>
        </w:tabs>
        <w:ind w:left="426" w:right="481"/>
        <w:jc w:val="both"/>
        <w:rPr>
          <w:rFonts w:ascii="Work Sans" w:eastAsia="Segoe UI" w:hAnsi="Work Sans" w:cs="Arial"/>
          <w:i/>
          <w:color w:val="000000"/>
          <w:sz w:val="18"/>
          <w:szCs w:val="18"/>
        </w:rPr>
      </w:pPr>
    </w:p>
    <w:p w14:paraId="74A35736" w14:textId="77777777" w:rsidR="00FB7BC4" w:rsidRDefault="00C51BDF">
      <w:pPr>
        <w:tabs>
          <w:tab w:val="left" w:pos="426"/>
        </w:tabs>
        <w:ind w:left="426" w:right="481"/>
        <w:jc w:val="both"/>
      </w:pPr>
      <w:r>
        <w:rPr>
          <w:rFonts w:ascii="Work Sans" w:eastAsia="Segoe UI" w:hAnsi="Work Sans" w:cs="Arial"/>
          <w:i/>
          <w:color w:val="000000"/>
          <w:sz w:val="18"/>
          <w:szCs w:val="18"/>
        </w:rPr>
        <w:t>Así las cosas, med</w:t>
      </w:r>
      <w:r>
        <w:rPr>
          <w:rFonts w:ascii="Work Sans" w:eastAsia="Segoe UI" w:hAnsi="Work Sans" w:cs="Arial"/>
          <w:i/>
          <w:color w:val="000000"/>
          <w:sz w:val="18"/>
          <w:szCs w:val="18"/>
        </w:rPr>
        <w:t xml:space="preserve">iante comunicación con </w:t>
      </w:r>
      <w:r>
        <w:rPr>
          <w:rFonts w:ascii="Work Sans" w:hAnsi="Work Sans" w:cs="Arial"/>
          <w:i/>
          <w:sz w:val="18"/>
          <w:szCs w:val="18"/>
        </w:rPr>
        <w:t>radicado ANI No</w:t>
      </w:r>
      <w:r>
        <w:rPr>
          <w:rFonts w:ascii="Work Sans" w:eastAsia="Segoe UI" w:hAnsi="Work Sans" w:cs="Arial"/>
          <w:i/>
          <w:color w:val="000000"/>
          <w:sz w:val="18"/>
          <w:szCs w:val="18"/>
        </w:rPr>
        <w:t>. 20225000007531</w:t>
      </w:r>
      <w:r>
        <w:rPr>
          <w:rFonts w:ascii="Work Sans" w:hAnsi="Work Sans" w:cs="LiberationSansNarrow-Bold"/>
          <w:b/>
          <w:bCs/>
          <w:i/>
          <w:sz w:val="18"/>
          <w:szCs w:val="18"/>
          <w:lang w:val="es-CO"/>
        </w:rPr>
        <w:t xml:space="preserve"> </w:t>
      </w:r>
      <w:r>
        <w:rPr>
          <w:rFonts w:ascii="Work Sans" w:hAnsi="Work Sans" w:cs="Arial"/>
          <w:i/>
          <w:sz w:val="18"/>
          <w:szCs w:val="18"/>
        </w:rPr>
        <w:t>del 14 de enero de 2022</w:t>
      </w:r>
      <w:r>
        <w:rPr>
          <w:rFonts w:ascii="Work Sans" w:eastAsia="Segoe UI" w:hAnsi="Work Sans" w:cs="Arial"/>
          <w:i/>
          <w:color w:val="000000"/>
          <w:sz w:val="18"/>
          <w:szCs w:val="18"/>
        </w:rPr>
        <w:t>, la ANI notificó a la Concesión Desarrollo Vial al Mar S.A.S la actualización de las tarifas de peajes para el periodo 2022. Frente a la Estación de Peaje Aburrá, los valores, p</w:t>
      </w:r>
      <w:r>
        <w:rPr>
          <w:rFonts w:ascii="Work Sans" w:eastAsia="Segoe UI" w:hAnsi="Work Sans" w:cs="Arial"/>
          <w:i/>
          <w:color w:val="000000"/>
          <w:sz w:val="18"/>
          <w:szCs w:val="18"/>
        </w:rPr>
        <w:t>or categoría, de acuerdo con dicha actualización, quedaron así:</w:t>
      </w:r>
    </w:p>
    <w:p w14:paraId="3955BBD0" w14:textId="77777777" w:rsidR="00FB7BC4" w:rsidRDefault="00FB7BC4">
      <w:pPr>
        <w:jc w:val="both"/>
        <w:rPr>
          <w:rFonts w:ascii="Arial" w:eastAsia="Segoe UI" w:hAnsi="Arial" w:cs="Arial"/>
          <w:i/>
          <w:color w:val="000000"/>
          <w:sz w:val="20"/>
          <w:szCs w:val="20"/>
        </w:rPr>
      </w:pPr>
    </w:p>
    <w:tbl>
      <w:tblPr>
        <w:tblW w:w="5104" w:type="pct"/>
        <w:jc w:val="center"/>
        <w:tblCellMar>
          <w:left w:w="10" w:type="dxa"/>
          <w:right w:w="10" w:type="dxa"/>
        </w:tblCellMar>
        <w:tblLook w:val="0000" w:firstRow="0" w:lastRow="0" w:firstColumn="0" w:lastColumn="0" w:noHBand="0" w:noVBand="0"/>
      </w:tblPr>
      <w:tblGrid>
        <w:gridCol w:w="916"/>
        <w:gridCol w:w="1308"/>
        <w:gridCol w:w="588"/>
        <w:gridCol w:w="590"/>
        <w:gridCol w:w="1219"/>
        <w:gridCol w:w="1016"/>
        <w:gridCol w:w="980"/>
        <w:gridCol w:w="1023"/>
        <w:gridCol w:w="1089"/>
      </w:tblGrid>
      <w:tr w:rsidR="00FB7BC4" w14:paraId="0EC5558E" w14:textId="77777777">
        <w:tblPrEx>
          <w:tblCellMar>
            <w:top w:w="0" w:type="dxa"/>
            <w:bottom w:w="0" w:type="dxa"/>
          </w:tblCellMar>
        </w:tblPrEx>
        <w:trPr>
          <w:trHeight w:val="844"/>
          <w:jc w:val="center"/>
        </w:trPr>
        <w:tc>
          <w:tcPr>
            <w:tcW w:w="91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912E485"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CATEGORÍA</w:t>
            </w:r>
          </w:p>
        </w:tc>
        <w:tc>
          <w:tcPr>
            <w:tcW w:w="1308"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54D58082"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PLENA 2021 ANTES DE FOSEVI</w:t>
            </w:r>
          </w:p>
        </w:tc>
        <w:tc>
          <w:tcPr>
            <w:tcW w:w="588"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1DAFCBED"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IPC DIC 2020</w:t>
            </w:r>
          </w:p>
        </w:tc>
        <w:tc>
          <w:tcPr>
            <w:tcW w:w="590"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7C2F0E9F"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IPC DIC 2021</w:t>
            </w:r>
          </w:p>
        </w:tc>
        <w:tc>
          <w:tcPr>
            <w:tcW w:w="121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3450ED90"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INDICE DE ACTUALIZACIÓN</w:t>
            </w:r>
          </w:p>
        </w:tc>
        <w:tc>
          <w:tcPr>
            <w:tcW w:w="1016"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1FB67446"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BASE 2022</w:t>
            </w:r>
          </w:p>
        </w:tc>
        <w:tc>
          <w:tcPr>
            <w:tcW w:w="980"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3597556E"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FOSEVI 2022</w:t>
            </w:r>
          </w:p>
        </w:tc>
        <w:tc>
          <w:tcPr>
            <w:tcW w:w="1023"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09B5390D"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BASE + FOSEVI 2022</w:t>
            </w:r>
          </w:p>
        </w:tc>
        <w:tc>
          <w:tcPr>
            <w:tcW w:w="108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085A6445"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2022 AJUSTADA A LA CENTENA</w:t>
            </w:r>
          </w:p>
        </w:tc>
      </w:tr>
      <w:tr w:rsidR="00FB7BC4" w14:paraId="63CB4A1C" w14:textId="77777777">
        <w:tblPrEx>
          <w:tblCellMar>
            <w:top w:w="0" w:type="dxa"/>
            <w:bottom w:w="0" w:type="dxa"/>
          </w:tblCellMar>
        </w:tblPrEx>
        <w:trPr>
          <w:trHeight w:val="281"/>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6FDBB0"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w:t>
            </w:r>
          </w:p>
        </w:tc>
        <w:tc>
          <w:tcPr>
            <w:tcW w:w="13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4BC422"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$ 16.767 </w:t>
            </w:r>
          </w:p>
        </w:tc>
        <w:tc>
          <w:tcPr>
            <w:tcW w:w="58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B013F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B76E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0D32EB"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672149"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$ 17.710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74C509"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352 </w:t>
            </w:r>
          </w:p>
        </w:tc>
        <w:tc>
          <w:tcPr>
            <w:tcW w:w="102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B7CA1B"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18.061 </w:t>
            </w:r>
          </w:p>
        </w:tc>
        <w:tc>
          <w:tcPr>
            <w:tcW w:w="108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D12D80"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$ 18.100 </w:t>
            </w:r>
          </w:p>
        </w:tc>
      </w:tr>
      <w:tr w:rsidR="00FB7BC4" w14:paraId="255A0744"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E7005F"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II</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05FB1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$ 18.967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7DFB70"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23FB5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6DF1A1"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DB69B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$ 20.033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740645"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216F0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20.385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ACC04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$ 20.400 </w:t>
            </w:r>
          </w:p>
        </w:tc>
      </w:tr>
      <w:tr w:rsidR="00FB7BC4" w14:paraId="5AAEF3CF"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D58583"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III</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6FA2D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$ 41.767</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C7116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F3B3E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4A493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E78CB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$ 44.115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0DF1C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00C943"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44.467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36001B"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$ 44.500 </w:t>
            </w:r>
          </w:p>
        </w:tc>
      </w:tr>
      <w:tr w:rsidR="00FB7BC4" w14:paraId="0E6D6491"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CC2A8A"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IV</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88978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$ 54.467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2A9E2A"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0295F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3FDD00"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0E32A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$ 57.529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B9E8A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1EA95A"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57.881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53D05E"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$ 57.900 </w:t>
            </w:r>
          </w:p>
        </w:tc>
      </w:tr>
      <w:tr w:rsidR="00FB7BC4" w14:paraId="05D8B05D"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B7CDEB"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V</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636F89"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$ 65.167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BAB95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64AE33"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7B967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485F6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$ 68.831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81864F"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0A3089"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69.182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F4B53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$ 69.200 </w:t>
            </w:r>
          </w:p>
        </w:tc>
      </w:tr>
      <w:tr w:rsidR="00FB7BC4" w14:paraId="11C2B2F8"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F287CC"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Eje adicional</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5076C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6.600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EA5A3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9384E2"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5DC603"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82613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6.971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86C32"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BBA59E"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6.971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CD3DA5"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7.000 </w:t>
            </w:r>
          </w:p>
        </w:tc>
      </w:tr>
    </w:tbl>
    <w:p w14:paraId="755892BB" w14:textId="77777777" w:rsidR="00FB7BC4" w:rsidRDefault="00FB7BC4">
      <w:pPr>
        <w:tabs>
          <w:tab w:val="left" w:pos="0"/>
        </w:tabs>
        <w:jc w:val="both"/>
        <w:rPr>
          <w:rFonts w:ascii="Arial" w:hAnsi="Arial" w:cs="Arial"/>
          <w:i/>
          <w:sz w:val="20"/>
          <w:szCs w:val="20"/>
          <w:lang w:val="es-CO"/>
        </w:rPr>
      </w:pPr>
    </w:p>
    <w:p w14:paraId="62020A71" w14:textId="77777777" w:rsidR="00FB7BC4" w:rsidRDefault="00C51BDF">
      <w:pPr>
        <w:tabs>
          <w:tab w:val="left" w:pos="426"/>
        </w:tabs>
        <w:ind w:left="426" w:right="481"/>
        <w:jc w:val="both"/>
      </w:pPr>
      <w:r>
        <w:rPr>
          <w:rFonts w:ascii="Work Sans" w:hAnsi="Work Sans" w:cs="Arial"/>
          <w:i/>
          <w:iCs/>
          <w:sz w:val="18"/>
          <w:szCs w:val="18"/>
          <w:lang w:val="es-CO"/>
        </w:rPr>
        <w:t>Es así como a la fecha y a partir del 1</w:t>
      </w:r>
      <w:r>
        <w:rPr>
          <w:rFonts w:ascii="Work Sans" w:hAnsi="Work Sans" w:cs="Arial"/>
          <w:i/>
          <w:iCs/>
          <w:sz w:val="18"/>
          <w:szCs w:val="18"/>
          <w:lang w:val="es"/>
        </w:rPr>
        <w:t xml:space="preserve"> julio de 2016, día en el que se efectuó la entrega de la Estación de Peaje Aburrá al Concesionario, la cual estaba siendo operada por la Gobernación de Antioquia en virtud del </w:t>
      </w:r>
      <w:r>
        <w:rPr>
          <w:rFonts w:ascii="Work Sans" w:hAnsi="Work Sans" w:cs="Arial"/>
          <w:i/>
          <w:iCs/>
          <w:sz w:val="18"/>
          <w:szCs w:val="18"/>
          <w:lang w:val="es"/>
        </w:rPr>
        <w:t xml:space="preserve">Convenio No. 0583 de 1996 (Proyecto Conexión Vial “Guillermo Gaviria Correa” - Túnel de Occidente), las tarifas a cobrar, de </w:t>
      </w:r>
      <w:r>
        <w:rPr>
          <w:rFonts w:ascii="Work Sans" w:hAnsi="Work Sans" w:cs="Arial"/>
          <w:i/>
          <w:iCs/>
          <w:sz w:val="18"/>
          <w:szCs w:val="18"/>
          <w:lang w:val="es"/>
        </w:rPr>
        <w:lastRenderedPageBreak/>
        <w:t>conformidad con lo previsto en la Sección IV, 4.2 (ii) de la Parte Especial del Contrato de Concesión No. 014 de 2015, eran las “</w:t>
      </w:r>
      <w:r>
        <w:rPr>
          <w:rFonts w:ascii="Work Sans" w:hAnsi="Work Sans" w:cs="Arial"/>
          <w:i/>
          <w:sz w:val="18"/>
          <w:szCs w:val="18"/>
          <w:lang w:val="es"/>
        </w:rPr>
        <w:t>ta</w:t>
      </w:r>
      <w:r>
        <w:rPr>
          <w:rFonts w:ascii="Work Sans" w:hAnsi="Work Sans" w:cs="Arial"/>
          <w:i/>
          <w:sz w:val="18"/>
          <w:szCs w:val="18"/>
          <w:lang w:val="es"/>
        </w:rPr>
        <w:t>rifas que al momento de la entrega de la Estación de Peaje se estén cobrando al público, descontando el Fondo de Seguridad Vial”,</w:t>
      </w:r>
      <w:r>
        <w:rPr>
          <w:rFonts w:ascii="Work Sans" w:hAnsi="Work Sans" w:cs="Arial"/>
          <w:i/>
          <w:iCs/>
          <w:sz w:val="18"/>
          <w:szCs w:val="18"/>
          <w:lang w:val="es"/>
        </w:rPr>
        <w:t xml:space="preserve"> es decir, las establecidas en la Resolución 228 de 2013 y las diferenciales correspondientes. Una vez se recibió la estación d</w:t>
      </w:r>
      <w:r>
        <w:rPr>
          <w:rFonts w:ascii="Work Sans" w:hAnsi="Work Sans" w:cs="Arial"/>
          <w:i/>
          <w:iCs/>
          <w:sz w:val="18"/>
          <w:szCs w:val="18"/>
          <w:lang w:val="es"/>
        </w:rPr>
        <w:t>e peaje a cargo del Concesionario, se mantuvieron las tarifas con las cuales se recibió la infraestructura hasta el 15 de enero del 2017, fecha a partir de la cual se actualizaron de acuerdo con la fórmula y procedimiento previsto en la citada Sección.</w:t>
      </w:r>
    </w:p>
    <w:p w14:paraId="03576A4B" w14:textId="77777777" w:rsidR="00FB7BC4" w:rsidRDefault="00FB7BC4">
      <w:pPr>
        <w:tabs>
          <w:tab w:val="left" w:pos="426"/>
        </w:tabs>
        <w:ind w:left="426" w:right="481"/>
        <w:jc w:val="both"/>
        <w:rPr>
          <w:rFonts w:ascii="Work Sans" w:hAnsi="Work Sans" w:cs="Arial"/>
          <w:i/>
          <w:iCs/>
          <w:sz w:val="18"/>
          <w:szCs w:val="18"/>
          <w:lang w:val="es"/>
        </w:rPr>
      </w:pPr>
    </w:p>
    <w:p w14:paraId="4B957F89" w14:textId="77777777" w:rsidR="00FB7BC4" w:rsidRDefault="00C51BDF">
      <w:pPr>
        <w:tabs>
          <w:tab w:val="left" w:pos="426"/>
        </w:tabs>
        <w:ind w:left="426" w:right="481"/>
        <w:jc w:val="both"/>
      </w:pPr>
      <w:r>
        <w:rPr>
          <w:rFonts w:ascii="Work Sans" w:hAnsi="Work Sans" w:cs="Arial"/>
          <w:i/>
          <w:iCs/>
          <w:sz w:val="18"/>
          <w:szCs w:val="18"/>
          <w:lang w:val="es"/>
        </w:rPr>
        <w:t>Lo</w:t>
      </w:r>
      <w:r>
        <w:rPr>
          <w:rFonts w:ascii="Work Sans" w:hAnsi="Work Sans" w:cs="Arial"/>
          <w:i/>
          <w:iCs/>
          <w:sz w:val="18"/>
          <w:szCs w:val="18"/>
          <w:lang w:val="es"/>
        </w:rPr>
        <w:t xml:space="preserve"> anterior, como quiera que</w:t>
      </w:r>
      <w:r>
        <w:rPr>
          <w:rFonts w:ascii="Work Sans" w:hAnsi="Work Sans" w:cs="Arial"/>
          <w:i/>
          <w:iCs/>
          <w:color w:val="000000"/>
          <w:sz w:val="18"/>
          <w:szCs w:val="18"/>
          <w:lang w:eastAsia="es-CO"/>
        </w:rPr>
        <w:t>, actualmente, no han entrado en vigor las tarifas establecidas en la Resolución 1546 de 2015 en razón a que no se ha suscrito el Acta de Terminación Parcial o el Acta de Terminación de Unidad Funcional en la que se encuentra ubic</w:t>
      </w:r>
      <w:r>
        <w:rPr>
          <w:rFonts w:ascii="Work Sans" w:hAnsi="Work Sans" w:cs="Arial"/>
          <w:i/>
          <w:iCs/>
          <w:color w:val="000000"/>
          <w:sz w:val="18"/>
          <w:szCs w:val="18"/>
          <w:lang w:eastAsia="es-CO"/>
        </w:rPr>
        <w:t>ada la estación, tal y como lo regula el contrato</w:t>
      </w:r>
      <w:r>
        <w:rPr>
          <w:rFonts w:ascii="Work Sans" w:hAnsi="Work Sans" w:cs="Arial"/>
          <w:i/>
          <w:iCs/>
          <w:sz w:val="18"/>
          <w:szCs w:val="18"/>
          <w:lang w:val="es-CO"/>
        </w:rPr>
        <w:t xml:space="preserve"> y la resolución mencionada.</w:t>
      </w:r>
    </w:p>
    <w:p w14:paraId="414A7EC4" w14:textId="77777777" w:rsidR="00FB7BC4" w:rsidRDefault="00FB7BC4">
      <w:pPr>
        <w:tabs>
          <w:tab w:val="left" w:pos="426"/>
        </w:tabs>
        <w:ind w:left="426" w:right="481"/>
        <w:jc w:val="both"/>
        <w:rPr>
          <w:rFonts w:ascii="Work Sans" w:hAnsi="Work Sans" w:cs="Arial"/>
          <w:i/>
          <w:iCs/>
          <w:sz w:val="18"/>
          <w:szCs w:val="18"/>
          <w:lang w:val="es-CO"/>
        </w:rPr>
      </w:pPr>
    </w:p>
    <w:p w14:paraId="61EDF06E" w14:textId="77777777" w:rsidR="00FB7BC4" w:rsidRDefault="00C51BDF">
      <w:pPr>
        <w:tabs>
          <w:tab w:val="left" w:pos="426"/>
        </w:tabs>
        <w:ind w:left="426" w:right="481"/>
        <w:jc w:val="both"/>
      </w:pPr>
      <w:r>
        <w:rPr>
          <w:rFonts w:ascii="Work Sans" w:hAnsi="Work Sans" w:cs="Arial"/>
          <w:i/>
          <w:iCs/>
          <w:sz w:val="18"/>
          <w:szCs w:val="18"/>
          <w:lang w:val="es"/>
        </w:rPr>
        <w:t xml:space="preserve">De acuerdo con lo expuesto, si bien es claro que, de un lado, la Resolución </w:t>
      </w:r>
      <w:r>
        <w:rPr>
          <w:rFonts w:ascii="Work Sans" w:hAnsi="Work Sans" w:cs="Arial"/>
          <w:i/>
          <w:iCs/>
          <w:color w:val="000000"/>
          <w:sz w:val="18"/>
          <w:szCs w:val="18"/>
          <w:lang w:eastAsia="es-CO"/>
        </w:rPr>
        <w:t xml:space="preserve">228 </w:t>
      </w:r>
      <w:r>
        <w:rPr>
          <w:rFonts w:ascii="Work Sans" w:hAnsi="Work Sans" w:cs="Arial"/>
          <w:i/>
          <w:iCs/>
          <w:sz w:val="18"/>
          <w:szCs w:val="18"/>
          <w:lang w:val="es-CO"/>
        </w:rPr>
        <w:t xml:space="preserve">del 1 de febrero </w:t>
      </w:r>
      <w:r>
        <w:rPr>
          <w:rFonts w:ascii="Work Sans" w:hAnsi="Work Sans" w:cs="Arial"/>
          <w:i/>
          <w:iCs/>
          <w:color w:val="000000"/>
          <w:sz w:val="18"/>
          <w:szCs w:val="18"/>
          <w:lang w:eastAsia="es-CO"/>
        </w:rPr>
        <w:t>de 2013, y, de otro,</w:t>
      </w:r>
      <w:r>
        <w:rPr>
          <w:rFonts w:ascii="Work Sans" w:hAnsi="Work Sans" w:cs="Arial"/>
          <w:i/>
          <w:iCs/>
          <w:sz w:val="18"/>
          <w:szCs w:val="18"/>
          <w:lang w:val="es"/>
        </w:rPr>
        <w:t xml:space="preserve"> la </w:t>
      </w:r>
      <w:r>
        <w:rPr>
          <w:rFonts w:ascii="Work Sans" w:eastAsia="Segoe UI" w:hAnsi="Work Sans" w:cs="Arial"/>
          <w:i/>
          <w:iCs/>
          <w:color w:val="000000"/>
          <w:sz w:val="18"/>
          <w:szCs w:val="18"/>
        </w:rPr>
        <w:t xml:space="preserve">Resolución No.1546 del 27 de mayo de 2015, </w:t>
      </w:r>
      <w:r>
        <w:rPr>
          <w:rFonts w:ascii="Work Sans" w:eastAsia="Segoe UI" w:hAnsi="Work Sans" w:cs="Arial"/>
          <w:i/>
          <w:iCs/>
          <w:color w:val="000000"/>
          <w:sz w:val="18"/>
          <w:szCs w:val="18"/>
        </w:rPr>
        <w:t xml:space="preserve">modificada mediante </w:t>
      </w:r>
      <w:r>
        <w:rPr>
          <w:rFonts w:ascii="Work Sans" w:hAnsi="Work Sans" w:cs="Arial"/>
          <w:i/>
          <w:iCs/>
          <w:sz w:val="18"/>
          <w:szCs w:val="18"/>
        </w:rPr>
        <w:t>Resolución 3025 del 27 de agosto de 2015</w:t>
      </w:r>
      <w:r>
        <w:rPr>
          <w:rFonts w:ascii="Work Sans" w:hAnsi="Work Sans" w:cs="Arial"/>
          <w:i/>
          <w:iCs/>
          <w:sz w:val="18"/>
          <w:szCs w:val="18"/>
          <w:lang w:val="es"/>
        </w:rPr>
        <w:t>, no establecieron tarifas diferenciales para ser cobradas en la Estación de Peaje Aburrá, lo cierto es que éstas, al haber sido establecidas por la Junta Directiva del Proyecto Conexión Vial “Gui</w:t>
      </w:r>
      <w:r>
        <w:rPr>
          <w:rFonts w:ascii="Work Sans" w:hAnsi="Work Sans" w:cs="Arial"/>
          <w:i/>
          <w:iCs/>
          <w:sz w:val="18"/>
          <w:szCs w:val="18"/>
          <w:lang w:val="es"/>
        </w:rPr>
        <w:t>llermo Gaviria Correa” (Túnel de Occidente), fueron cobradas por el anterior operador hasta el momento de la entrega. En ese sentido, y teniendo en cuenta que dichas tarifas diferenciales se cobraban al público al momento en que el Concesionario Desarrollo</w:t>
      </w:r>
      <w:r>
        <w:rPr>
          <w:rFonts w:ascii="Work Sans" w:hAnsi="Work Sans" w:cs="Arial"/>
          <w:i/>
          <w:iCs/>
          <w:sz w:val="18"/>
          <w:szCs w:val="18"/>
          <w:lang w:val="es"/>
        </w:rPr>
        <w:t xml:space="preserve"> Vial al Mar S.A.S. recibió la Estación de Peaje Aburrá, el Concesionario le dio continuidad al cobro de las mismas, de conformidad con lo previsto en la Sección IV, 4.2 (e) (ii) de la Parte Especial del Contrato de Concesión No. 014 de 2015. </w:t>
      </w:r>
    </w:p>
    <w:p w14:paraId="002D93E4" w14:textId="77777777" w:rsidR="00FB7BC4" w:rsidRDefault="00FB7BC4">
      <w:pPr>
        <w:tabs>
          <w:tab w:val="left" w:pos="426"/>
          <w:tab w:val="left" w:pos="8505"/>
        </w:tabs>
        <w:ind w:left="426" w:right="481"/>
        <w:jc w:val="both"/>
        <w:rPr>
          <w:rFonts w:ascii="Work Sans" w:hAnsi="Work Sans" w:cs="Arial"/>
          <w:i/>
          <w:iCs/>
          <w:sz w:val="18"/>
          <w:szCs w:val="18"/>
          <w:lang w:val="es"/>
        </w:rPr>
      </w:pPr>
      <w:bookmarkStart w:id="2" w:name="_Hlk63844418"/>
    </w:p>
    <w:p w14:paraId="6F8F42D4" w14:textId="77777777" w:rsidR="00FB7BC4" w:rsidRDefault="00C51BDF">
      <w:pPr>
        <w:tabs>
          <w:tab w:val="left" w:pos="426"/>
          <w:tab w:val="left" w:pos="8505"/>
        </w:tabs>
        <w:ind w:left="426" w:right="481"/>
        <w:jc w:val="both"/>
        <w:rPr>
          <w:rFonts w:ascii="Work Sans" w:hAnsi="Work Sans" w:cs="Arial"/>
          <w:i/>
          <w:iCs/>
          <w:sz w:val="18"/>
          <w:szCs w:val="18"/>
          <w:lang w:val="es"/>
        </w:rPr>
      </w:pPr>
      <w:r>
        <w:rPr>
          <w:rFonts w:ascii="Work Sans" w:hAnsi="Work Sans" w:cs="Arial"/>
          <w:i/>
          <w:iCs/>
          <w:sz w:val="18"/>
          <w:szCs w:val="18"/>
          <w:lang w:val="es"/>
        </w:rPr>
        <w:t>Los propiet</w:t>
      </w:r>
      <w:r>
        <w:rPr>
          <w:rFonts w:ascii="Work Sans" w:hAnsi="Work Sans" w:cs="Arial"/>
          <w:i/>
          <w:iCs/>
          <w:sz w:val="18"/>
          <w:szCs w:val="18"/>
          <w:lang w:val="es"/>
        </w:rPr>
        <w:t>arios de los vehículos beneficiarios de las tarifas diferenciales reconocidas por la Junta Directiva del Túnel de Occidente, así como los habitantes del Corregimiento de San Sebastián de Palmitas, solicitaron en el mes de diciembre de 2020 a la Agencia Nac</w:t>
      </w:r>
      <w:r>
        <w:rPr>
          <w:rFonts w:ascii="Work Sans" w:hAnsi="Work Sans" w:cs="Arial"/>
          <w:i/>
          <w:iCs/>
          <w:sz w:val="18"/>
          <w:szCs w:val="18"/>
          <w:lang w:val="es"/>
        </w:rPr>
        <w:t>ional de Infraestructura - ANI la expedición de un acto administrativo que estableciera el beneficio del 90% de las tarifas en mención.</w:t>
      </w:r>
    </w:p>
    <w:p w14:paraId="6603B746" w14:textId="77777777" w:rsidR="00FB7BC4" w:rsidRDefault="00FB7BC4">
      <w:pPr>
        <w:tabs>
          <w:tab w:val="left" w:pos="426"/>
          <w:tab w:val="left" w:pos="8505"/>
        </w:tabs>
        <w:ind w:left="426" w:right="481"/>
        <w:jc w:val="both"/>
        <w:rPr>
          <w:rFonts w:ascii="Work Sans" w:hAnsi="Work Sans" w:cs="Arial"/>
          <w:i/>
          <w:iCs/>
          <w:sz w:val="18"/>
          <w:szCs w:val="18"/>
          <w:lang w:val="es"/>
        </w:rPr>
      </w:pPr>
    </w:p>
    <w:p w14:paraId="379AF530" w14:textId="77777777" w:rsidR="00FB7BC4" w:rsidRDefault="00C51BDF">
      <w:pPr>
        <w:tabs>
          <w:tab w:val="left" w:pos="426"/>
          <w:tab w:val="left" w:pos="8505"/>
        </w:tabs>
        <w:ind w:left="426" w:right="481"/>
        <w:jc w:val="both"/>
      </w:pPr>
      <w:r>
        <w:rPr>
          <w:rFonts w:ascii="Work Sans" w:hAnsi="Work Sans" w:cs="Arial"/>
          <w:i/>
          <w:sz w:val="18"/>
          <w:szCs w:val="18"/>
          <w:lang w:val="es"/>
        </w:rPr>
        <w:t xml:space="preserve">Por lo anterior, mediante el oficio radicado de salida ANI No. 20215000082261 del 22 de marzo de 2021, la </w:t>
      </w:r>
      <w:r>
        <w:rPr>
          <w:rFonts w:ascii="Work Sans" w:hAnsi="Work Sans" w:cs="Arial"/>
          <w:i/>
          <w:sz w:val="18"/>
          <w:szCs w:val="18"/>
          <w:lang w:val="es"/>
        </w:rPr>
        <w:t xml:space="preserve">Agencia Nacional de Infraestructura solicitó al Ministerio de Transporte </w:t>
      </w:r>
      <w:r>
        <w:rPr>
          <w:rFonts w:ascii="Work Sans" w:hAnsi="Work Sans" w:cs="Arial"/>
          <w:i/>
          <w:sz w:val="18"/>
          <w:szCs w:val="18"/>
        </w:rPr>
        <w:t>la expedición de una Resolución en virtud de la cual se estableciera un beneficio del 90% del valor de la tarifa plena en la Estación de Peaje Aburrá a cargo del Proyecto Autopista al</w:t>
      </w:r>
      <w:r>
        <w:rPr>
          <w:rFonts w:ascii="Work Sans" w:hAnsi="Work Sans" w:cs="Arial"/>
          <w:i/>
          <w:sz w:val="18"/>
          <w:szCs w:val="18"/>
        </w:rPr>
        <w:t xml:space="preserve"> Mar 1 - Contrato de Concesión No. 014 de 2015, para vehículos de categoría 1 </w:t>
      </w:r>
      <w:r>
        <w:rPr>
          <w:rFonts w:ascii="Work Sans" w:hAnsi="Work Sans" w:cs="Arial"/>
          <w:bCs/>
          <w:i/>
          <w:sz w:val="18"/>
          <w:szCs w:val="18"/>
          <w:lang w:val="es"/>
        </w:rPr>
        <w:t>automóviles, camperos y camionetas</w:t>
      </w:r>
      <w:r>
        <w:rPr>
          <w:rFonts w:ascii="Work Sans" w:hAnsi="Work Sans" w:cs="Arial"/>
          <w:i/>
          <w:sz w:val="18"/>
          <w:szCs w:val="18"/>
          <w:lang w:val="es"/>
        </w:rPr>
        <w:t xml:space="preserve"> de servicio particular cuyos propietarios y/o locatarios tuvieran residencia en el Corregimiento de Palmitas del Municipio de Medellín – Antioq</w:t>
      </w:r>
      <w:r>
        <w:rPr>
          <w:rFonts w:ascii="Work Sans" w:hAnsi="Work Sans" w:cs="Arial"/>
          <w:i/>
          <w:sz w:val="18"/>
          <w:szCs w:val="18"/>
          <w:lang w:val="es"/>
        </w:rPr>
        <w:t xml:space="preserve">uia </w:t>
      </w:r>
      <w:r>
        <w:rPr>
          <w:rFonts w:ascii="Work Sans" w:hAnsi="Work Sans" w:cs="Arial"/>
          <w:i/>
          <w:sz w:val="18"/>
          <w:szCs w:val="18"/>
        </w:rPr>
        <w:t>y, categoría 2 que prestaran el servicio público de transporte colectivo de pasajeros.</w:t>
      </w:r>
    </w:p>
    <w:p w14:paraId="4EBCF679" w14:textId="77777777" w:rsidR="00FB7BC4" w:rsidRDefault="00FB7BC4">
      <w:pPr>
        <w:tabs>
          <w:tab w:val="left" w:pos="426"/>
        </w:tabs>
        <w:ind w:left="426" w:right="481"/>
        <w:jc w:val="both"/>
        <w:rPr>
          <w:rFonts w:ascii="Work Sans" w:hAnsi="Work Sans" w:cs="Arial"/>
          <w:i/>
          <w:sz w:val="18"/>
          <w:szCs w:val="18"/>
          <w:lang w:val="es"/>
        </w:rPr>
      </w:pPr>
    </w:p>
    <w:p w14:paraId="42485719" w14:textId="77777777" w:rsidR="00FB7BC4" w:rsidRDefault="00C51BDF">
      <w:pPr>
        <w:tabs>
          <w:tab w:val="left" w:pos="426"/>
        </w:tabs>
        <w:autoSpaceDE w:val="0"/>
        <w:ind w:left="426" w:right="481"/>
        <w:jc w:val="both"/>
      </w:pPr>
      <w:r>
        <w:rPr>
          <w:rFonts w:ascii="Work Sans" w:hAnsi="Work Sans" w:cs="Arial"/>
          <w:i/>
          <w:sz w:val="18"/>
          <w:szCs w:val="18"/>
        </w:rPr>
        <w:t xml:space="preserve">Así las cosas, el Ministerio de Transporte procedió a expedir la Resolución No. 20213040018155 del 30 de abril de 2021 </w:t>
      </w:r>
      <w:r>
        <w:rPr>
          <w:rFonts w:ascii="Work Sans" w:hAnsi="Work Sans" w:cs="Arial"/>
          <w:i/>
          <w:iCs/>
          <w:sz w:val="18"/>
          <w:szCs w:val="18"/>
        </w:rPr>
        <w:t>“Por la cual se establecen tarifas diferencia</w:t>
      </w:r>
      <w:r>
        <w:rPr>
          <w:rFonts w:ascii="Work Sans" w:hAnsi="Work Sans" w:cs="Arial"/>
          <w:i/>
          <w:iCs/>
          <w:sz w:val="18"/>
          <w:szCs w:val="18"/>
        </w:rPr>
        <w:t xml:space="preserve">les de manera temporal para las categorías IE y IIE en la estación de peaje denominada Aburrá del Proyecto Autopista al Mar 1”, </w:t>
      </w:r>
      <w:r>
        <w:rPr>
          <w:rFonts w:ascii="Work Sans" w:hAnsi="Work Sans" w:cs="Arial"/>
          <w:i/>
          <w:sz w:val="18"/>
          <w:szCs w:val="18"/>
        </w:rPr>
        <w:t>a través de la cual, en su Artículo 1, establece las siguientes tarifas diferenciales de manera temporal hasta el 31 de diciembr</w:t>
      </w:r>
      <w:r>
        <w:rPr>
          <w:rFonts w:ascii="Work Sans" w:hAnsi="Work Sans" w:cs="Arial"/>
          <w:i/>
          <w:sz w:val="18"/>
          <w:szCs w:val="18"/>
        </w:rPr>
        <w:t xml:space="preserve">e de 2030, para las categorías IE y IIE en la estación de peaje denominada Aburrá del </w:t>
      </w:r>
      <w:r>
        <w:rPr>
          <w:rFonts w:ascii="Work Sans" w:hAnsi="Work Sans" w:cs="Arial"/>
          <w:i/>
          <w:sz w:val="18"/>
          <w:szCs w:val="18"/>
        </w:rPr>
        <w:lastRenderedPageBreak/>
        <w:t>Proyecto Autopista al Mar 1:</w:t>
      </w:r>
    </w:p>
    <w:p w14:paraId="6C423D6F" w14:textId="77777777" w:rsidR="00FB7BC4" w:rsidRDefault="00FB7BC4">
      <w:pPr>
        <w:autoSpaceDE w:val="0"/>
        <w:ind w:left="284" w:right="333"/>
        <w:jc w:val="both"/>
        <w:rPr>
          <w:rFonts w:ascii="Arial" w:hAnsi="Arial" w:cs="Arial"/>
          <w:i/>
          <w:sz w:val="16"/>
          <w:szCs w:val="16"/>
        </w:rPr>
      </w:pPr>
    </w:p>
    <w:tbl>
      <w:tblPr>
        <w:tblW w:w="8075" w:type="dxa"/>
        <w:jc w:val="center"/>
        <w:tblCellMar>
          <w:left w:w="10" w:type="dxa"/>
          <w:right w:w="10" w:type="dxa"/>
        </w:tblCellMar>
        <w:tblLook w:val="0000" w:firstRow="0" w:lastRow="0" w:firstColumn="0" w:lastColumn="0" w:noHBand="0" w:noVBand="0"/>
      </w:tblPr>
      <w:tblGrid>
        <w:gridCol w:w="1838"/>
        <w:gridCol w:w="3827"/>
        <w:gridCol w:w="1751"/>
        <w:gridCol w:w="659"/>
      </w:tblGrid>
      <w:tr w:rsidR="00FB7BC4" w14:paraId="2802056E" w14:textId="77777777">
        <w:tblPrEx>
          <w:tblCellMar>
            <w:top w:w="0" w:type="dxa"/>
            <w:bottom w:w="0" w:type="dxa"/>
          </w:tblCellMar>
        </w:tblPrEx>
        <w:trPr>
          <w:trHeight w:val="47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43BC5FB" w14:textId="77777777" w:rsidR="00FB7BC4" w:rsidRDefault="00C51BDF">
            <w:pPr>
              <w:jc w:val="center"/>
              <w:rPr>
                <w:rFonts w:ascii="Arial Narrow" w:hAnsi="Arial Narrow" w:cs="Arial"/>
                <w:b/>
                <w:bCs/>
                <w:i/>
                <w:sz w:val="16"/>
                <w:szCs w:val="16"/>
              </w:rPr>
            </w:pPr>
            <w:r>
              <w:rPr>
                <w:rFonts w:ascii="Arial Narrow" w:hAnsi="Arial Narrow" w:cs="Arial"/>
                <w:b/>
                <w:bCs/>
                <w:i/>
                <w:sz w:val="16"/>
                <w:szCs w:val="16"/>
              </w:rPr>
              <w:t>CATEGORÍAS</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7" w:type="dxa"/>
              <w:left w:w="106" w:type="dxa"/>
              <w:bottom w:w="0" w:type="dxa"/>
              <w:right w:w="93" w:type="dxa"/>
            </w:tcMar>
            <w:vAlign w:val="center"/>
          </w:tcPr>
          <w:p w14:paraId="4427155C" w14:textId="77777777" w:rsidR="00FB7BC4" w:rsidRDefault="00C51BDF">
            <w:pPr>
              <w:jc w:val="center"/>
              <w:rPr>
                <w:rFonts w:ascii="Arial Narrow" w:hAnsi="Arial Narrow" w:cs="Arial"/>
                <w:b/>
                <w:bCs/>
                <w:i/>
                <w:sz w:val="16"/>
                <w:szCs w:val="16"/>
              </w:rPr>
            </w:pPr>
            <w:r>
              <w:rPr>
                <w:rFonts w:ascii="Arial Narrow" w:hAnsi="Arial Narrow" w:cs="Arial"/>
                <w:b/>
                <w:bCs/>
                <w:i/>
                <w:sz w:val="16"/>
                <w:szCs w:val="16"/>
              </w:rPr>
              <w:t>DESCRIPCIÓN</w:t>
            </w:r>
          </w:p>
        </w:tc>
        <w:tc>
          <w:tcPr>
            <w:tcW w:w="1751" w:type="dxa"/>
            <w:tcBorders>
              <w:top w:val="single" w:sz="4" w:space="0" w:color="000000"/>
              <w:left w:val="single" w:sz="4" w:space="0" w:color="000000"/>
              <w:bottom w:val="single" w:sz="4" w:space="0" w:color="000000"/>
              <w:right w:val="single" w:sz="4" w:space="0" w:color="000000"/>
            </w:tcBorders>
            <w:shd w:val="clear" w:color="auto" w:fill="D9D9D9"/>
            <w:tcMar>
              <w:top w:w="7" w:type="dxa"/>
              <w:left w:w="106" w:type="dxa"/>
              <w:bottom w:w="0" w:type="dxa"/>
              <w:right w:w="93" w:type="dxa"/>
            </w:tcMar>
            <w:vAlign w:val="center"/>
          </w:tcPr>
          <w:p w14:paraId="2A6B48D5" w14:textId="77777777" w:rsidR="00FB7BC4" w:rsidRDefault="00C51BDF">
            <w:pPr>
              <w:jc w:val="center"/>
              <w:rPr>
                <w:rFonts w:ascii="Arial Narrow" w:hAnsi="Arial Narrow" w:cs="Arial"/>
                <w:b/>
                <w:bCs/>
                <w:i/>
                <w:sz w:val="16"/>
                <w:szCs w:val="16"/>
              </w:rPr>
            </w:pPr>
            <w:r>
              <w:rPr>
                <w:rFonts w:ascii="Arial Narrow" w:hAnsi="Arial Narrow" w:cs="Arial"/>
                <w:b/>
                <w:bCs/>
                <w:i/>
                <w:sz w:val="16"/>
                <w:szCs w:val="16"/>
              </w:rPr>
              <w:t>TARIFA</w:t>
            </w:r>
          </w:p>
          <w:p w14:paraId="70D5E81F" w14:textId="77777777" w:rsidR="00FB7BC4" w:rsidRDefault="00C51BDF">
            <w:pPr>
              <w:jc w:val="center"/>
              <w:rPr>
                <w:rFonts w:ascii="Arial Narrow" w:hAnsi="Arial Narrow" w:cs="Arial"/>
                <w:b/>
                <w:bCs/>
                <w:i/>
                <w:sz w:val="16"/>
                <w:szCs w:val="16"/>
              </w:rPr>
            </w:pPr>
            <w:r>
              <w:rPr>
                <w:rFonts w:ascii="Arial Narrow" w:hAnsi="Arial Narrow" w:cs="Arial"/>
                <w:b/>
                <w:bCs/>
                <w:i/>
                <w:sz w:val="16"/>
                <w:szCs w:val="16"/>
              </w:rPr>
              <w:t>(INCLUYE FOSEVI)</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936D7CF" w14:textId="77777777" w:rsidR="00FB7BC4" w:rsidRDefault="00C51BDF">
            <w:pPr>
              <w:jc w:val="center"/>
              <w:rPr>
                <w:rFonts w:ascii="Arial Narrow" w:hAnsi="Arial Narrow" w:cs="Arial"/>
                <w:b/>
                <w:bCs/>
                <w:i/>
                <w:sz w:val="16"/>
                <w:szCs w:val="16"/>
              </w:rPr>
            </w:pPr>
            <w:r>
              <w:rPr>
                <w:rFonts w:ascii="Arial Narrow" w:hAnsi="Arial Narrow" w:cs="Arial"/>
                <w:b/>
                <w:bCs/>
                <w:i/>
                <w:sz w:val="16"/>
                <w:szCs w:val="16"/>
              </w:rPr>
              <w:t>CUPOS</w:t>
            </w:r>
          </w:p>
        </w:tc>
      </w:tr>
      <w:tr w:rsidR="00FB7BC4" w14:paraId="429CCBCE" w14:textId="77777777">
        <w:tblPrEx>
          <w:tblCellMar>
            <w:top w:w="0" w:type="dxa"/>
            <w:bottom w:w="0" w:type="dxa"/>
          </w:tblCellMar>
        </w:tblPrEx>
        <w:trPr>
          <w:trHeight w:val="2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970FA5" w14:textId="77777777" w:rsidR="00FB7BC4" w:rsidRDefault="00C51BDF">
            <w:pPr>
              <w:ind w:left="1440" w:hanging="1440"/>
              <w:jc w:val="center"/>
              <w:rPr>
                <w:rFonts w:ascii="Arial Narrow" w:hAnsi="Arial Narrow" w:cs="Arial"/>
                <w:i/>
                <w:sz w:val="16"/>
                <w:szCs w:val="16"/>
              </w:rPr>
            </w:pPr>
            <w:r>
              <w:rPr>
                <w:rFonts w:ascii="Arial Narrow" w:hAnsi="Arial Narrow" w:cs="Arial"/>
                <w:i/>
                <w:sz w:val="16"/>
                <w:szCs w:val="16"/>
              </w:rPr>
              <w:t>Categoría 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E40201B" w14:textId="77777777" w:rsidR="00FB7BC4" w:rsidRDefault="00C51BDF">
            <w:pPr>
              <w:jc w:val="center"/>
            </w:pPr>
            <w:r>
              <w:rPr>
                <w:rFonts w:ascii="Arial Narrow" w:hAnsi="Arial Narrow" w:cs="Arial"/>
                <w:bCs/>
                <w:i/>
                <w:sz w:val="16"/>
                <w:szCs w:val="16"/>
                <w:lang w:val="es"/>
              </w:rPr>
              <w:t>Automóviles, camperos y camionetas</w:t>
            </w:r>
            <w:r>
              <w:rPr>
                <w:rFonts w:ascii="Arial Narrow" w:hAnsi="Arial Narrow" w:cs="Arial"/>
                <w:i/>
                <w:sz w:val="16"/>
                <w:szCs w:val="16"/>
                <w:lang w:val="es"/>
              </w:rPr>
              <w:t xml:space="preserve">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D1C8CB1" w14:textId="77777777" w:rsidR="00FB7BC4" w:rsidRDefault="00C51BDF">
            <w:pPr>
              <w:ind w:right="14"/>
              <w:jc w:val="center"/>
              <w:rPr>
                <w:rFonts w:ascii="Arial Narrow" w:hAnsi="Arial Narrow" w:cs="Arial"/>
                <w:i/>
                <w:sz w:val="16"/>
                <w:szCs w:val="16"/>
              </w:rPr>
            </w:pPr>
            <w:r>
              <w:rPr>
                <w:rFonts w:ascii="Arial Narrow" w:hAnsi="Arial Narrow" w:cs="Arial"/>
                <w:i/>
                <w:sz w:val="16"/>
                <w:szCs w:val="16"/>
              </w:rPr>
              <w:t>$ 2.000*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4E36E5" w14:textId="77777777" w:rsidR="00FB7BC4" w:rsidRDefault="00C51BDF">
            <w:pPr>
              <w:ind w:right="14"/>
              <w:jc w:val="center"/>
              <w:rPr>
                <w:rFonts w:ascii="Arial Narrow" w:hAnsi="Arial Narrow" w:cs="Arial"/>
                <w:i/>
                <w:sz w:val="16"/>
                <w:szCs w:val="16"/>
              </w:rPr>
            </w:pPr>
            <w:r>
              <w:rPr>
                <w:rFonts w:ascii="Arial Narrow" w:hAnsi="Arial Narrow" w:cs="Arial"/>
                <w:i/>
                <w:sz w:val="16"/>
                <w:szCs w:val="16"/>
              </w:rPr>
              <w:t>215</w:t>
            </w:r>
          </w:p>
        </w:tc>
      </w:tr>
      <w:tr w:rsidR="00FB7BC4" w14:paraId="4E5E7CD2" w14:textId="77777777">
        <w:tblPrEx>
          <w:tblCellMar>
            <w:top w:w="0" w:type="dxa"/>
            <w:bottom w:w="0" w:type="dxa"/>
          </w:tblCellMar>
        </w:tblPrEx>
        <w:trPr>
          <w:trHeight w:val="2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4364CC" w14:textId="77777777" w:rsidR="00FB7BC4" w:rsidRDefault="00C51BDF">
            <w:pPr>
              <w:jc w:val="center"/>
              <w:rPr>
                <w:rFonts w:ascii="Arial Narrow" w:hAnsi="Arial Narrow" w:cs="Arial"/>
                <w:i/>
                <w:sz w:val="16"/>
                <w:szCs w:val="16"/>
              </w:rPr>
            </w:pPr>
            <w:r>
              <w:rPr>
                <w:rFonts w:ascii="Arial Narrow" w:hAnsi="Arial Narrow" w:cs="Arial"/>
                <w:i/>
                <w:sz w:val="16"/>
                <w:szCs w:val="16"/>
              </w:rPr>
              <w:t>Categoría IIE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87E9A1B" w14:textId="77777777" w:rsidR="00FB7BC4" w:rsidRDefault="00C51BDF">
            <w:pPr>
              <w:jc w:val="center"/>
            </w:pPr>
            <w:r>
              <w:rPr>
                <w:rFonts w:ascii="Arial Narrow" w:hAnsi="Arial Narrow" w:cs="Arial"/>
                <w:bCs/>
                <w:i/>
                <w:sz w:val="16"/>
                <w:szCs w:val="16"/>
                <w:lang w:val="es"/>
              </w:rPr>
              <w:t>Buses, busetas, microbuses con eje trasero de doble llanta</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BEB0043" w14:textId="77777777" w:rsidR="00FB7BC4" w:rsidRDefault="00C51BDF">
            <w:pPr>
              <w:ind w:right="14"/>
              <w:jc w:val="center"/>
              <w:rPr>
                <w:rFonts w:ascii="Arial Narrow" w:hAnsi="Arial Narrow" w:cs="Arial"/>
                <w:i/>
                <w:sz w:val="16"/>
                <w:szCs w:val="16"/>
              </w:rPr>
            </w:pPr>
            <w:r>
              <w:rPr>
                <w:rFonts w:ascii="Arial Narrow" w:hAnsi="Arial Narrow" w:cs="Arial"/>
                <w:i/>
                <w:sz w:val="16"/>
                <w:szCs w:val="16"/>
              </w:rPr>
              <w:t>$ 2.200*</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75C6F4" w14:textId="77777777" w:rsidR="00FB7BC4" w:rsidRDefault="00C51BDF">
            <w:pPr>
              <w:ind w:right="14"/>
              <w:jc w:val="center"/>
              <w:rPr>
                <w:rFonts w:ascii="Arial Narrow" w:hAnsi="Arial Narrow" w:cs="Arial"/>
                <w:i/>
                <w:sz w:val="16"/>
                <w:szCs w:val="16"/>
              </w:rPr>
            </w:pPr>
            <w:r>
              <w:rPr>
                <w:rFonts w:ascii="Arial Narrow" w:hAnsi="Arial Narrow" w:cs="Arial"/>
                <w:i/>
                <w:sz w:val="16"/>
                <w:szCs w:val="16"/>
              </w:rPr>
              <w:t>10</w:t>
            </w:r>
          </w:p>
        </w:tc>
      </w:tr>
      <w:bookmarkEnd w:id="2"/>
    </w:tbl>
    <w:p w14:paraId="19E759A3" w14:textId="77777777" w:rsidR="00FB7BC4" w:rsidRDefault="00FB7BC4">
      <w:pPr>
        <w:ind w:left="284" w:right="333"/>
        <w:jc w:val="both"/>
        <w:rPr>
          <w:rFonts w:ascii="Arial" w:hAnsi="Arial" w:cs="Arial"/>
          <w:i/>
          <w:iCs/>
          <w:sz w:val="20"/>
          <w:szCs w:val="20"/>
          <w:lang w:val="es"/>
        </w:rPr>
      </w:pPr>
    </w:p>
    <w:p w14:paraId="5B66716B" w14:textId="77777777" w:rsidR="00FB7BC4" w:rsidRDefault="00C51BDF">
      <w:pPr>
        <w:ind w:left="567" w:right="481"/>
        <w:jc w:val="both"/>
      </w:pPr>
      <w:r>
        <w:rPr>
          <w:rFonts w:ascii="Work Sans" w:hAnsi="Work Sans" w:cs="Arial"/>
          <w:i/>
          <w:sz w:val="18"/>
          <w:szCs w:val="18"/>
          <w:lang w:val="es"/>
        </w:rPr>
        <w:t>Adicionalmente, el Artículo 2 de la mencionada Resolución establece lo siguiente</w:t>
      </w:r>
      <w:r>
        <w:rPr>
          <w:rFonts w:ascii="Work Sans" w:hAnsi="Work Sans" w:cs="Arial"/>
          <w:sz w:val="18"/>
          <w:szCs w:val="18"/>
          <w:lang w:val="es"/>
        </w:rPr>
        <w:t>:</w:t>
      </w:r>
    </w:p>
    <w:p w14:paraId="041A0059" w14:textId="77777777" w:rsidR="00FB7BC4" w:rsidRDefault="00FB7BC4">
      <w:pPr>
        <w:ind w:left="567" w:right="481"/>
        <w:jc w:val="both"/>
        <w:rPr>
          <w:rFonts w:ascii="Work Sans" w:hAnsi="Work Sans" w:cs="Arial"/>
          <w:i/>
          <w:iCs/>
          <w:sz w:val="18"/>
          <w:szCs w:val="18"/>
          <w:lang w:val="es"/>
        </w:rPr>
      </w:pPr>
    </w:p>
    <w:p w14:paraId="748C0E13" w14:textId="77777777" w:rsidR="00FB7BC4" w:rsidRDefault="00C51BDF">
      <w:pPr>
        <w:ind w:left="567" w:right="481"/>
        <w:jc w:val="both"/>
        <w:rPr>
          <w:rFonts w:ascii="Work Sans" w:hAnsi="Work Sans" w:cs="Arial"/>
          <w:i/>
          <w:iCs/>
          <w:sz w:val="18"/>
          <w:szCs w:val="18"/>
        </w:rPr>
      </w:pPr>
      <w:r>
        <w:rPr>
          <w:rFonts w:ascii="Work Sans" w:hAnsi="Work Sans" w:cs="Arial"/>
          <w:i/>
          <w:iCs/>
          <w:sz w:val="18"/>
          <w:szCs w:val="18"/>
        </w:rPr>
        <w:t xml:space="preserve">“Las actualizaciones anuales para las categorías IE y IIE del peaje Aburrá, a partir del 16 de </w:t>
      </w:r>
      <w:r>
        <w:rPr>
          <w:rFonts w:ascii="Work Sans" w:hAnsi="Work Sans" w:cs="Arial"/>
          <w:i/>
          <w:iCs/>
          <w:sz w:val="18"/>
          <w:szCs w:val="18"/>
        </w:rPr>
        <w:t>enero de 2023, de conformidad con el estudio de la Agencia Nacional de Infraestructura, se realizará aplicando la siguiente formula:</w:t>
      </w:r>
    </w:p>
    <w:p w14:paraId="3C04F480" w14:textId="77777777" w:rsidR="00FB7BC4" w:rsidRDefault="00FB7BC4">
      <w:pPr>
        <w:ind w:left="567" w:right="481"/>
        <w:jc w:val="both"/>
        <w:rPr>
          <w:rFonts w:ascii="Work Sans" w:hAnsi="Work Sans" w:cs="Arial"/>
          <w:i/>
          <w:iCs/>
          <w:sz w:val="18"/>
          <w:szCs w:val="18"/>
          <w:lang w:val="es-419"/>
        </w:rPr>
      </w:pPr>
    </w:p>
    <w:p w14:paraId="2524A73F" w14:textId="77777777" w:rsidR="00FB7BC4" w:rsidRDefault="00C51BDF">
      <w:pPr>
        <w:pStyle w:val="Prrafodelista"/>
        <w:ind w:left="567" w:right="481"/>
        <w:jc w:val="center"/>
      </w:pPr>
      <w:r>
        <w:rPr>
          <w:rFonts w:ascii="Work Sans" w:hAnsi="Work Sans"/>
          <w:i/>
          <w:iCs/>
          <w:sz w:val="16"/>
          <w:szCs w:val="16"/>
          <w:lang w:val="es-419"/>
        </w:rPr>
        <w:t>Tarifa SR</w:t>
      </w:r>
      <w:r>
        <w:rPr>
          <w:rFonts w:ascii="Work Sans" w:hAnsi="Work Sans"/>
          <w:i/>
          <w:iCs/>
          <w:sz w:val="16"/>
          <w:szCs w:val="16"/>
          <w:vertAlign w:val="subscript"/>
          <w:lang w:val="es-419"/>
        </w:rPr>
        <w:t>t</w:t>
      </w:r>
      <w:r>
        <w:rPr>
          <w:rFonts w:ascii="Work Sans" w:hAnsi="Work Sans"/>
          <w:i/>
          <w:iCs/>
          <w:sz w:val="16"/>
          <w:szCs w:val="16"/>
          <w:lang w:val="es-419"/>
        </w:rPr>
        <w:t xml:space="preserve"> = Tarifa SR </w:t>
      </w:r>
      <w:r>
        <w:rPr>
          <w:rFonts w:ascii="Work Sans" w:hAnsi="Work Sans"/>
          <w:i/>
          <w:iCs/>
          <w:sz w:val="16"/>
          <w:szCs w:val="16"/>
          <w:vertAlign w:val="subscript"/>
          <w:lang w:val="es-419"/>
        </w:rPr>
        <w:t>t-1</w:t>
      </w:r>
      <w:r>
        <w:rPr>
          <w:rFonts w:ascii="Work Sans" w:hAnsi="Work Sans"/>
          <w:i/>
          <w:iCs/>
          <w:sz w:val="16"/>
          <w:szCs w:val="16"/>
          <w:lang w:val="es-419"/>
        </w:rPr>
        <w:t xml:space="preserve"> + (TarifaSR CAT </w:t>
      </w:r>
      <w:r>
        <w:rPr>
          <w:rFonts w:ascii="Work Sans" w:hAnsi="Work Sans"/>
          <w:i/>
          <w:iCs/>
          <w:sz w:val="16"/>
          <w:szCs w:val="16"/>
          <w:vertAlign w:val="subscript"/>
          <w:lang w:val="es-419"/>
        </w:rPr>
        <w:t>t</w:t>
      </w:r>
      <w:r>
        <w:rPr>
          <w:rFonts w:ascii="Work Sans" w:hAnsi="Work Sans"/>
          <w:i/>
          <w:iCs/>
          <w:sz w:val="16"/>
          <w:szCs w:val="16"/>
          <w:lang w:val="es-419"/>
        </w:rPr>
        <w:t xml:space="preserve"> – Tarifa CAT </w:t>
      </w:r>
      <w:r>
        <w:rPr>
          <w:rFonts w:ascii="Work Sans" w:hAnsi="Work Sans"/>
          <w:i/>
          <w:iCs/>
          <w:sz w:val="16"/>
          <w:szCs w:val="16"/>
          <w:vertAlign w:val="subscript"/>
          <w:lang w:val="es-419"/>
        </w:rPr>
        <w:t>t-1</w:t>
      </w:r>
      <w:r>
        <w:rPr>
          <w:rFonts w:ascii="Work Sans" w:hAnsi="Work Sans"/>
          <w:i/>
          <w:iCs/>
          <w:sz w:val="16"/>
          <w:szCs w:val="16"/>
          <w:lang w:val="es-419"/>
        </w:rPr>
        <w:t>)</w:t>
      </w:r>
    </w:p>
    <w:p w14:paraId="0A30E013" w14:textId="77777777" w:rsidR="00FB7BC4" w:rsidRDefault="00FB7BC4">
      <w:pPr>
        <w:pStyle w:val="Prrafodelista"/>
        <w:jc w:val="center"/>
        <w:rPr>
          <w:rFonts w:ascii="Work Sans" w:hAnsi="Work Sans"/>
          <w:i/>
          <w:iCs/>
          <w:sz w:val="16"/>
          <w:szCs w:val="16"/>
          <w:lang w:val="es-419"/>
        </w:rPr>
      </w:pPr>
    </w:p>
    <w:tbl>
      <w:tblPr>
        <w:tblW w:w="8032" w:type="dxa"/>
        <w:jc w:val="center"/>
        <w:tblCellMar>
          <w:left w:w="10" w:type="dxa"/>
          <w:right w:w="10" w:type="dxa"/>
        </w:tblCellMar>
        <w:tblLook w:val="0000" w:firstRow="0" w:lastRow="0" w:firstColumn="0" w:lastColumn="0" w:noHBand="0" w:noVBand="0"/>
      </w:tblPr>
      <w:tblGrid>
        <w:gridCol w:w="1603"/>
        <w:gridCol w:w="6429"/>
      </w:tblGrid>
      <w:tr w:rsidR="00FB7BC4" w14:paraId="5042CDA2" w14:textId="77777777">
        <w:tblPrEx>
          <w:tblCellMar>
            <w:top w:w="0" w:type="dxa"/>
            <w:bottom w:w="0" w:type="dxa"/>
          </w:tblCellMar>
        </w:tblPrEx>
        <w:trPr>
          <w:jc w:val="center"/>
        </w:trPr>
        <w:tc>
          <w:tcPr>
            <w:tcW w:w="16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10F79F" w14:textId="77777777" w:rsidR="00FB7BC4" w:rsidRDefault="00C51BDF">
            <w:pPr>
              <w:pStyle w:val="Prrafodelista"/>
              <w:ind w:left="0"/>
            </w:pPr>
            <w:r>
              <w:rPr>
                <w:rFonts w:ascii="Work Sans" w:hAnsi="Work Sans"/>
                <w:i/>
                <w:iCs/>
                <w:sz w:val="16"/>
                <w:szCs w:val="16"/>
              </w:rPr>
              <w:t>Tarifa SR</w:t>
            </w:r>
            <w:r>
              <w:rPr>
                <w:rFonts w:ascii="Work Sans" w:hAnsi="Work Sans"/>
                <w:i/>
                <w:iCs/>
                <w:sz w:val="16"/>
                <w:szCs w:val="16"/>
                <w:vertAlign w:val="subscript"/>
              </w:rPr>
              <w:t>t</w:t>
            </w:r>
          </w:p>
        </w:tc>
        <w:tc>
          <w:tcPr>
            <w:tcW w:w="642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F84382" w14:textId="77777777" w:rsidR="00FB7BC4" w:rsidRDefault="00C51BDF">
            <w:pPr>
              <w:pStyle w:val="Prrafodelista"/>
              <w:ind w:left="0"/>
              <w:jc w:val="both"/>
            </w:pPr>
            <w:r>
              <w:rPr>
                <w:rFonts w:ascii="Work Sans" w:hAnsi="Work Sans" w:cs="Arial"/>
                <w:i/>
                <w:iCs/>
                <w:sz w:val="16"/>
                <w:szCs w:val="16"/>
              </w:rPr>
              <w:t xml:space="preserve">Para cada categoría de vehículo, </w:t>
            </w:r>
            <w:r>
              <w:rPr>
                <w:rFonts w:ascii="Work Sans" w:hAnsi="Work Sans" w:cs="Arial"/>
                <w:i/>
                <w:iCs/>
                <w:sz w:val="16"/>
                <w:szCs w:val="16"/>
              </w:rPr>
              <w:t>contemplada en el presente Artículo, de la Estación de Peaje Aburrá es el valor de la Tarifa Especial en pesos corrientes del año t.</w:t>
            </w:r>
          </w:p>
        </w:tc>
      </w:tr>
      <w:tr w:rsidR="00FB7BC4" w14:paraId="4FBDA4A9" w14:textId="77777777">
        <w:tblPrEx>
          <w:tblCellMar>
            <w:top w:w="0" w:type="dxa"/>
            <w:bottom w:w="0" w:type="dxa"/>
          </w:tblCellMar>
        </w:tblPrEx>
        <w:trPr>
          <w:jc w:val="center"/>
        </w:trPr>
        <w:tc>
          <w:tcPr>
            <w:tcW w:w="160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D79FFC" w14:textId="77777777" w:rsidR="00FB7BC4" w:rsidRDefault="00C51BDF">
            <w:pPr>
              <w:pStyle w:val="Prrafodelista"/>
              <w:ind w:left="0"/>
            </w:pPr>
            <w:r>
              <w:rPr>
                <w:rFonts w:ascii="Work Sans" w:hAnsi="Work Sans"/>
                <w:i/>
                <w:iCs/>
                <w:sz w:val="16"/>
                <w:szCs w:val="16"/>
              </w:rPr>
              <w:t xml:space="preserve">Tarifa SR </w:t>
            </w:r>
            <w:r>
              <w:rPr>
                <w:rFonts w:ascii="Work Sans" w:hAnsi="Work Sans"/>
                <w:i/>
                <w:iCs/>
                <w:sz w:val="16"/>
                <w:szCs w:val="16"/>
                <w:vertAlign w:val="subscript"/>
              </w:rPr>
              <w:t>t-1</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21621C" w14:textId="77777777" w:rsidR="00FB7BC4" w:rsidRDefault="00C51BDF">
            <w:pPr>
              <w:pStyle w:val="Prrafodelista"/>
              <w:ind w:left="0"/>
              <w:jc w:val="both"/>
              <w:rPr>
                <w:rFonts w:ascii="Work Sans" w:hAnsi="Work Sans" w:cs="Arial"/>
                <w:i/>
                <w:iCs/>
                <w:sz w:val="16"/>
                <w:szCs w:val="16"/>
              </w:rPr>
            </w:pPr>
            <w:r>
              <w:rPr>
                <w:rFonts w:ascii="Work Sans" w:hAnsi="Work Sans" w:cs="Arial"/>
                <w:i/>
                <w:iCs/>
                <w:sz w:val="16"/>
                <w:szCs w:val="16"/>
              </w:rPr>
              <w:t>Corresponde a la Tarifa Especial por categoría de vehículo, contemplada en el presente Artículo, para la Est</w:t>
            </w:r>
            <w:r>
              <w:rPr>
                <w:rFonts w:ascii="Work Sans" w:hAnsi="Work Sans" w:cs="Arial"/>
                <w:i/>
                <w:iCs/>
                <w:sz w:val="16"/>
                <w:szCs w:val="16"/>
              </w:rPr>
              <w:t>ación de Peaje Aburrá, cobrada al usuario del periodo inmediatamente anterior restándole la tarifa del Fondo del Seguridad Vial (FSV) o cualquier sobretasa o similar que tenga destinación diferente al Proyecto, cobrada el año inmediatamente anterior.</w:t>
            </w:r>
          </w:p>
        </w:tc>
      </w:tr>
      <w:tr w:rsidR="00FB7BC4" w14:paraId="4BAF2E02" w14:textId="77777777">
        <w:tblPrEx>
          <w:tblCellMar>
            <w:top w:w="0" w:type="dxa"/>
            <w:bottom w:w="0" w:type="dxa"/>
          </w:tblCellMar>
        </w:tblPrEx>
        <w:trPr>
          <w:jc w:val="center"/>
        </w:trPr>
        <w:tc>
          <w:tcPr>
            <w:tcW w:w="160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62D517" w14:textId="77777777" w:rsidR="00FB7BC4" w:rsidRDefault="00C51BDF">
            <w:pPr>
              <w:pStyle w:val="Prrafodelista"/>
              <w:ind w:left="0"/>
            </w:pPr>
            <w:r>
              <w:rPr>
                <w:rFonts w:ascii="Work Sans" w:hAnsi="Work Sans"/>
                <w:i/>
                <w:iCs/>
                <w:sz w:val="16"/>
                <w:szCs w:val="16"/>
              </w:rPr>
              <w:t xml:space="preserve">Tarifa CAT </w:t>
            </w:r>
            <w:r>
              <w:rPr>
                <w:rFonts w:ascii="Work Sans" w:hAnsi="Work Sans"/>
                <w:i/>
                <w:iCs/>
                <w:sz w:val="16"/>
                <w:szCs w:val="16"/>
                <w:vertAlign w:val="subscript"/>
              </w:rPr>
              <w:t>t</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95AA33" w14:textId="77777777" w:rsidR="00FB7BC4" w:rsidRDefault="00C51BDF">
            <w:pPr>
              <w:pStyle w:val="Prrafodelista"/>
              <w:ind w:left="0"/>
              <w:jc w:val="both"/>
              <w:rPr>
                <w:rFonts w:ascii="Work Sans" w:hAnsi="Work Sans" w:cs="Arial"/>
                <w:i/>
                <w:iCs/>
                <w:sz w:val="16"/>
                <w:szCs w:val="16"/>
              </w:rPr>
            </w:pPr>
            <w:r>
              <w:rPr>
                <w:rFonts w:ascii="Work Sans" w:hAnsi="Work Sans" w:cs="Arial"/>
                <w:i/>
                <w:iCs/>
                <w:sz w:val="16"/>
                <w:szCs w:val="16"/>
              </w:rPr>
              <w:t>A la tarifa para la categoría de vehículo para la Estación de Peaje Aburrá, corresponde al valor de la Tarifa actualizada a Precios Corrientes del año t, con el redondeo a la centena y restándole la tarifa del Fondo de Seguridad Vial (FSV) o c</w:t>
            </w:r>
            <w:r>
              <w:rPr>
                <w:rFonts w:ascii="Work Sans" w:hAnsi="Work Sans" w:cs="Arial"/>
                <w:i/>
                <w:iCs/>
                <w:sz w:val="16"/>
                <w:szCs w:val="16"/>
              </w:rPr>
              <w:t xml:space="preserve">ualquier sobretasa o similar que tenga destinación diferente al Proyecto, del año t. </w:t>
            </w:r>
          </w:p>
        </w:tc>
      </w:tr>
      <w:tr w:rsidR="00FB7BC4" w14:paraId="08542BC3" w14:textId="77777777">
        <w:tblPrEx>
          <w:tblCellMar>
            <w:top w:w="0" w:type="dxa"/>
            <w:bottom w:w="0" w:type="dxa"/>
          </w:tblCellMar>
        </w:tblPrEx>
        <w:trPr>
          <w:jc w:val="center"/>
        </w:trPr>
        <w:tc>
          <w:tcPr>
            <w:tcW w:w="160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84E782" w14:textId="77777777" w:rsidR="00FB7BC4" w:rsidRDefault="00C51BDF">
            <w:pPr>
              <w:pStyle w:val="Prrafodelista"/>
              <w:ind w:left="0"/>
            </w:pPr>
            <w:r>
              <w:rPr>
                <w:rFonts w:ascii="Work Sans" w:hAnsi="Work Sans"/>
                <w:i/>
                <w:iCs/>
                <w:sz w:val="16"/>
                <w:szCs w:val="16"/>
              </w:rPr>
              <w:t xml:space="preserve">Tarifa CAT </w:t>
            </w:r>
            <w:r>
              <w:rPr>
                <w:rFonts w:ascii="Work Sans" w:hAnsi="Work Sans"/>
                <w:i/>
                <w:iCs/>
                <w:sz w:val="16"/>
                <w:szCs w:val="16"/>
                <w:vertAlign w:val="subscript"/>
              </w:rPr>
              <w:t>t-1</w:t>
            </w:r>
          </w:p>
        </w:tc>
        <w:tc>
          <w:tcPr>
            <w:tcW w:w="64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B22577" w14:textId="77777777" w:rsidR="00FB7BC4" w:rsidRDefault="00C51BDF">
            <w:pPr>
              <w:pStyle w:val="Prrafodelista"/>
              <w:ind w:left="0"/>
              <w:jc w:val="both"/>
              <w:rPr>
                <w:rFonts w:ascii="Work Sans" w:hAnsi="Work Sans" w:cs="Arial"/>
                <w:i/>
                <w:iCs/>
                <w:sz w:val="16"/>
                <w:szCs w:val="16"/>
              </w:rPr>
            </w:pPr>
            <w:r>
              <w:rPr>
                <w:rFonts w:ascii="Work Sans" w:hAnsi="Work Sans" w:cs="Arial"/>
                <w:i/>
                <w:iCs/>
                <w:sz w:val="16"/>
                <w:szCs w:val="16"/>
              </w:rPr>
              <w:t xml:space="preserve">Corresponde a la tarifa para la categoría de vehículo para la Estación de Peaje Aburrá, cobrada al usuario del periodo inmediatamente anterior restándole </w:t>
            </w:r>
            <w:r>
              <w:rPr>
                <w:rFonts w:ascii="Work Sans" w:hAnsi="Work Sans" w:cs="Arial"/>
                <w:i/>
                <w:iCs/>
                <w:sz w:val="16"/>
                <w:szCs w:val="16"/>
              </w:rPr>
              <w:t>la tarifa del Fondo del Seguridad Vial (FSV) o cualquier sobretasa o similar que tenga destinación diferente al Proyecto, cobrada el año inmediatamente anterior.</w:t>
            </w:r>
          </w:p>
        </w:tc>
      </w:tr>
    </w:tbl>
    <w:p w14:paraId="201F901D" w14:textId="77777777" w:rsidR="00FB7BC4" w:rsidRDefault="00FB7BC4">
      <w:pPr>
        <w:ind w:left="284" w:right="333"/>
        <w:jc w:val="both"/>
        <w:rPr>
          <w:rFonts w:ascii="Work Sans" w:hAnsi="Work Sans" w:cs="Arial"/>
          <w:i/>
          <w:iCs/>
          <w:sz w:val="18"/>
          <w:szCs w:val="18"/>
          <w:lang w:val="es"/>
        </w:rPr>
      </w:pPr>
    </w:p>
    <w:p w14:paraId="75E86BD1" w14:textId="77777777" w:rsidR="00FB7BC4" w:rsidRDefault="00C51BDF">
      <w:pPr>
        <w:ind w:left="426" w:right="623"/>
        <w:jc w:val="both"/>
        <w:rPr>
          <w:rFonts w:ascii="Work Sans" w:hAnsi="Work Sans" w:cs="Arial"/>
          <w:i/>
          <w:iCs/>
          <w:sz w:val="18"/>
          <w:szCs w:val="18"/>
          <w:lang w:val="es"/>
        </w:rPr>
      </w:pPr>
      <w:r>
        <w:rPr>
          <w:rFonts w:ascii="Work Sans" w:hAnsi="Work Sans" w:cs="Arial"/>
          <w:i/>
          <w:iCs/>
          <w:sz w:val="18"/>
          <w:szCs w:val="18"/>
          <w:lang w:val="es"/>
        </w:rPr>
        <w:t>(…)”.</w:t>
      </w:r>
    </w:p>
    <w:p w14:paraId="707D3579" w14:textId="77777777" w:rsidR="00FB7BC4" w:rsidRDefault="00FB7BC4">
      <w:pPr>
        <w:ind w:left="426" w:right="623"/>
        <w:jc w:val="both"/>
        <w:rPr>
          <w:rFonts w:ascii="Work Sans" w:hAnsi="Work Sans" w:cs="Arial"/>
          <w:i/>
          <w:iCs/>
          <w:sz w:val="18"/>
          <w:szCs w:val="18"/>
          <w:lang w:val="es"/>
        </w:rPr>
      </w:pPr>
    </w:p>
    <w:p w14:paraId="0E79493D" w14:textId="77777777" w:rsidR="00FB7BC4" w:rsidRDefault="00C51BDF">
      <w:pPr>
        <w:tabs>
          <w:tab w:val="left" w:pos="0"/>
          <w:tab w:val="left" w:pos="8505"/>
        </w:tabs>
        <w:ind w:left="426" w:right="623"/>
        <w:jc w:val="both"/>
      </w:pPr>
      <w:r>
        <w:rPr>
          <w:rFonts w:ascii="Work Sans" w:hAnsi="Work Sans" w:cs="Arial"/>
          <w:i/>
          <w:iCs/>
          <w:sz w:val="18"/>
          <w:szCs w:val="18"/>
        </w:rPr>
        <w:t xml:space="preserve">Así las cosas, las tarifas diferenciales que se cobraron en la Estación de Peaje </w:t>
      </w:r>
      <w:r>
        <w:rPr>
          <w:rFonts w:ascii="Work Sans" w:hAnsi="Work Sans" w:cs="Arial"/>
          <w:i/>
          <w:iCs/>
          <w:sz w:val="18"/>
          <w:szCs w:val="18"/>
        </w:rPr>
        <w:t xml:space="preserve">Aburrá hasta el 30 de abril de 2021 fueron las establecidas por </w:t>
      </w:r>
      <w:r>
        <w:rPr>
          <w:rFonts w:ascii="Work Sans" w:hAnsi="Work Sans" w:cs="Arial"/>
          <w:i/>
          <w:iCs/>
          <w:sz w:val="18"/>
          <w:szCs w:val="18"/>
          <w:lang w:val="es"/>
        </w:rPr>
        <w:t>la Junta Directiva del Proyecto Conexión Vial “Guillermo Gaviria Correa” (Túnel de Occidente)</w:t>
      </w:r>
      <w:r>
        <w:rPr>
          <w:rFonts w:ascii="Work Sans" w:hAnsi="Work Sans" w:cs="Arial"/>
          <w:i/>
          <w:iCs/>
          <w:sz w:val="18"/>
          <w:szCs w:val="18"/>
        </w:rPr>
        <w:t xml:space="preserve"> cuyo valor equivalía al 50% del valor base del peaje</w:t>
      </w:r>
      <w:r>
        <w:rPr>
          <w:rFonts w:ascii="Work Sans" w:eastAsia="Segoe UI" w:hAnsi="Work Sans" w:cs="Arial"/>
          <w:i/>
          <w:iCs/>
          <w:color w:val="000000"/>
          <w:sz w:val="18"/>
          <w:szCs w:val="18"/>
        </w:rPr>
        <w:t>.</w:t>
      </w:r>
    </w:p>
    <w:p w14:paraId="5DFB5A63" w14:textId="77777777" w:rsidR="00FB7BC4" w:rsidRDefault="00FB7BC4">
      <w:pPr>
        <w:autoSpaceDE w:val="0"/>
        <w:ind w:left="426" w:right="623"/>
        <w:jc w:val="both"/>
        <w:rPr>
          <w:rFonts w:ascii="Work Sans" w:hAnsi="Work Sans" w:cs="Arial"/>
          <w:i/>
          <w:sz w:val="18"/>
          <w:szCs w:val="18"/>
        </w:rPr>
      </w:pPr>
    </w:p>
    <w:p w14:paraId="0EC76EC5" w14:textId="77777777" w:rsidR="00FB7BC4" w:rsidRDefault="00C51BDF">
      <w:pPr>
        <w:autoSpaceDE w:val="0"/>
        <w:ind w:left="426" w:right="623"/>
        <w:jc w:val="both"/>
        <w:rPr>
          <w:rFonts w:ascii="Work Sans" w:hAnsi="Work Sans" w:cs="Arial"/>
          <w:i/>
          <w:sz w:val="18"/>
          <w:szCs w:val="18"/>
          <w:lang w:val="es"/>
        </w:rPr>
      </w:pPr>
      <w:r>
        <w:rPr>
          <w:rFonts w:ascii="Work Sans" w:hAnsi="Work Sans" w:cs="Arial"/>
          <w:i/>
          <w:sz w:val="18"/>
          <w:szCs w:val="18"/>
          <w:lang w:val="es"/>
        </w:rPr>
        <w:t>Por otro lado, mediante el oficio de salida</w:t>
      </w:r>
      <w:r>
        <w:rPr>
          <w:rFonts w:ascii="Work Sans" w:hAnsi="Work Sans" w:cs="Arial"/>
          <w:i/>
          <w:sz w:val="18"/>
          <w:szCs w:val="18"/>
          <w:lang w:val="es"/>
        </w:rPr>
        <w:t xml:space="preserve"> ANI No. 20215000140621 del 10 de mayo de 2021 y alcance con radicado de salida ANI No. 20215000192301 del 25 de junio de 2021, la Agencia fijó las condiciones correspondientes para los usuarios beneficiarios de la Tarifa Especial Diferencial para la Estac</w:t>
      </w:r>
      <w:r>
        <w:rPr>
          <w:rFonts w:ascii="Work Sans" w:hAnsi="Work Sans" w:cs="Arial"/>
          <w:i/>
          <w:sz w:val="18"/>
          <w:szCs w:val="18"/>
          <w:lang w:val="es"/>
        </w:rPr>
        <w:t>ión de peaje Aburrá, según lo establecido en la Resolución No. 20213040018155 del 30 de abril de 2021 del Ministerio de Trasporte.</w:t>
      </w:r>
    </w:p>
    <w:p w14:paraId="13F13723" w14:textId="77777777" w:rsidR="00FB7BC4" w:rsidRDefault="00FB7BC4">
      <w:pPr>
        <w:autoSpaceDE w:val="0"/>
        <w:ind w:left="426" w:right="623"/>
        <w:jc w:val="both"/>
        <w:rPr>
          <w:rFonts w:ascii="Work Sans" w:hAnsi="Work Sans" w:cs="Arial"/>
          <w:i/>
          <w:sz w:val="18"/>
          <w:szCs w:val="18"/>
          <w:lang w:val="es"/>
        </w:rPr>
      </w:pPr>
    </w:p>
    <w:p w14:paraId="27DCFCB4" w14:textId="77777777" w:rsidR="00FB7BC4" w:rsidRDefault="00C51BDF">
      <w:pPr>
        <w:pStyle w:val="Default"/>
        <w:ind w:left="426" w:right="623"/>
        <w:jc w:val="both"/>
      </w:pPr>
      <w:r>
        <w:rPr>
          <w:rFonts w:ascii="Work Sans" w:hAnsi="Work Sans" w:cs="Arial"/>
          <w:i/>
          <w:color w:val="auto"/>
          <w:kern w:val="3"/>
          <w:sz w:val="18"/>
          <w:szCs w:val="18"/>
          <w:lang w:val="es" w:bidi="hi-IN"/>
        </w:rPr>
        <w:t>Por lo anterior, en cumplimiento de lo establecido en el Contrato de Concesión No. 014 de 2015 y la Resolución No. 202130400</w:t>
      </w:r>
      <w:r>
        <w:rPr>
          <w:rFonts w:ascii="Work Sans" w:hAnsi="Work Sans" w:cs="Arial"/>
          <w:i/>
          <w:color w:val="auto"/>
          <w:kern w:val="3"/>
          <w:sz w:val="18"/>
          <w:szCs w:val="18"/>
          <w:lang w:val="es" w:bidi="hi-IN"/>
        </w:rPr>
        <w:t xml:space="preserve">18155 del 30 de abril de 2021 del Ministerio de Trasporte, el Concesionario DEVIMAR S.A.S., a través del radicado ANI No. 20224090014372 del 6 de enero de 2022 y alcance con radicado ANI No. </w:t>
      </w:r>
      <w:r>
        <w:rPr>
          <w:rFonts w:ascii="Work Sans" w:hAnsi="Work Sans" w:cs="Arial"/>
          <w:i/>
          <w:color w:val="auto"/>
          <w:kern w:val="3"/>
          <w:sz w:val="18"/>
          <w:szCs w:val="18"/>
          <w:lang w:val="es" w:bidi="hi-IN"/>
        </w:rPr>
        <w:lastRenderedPageBreak/>
        <w:t xml:space="preserve">20224090019862 del 7 de enero de 2022, procedió a presentar a la </w:t>
      </w:r>
      <w:r>
        <w:rPr>
          <w:rFonts w:ascii="Work Sans" w:hAnsi="Work Sans" w:cs="Arial"/>
          <w:i/>
          <w:color w:val="auto"/>
          <w:kern w:val="3"/>
          <w:sz w:val="18"/>
          <w:szCs w:val="18"/>
          <w:lang w:val="es" w:bidi="hi-IN"/>
        </w:rPr>
        <w:t xml:space="preserve">Agencia </w:t>
      </w:r>
      <w:r>
        <w:rPr>
          <w:rFonts w:ascii="Work Sans" w:hAnsi="Work Sans"/>
          <w:i/>
          <w:color w:val="auto"/>
          <w:kern w:val="3"/>
          <w:sz w:val="18"/>
          <w:szCs w:val="18"/>
          <w:lang w:val="es" w:bidi="hi-IN"/>
        </w:rPr>
        <w:t>la actualización de la estructura tarifaria que sería aplicada en la estación de peaje Aburrá del Proyecto de Concesión Vial Autopista al Mar 1 a partir del 16 de enero de 2022, tarifas que fueron no objetadas por la Interventoría Consorcio EPSILON</w:t>
      </w:r>
      <w:r>
        <w:rPr>
          <w:rFonts w:ascii="Work Sans" w:hAnsi="Work Sans"/>
          <w:i/>
          <w:color w:val="auto"/>
          <w:kern w:val="3"/>
          <w:sz w:val="18"/>
          <w:szCs w:val="18"/>
          <w:lang w:val="es" w:bidi="hi-IN"/>
        </w:rPr>
        <w:t xml:space="preserve"> 4G mediante el comunicado radicado ANI No. 20224090020132 del 7 de enero de 2022.</w:t>
      </w:r>
    </w:p>
    <w:p w14:paraId="63D747B3" w14:textId="77777777" w:rsidR="00FB7BC4" w:rsidRDefault="00FB7BC4">
      <w:pPr>
        <w:pStyle w:val="Default"/>
        <w:ind w:left="426" w:right="623"/>
        <w:jc w:val="both"/>
        <w:rPr>
          <w:rFonts w:ascii="Work Sans" w:hAnsi="Work Sans"/>
          <w:i/>
          <w:color w:val="auto"/>
          <w:kern w:val="3"/>
          <w:sz w:val="18"/>
          <w:szCs w:val="18"/>
          <w:lang w:val="es" w:bidi="hi-IN"/>
        </w:rPr>
      </w:pPr>
    </w:p>
    <w:p w14:paraId="54E694B6" w14:textId="77777777" w:rsidR="00FB7BC4" w:rsidRDefault="00C51BDF">
      <w:pPr>
        <w:pStyle w:val="Default"/>
        <w:ind w:left="426" w:right="623"/>
        <w:jc w:val="both"/>
      </w:pPr>
      <w:r>
        <w:rPr>
          <w:rFonts w:ascii="Work Sans" w:hAnsi="Work Sans"/>
          <w:i/>
          <w:color w:val="auto"/>
          <w:kern w:val="3"/>
          <w:sz w:val="18"/>
          <w:szCs w:val="18"/>
          <w:lang w:val="es" w:bidi="hi-IN"/>
        </w:rPr>
        <w:t>Con base en lo anterior, a continuación se presenta una tabla donde se discrimina la estructura tarifaria que se aplicó en el 2021 y la estructura tarifaria que se aplicarí</w:t>
      </w:r>
      <w:r>
        <w:rPr>
          <w:rFonts w:ascii="Work Sans" w:hAnsi="Work Sans"/>
          <w:i/>
          <w:color w:val="auto"/>
          <w:kern w:val="3"/>
          <w:sz w:val="18"/>
          <w:szCs w:val="18"/>
          <w:lang w:val="es" w:bidi="hi-IN"/>
        </w:rPr>
        <w:t>a para el año 2022</w:t>
      </w:r>
      <w:r>
        <w:rPr>
          <w:rFonts w:ascii="Arial Narrow" w:hAnsi="Arial Narrow"/>
          <w:color w:val="auto"/>
          <w:kern w:val="3"/>
          <w:sz w:val="18"/>
          <w:szCs w:val="18"/>
          <w:lang w:val="es" w:bidi="hi-IN"/>
        </w:rPr>
        <w:t>:</w:t>
      </w:r>
    </w:p>
    <w:p w14:paraId="2CE3FF88" w14:textId="77777777" w:rsidR="00FB7BC4" w:rsidRDefault="00FB7BC4">
      <w:pPr>
        <w:pStyle w:val="Default"/>
        <w:jc w:val="both"/>
        <w:rPr>
          <w:color w:val="auto"/>
          <w:kern w:val="3"/>
          <w:sz w:val="18"/>
          <w:szCs w:val="18"/>
          <w:lang w:val="es" w:bidi="hi-IN"/>
        </w:rPr>
      </w:pPr>
    </w:p>
    <w:tbl>
      <w:tblPr>
        <w:tblW w:w="5139" w:type="pct"/>
        <w:jc w:val="center"/>
        <w:tblLayout w:type="fixed"/>
        <w:tblCellMar>
          <w:left w:w="10" w:type="dxa"/>
          <w:right w:w="10" w:type="dxa"/>
        </w:tblCellMar>
        <w:tblLook w:val="0000" w:firstRow="0" w:lastRow="0" w:firstColumn="0" w:lastColumn="0" w:noHBand="0" w:noVBand="0"/>
      </w:tblPr>
      <w:tblGrid>
        <w:gridCol w:w="848"/>
        <w:gridCol w:w="571"/>
        <w:gridCol w:w="564"/>
        <w:gridCol w:w="988"/>
        <w:gridCol w:w="589"/>
        <w:gridCol w:w="831"/>
        <w:gridCol w:w="991"/>
        <w:gridCol w:w="863"/>
        <w:gridCol w:w="851"/>
        <w:gridCol w:w="837"/>
        <w:gridCol w:w="856"/>
      </w:tblGrid>
      <w:tr w:rsidR="00FB7BC4" w14:paraId="734CBDD9" w14:textId="77777777">
        <w:tblPrEx>
          <w:tblCellMar>
            <w:top w:w="0" w:type="dxa"/>
            <w:bottom w:w="0" w:type="dxa"/>
          </w:tblCellMar>
        </w:tblPrEx>
        <w:trPr>
          <w:trHeight w:val="844"/>
          <w:jc w:val="center"/>
        </w:trPr>
        <w:tc>
          <w:tcPr>
            <w:tcW w:w="848" w:type="dxa"/>
            <w:tcBorders>
              <w:top w:val="single" w:sz="4" w:space="0" w:color="000000"/>
              <w:left w:val="single" w:sz="4"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1CED016"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CATEGORÍA</w:t>
            </w:r>
          </w:p>
        </w:tc>
        <w:tc>
          <w:tcPr>
            <w:tcW w:w="571"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611A101"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TARIFA PLENA 2021</w:t>
            </w:r>
          </w:p>
        </w:tc>
        <w:tc>
          <w:tcPr>
            <w:tcW w:w="56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D5A6200"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FOSEVI 2021</w:t>
            </w:r>
          </w:p>
        </w:tc>
        <w:tc>
          <w:tcPr>
            <w:tcW w:w="988"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F6E9481"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TARIFA PLENA 2021 ANTES DE FOSEVI</w:t>
            </w:r>
          </w:p>
        </w:tc>
        <w:tc>
          <w:tcPr>
            <w:tcW w:w="589"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0441865"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IPC DIC 2020</w:t>
            </w:r>
          </w:p>
        </w:tc>
        <w:tc>
          <w:tcPr>
            <w:tcW w:w="831"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689429"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IPC DIC 2021</w:t>
            </w:r>
          </w:p>
        </w:tc>
        <w:tc>
          <w:tcPr>
            <w:tcW w:w="991"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A08CEF2"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INDICE DE ACTUALIZACIÓN</w:t>
            </w:r>
          </w:p>
        </w:tc>
        <w:tc>
          <w:tcPr>
            <w:tcW w:w="863"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EF81146"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TARIFA BASE 2022</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DBB91E8"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FOSEVI 2022</w:t>
            </w:r>
          </w:p>
        </w:tc>
        <w:tc>
          <w:tcPr>
            <w:tcW w:w="837"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FD94534"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TARIFA BASE + FOSEVI 2022</w:t>
            </w:r>
          </w:p>
        </w:tc>
        <w:tc>
          <w:tcPr>
            <w:tcW w:w="856" w:type="dxa"/>
            <w:tcBorders>
              <w:top w:val="single" w:sz="4"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vAlign w:val="center"/>
          </w:tcPr>
          <w:p w14:paraId="3D40A027" w14:textId="77777777" w:rsidR="00FB7BC4" w:rsidRDefault="00C51BDF">
            <w:pPr>
              <w:jc w:val="center"/>
              <w:rPr>
                <w:rFonts w:ascii="Arial Narrow" w:hAnsi="Arial Narrow" w:cs="Calibri"/>
                <w:b/>
                <w:bCs/>
                <w:color w:val="000000"/>
                <w:sz w:val="18"/>
                <w:szCs w:val="18"/>
                <w:lang w:val="es-CO" w:eastAsia="es-CO"/>
              </w:rPr>
            </w:pPr>
            <w:r>
              <w:rPr>
                <w:rFonts w:ascii="Arial Narrow" w:hAnsi="Arial Narrow" w:cs="Calibri"/>
                <w:b/>
                <w:bCs/>
                <w:color w:val="000000"/>
                <w:sz w:val="18"/>
                <w:szCs w:val="18"/>
                <w:lang w:val="es-CO" w:eastAsia="es-CO"/>
              </w:rPr>
              <w:t>TARIFA 2022 AJUSTADA A LA CENTENA</w:t>
            </w:r>
          </w:p>
        </w:tc>
      </w:tr>
      <w:tr w:rsidR="00FB7BC4" w14:paraId="78A95C99"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21C2B2F" w14:textId="77777777" w:rsidR="00FB7BC4" w:rsidRDefault="00C51BDF">
            <w:pPr>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CAT I</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B1A5E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$17.100</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3377EF7"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333</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130EABF7"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$ 16.767 </w:t>
            </w: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4E7DB3A"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DD21843"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FF99429"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4B5D038"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$ 17.710 </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E01E0B1"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352 </w:t>
            </w:r>
          </w:p>
        </w:tc>
        <w:tc>
          <w:tcPr>
            <w:tcW w:w="83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1915B2C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18.061 </w:t>
            </w:r>
          </w:p>
        </w:tc>
        <w:tc>
          <w:tcPr>
            <w:tcW w:w="85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center"/>
          </w:tcPr>
          <w:p w14:paraId="70794DC4"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$ 18.100 </w:t>
            </w:r>
          </w:p>
        </w:tc>
      </w:tr>
      <w:tr w:rsidR="00FB7BC4" w14:paraId="50152710"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1452584A" w14:textId="77777777" w:rsidR="00FB7BC4" w:rsidRDefault="00C51BDF">
            <w:pPr>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CAT II</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611C85B"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$19</w:t>
            </w:r>
            <w:r>
              <w:rPr>
                <w:rFonts w:ascii="Arial Narrow" w:hAnsi="Arial Narrow" w:cs="Calibri"/>
                <w:color w:val="000000"/>
                <w:sz w:val="12"/>
                <w:szCs w:val="12"/>
                <w:lang w:val="es-CO" w:eastAsia="es-CO"/>
              </w:rPr>
              <w:t>.300</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400ABF"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333</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AE92A5D"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$ 18.967 </w:t>
            </w: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E0AF79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5CA4D54"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D055CB2"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1C1CF97"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$ 20.033 </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3458CC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352</w:t>
            </w:r>
          </w:p>
        </w:tc>
        <w:tc>
          <w:tcPr>
            <w:tcW w:w="83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E37701C"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20.385 </w:t>
            </w:r>
          </w:p>
        </w:tc>
        <w:tc>
          <w:tcPr>
            <w:tcW w:w="85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center"/>
          </w:tcPr>
          <w:p w14:paraId="6FD4C1A1"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$ 20.400 </w:t>
            </w:r>
          </w:p>
        </w:tc>
      </w:tr>
      <w:tr w:rsidR="00FB7BC4" w14:paraId="7DC3BD11"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688681A" w14:textId="77777777" w:rsidR="00FB7BC4" w:rsidRDefault="00C51BDF">
            <w:pPr>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CAT III</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0E9EBD"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$42.100</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DEC84B7"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333</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5AC21F7"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$ 41.767</w:t>
            </w: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79FF77F"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EE672CA"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19CE9D4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6757ECC"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$ 44.115 </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48E1A33"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352</w:t>
            </w:r>
          </w:p>
        </w:tc>
        <w:tc>
          <w:tcPr>
            <w:tcW w:w="83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A8FD1F2"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44.467 </w:t>
            </w:r>
          </w:p>
        </w:tc>
        <w:tc>
          <w:tcPr>
            <w:tcW w:w="85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center"/>
          </w:tcPr>
          <w:p w14:paraId="5A760C53"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$ 44.500 </w:t>
            </w:r>
          </w:p>
        </w:tc>
      </w:tr>
      <w:tr w:rsidR="00FB7BC4" w14:paraId="529C948E"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9392B1D" w14:textId="77777777" w:rsidR="00FB7BC4" w:rsidRDefault="00C51BDF">
            <w:pPr>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CAT IV</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137CDC8"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$54</w:t>
            </w:r>
            <w:r>
              <w:rPr>
                <w:rFonts w:ascii="Arial Narrow" w:hAnsi="Arial Narrow" w:cs="Calibri"/>
                <w:color w:val="000000"/>
                <w:sz w:val="12"/>
                <w:szCs w:val="12"/>
                <w:lang w:val="es-CO" w:eastAsia="es-CO"/>
              </w:rPr>
              <w:t>.800</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DE27C1"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333</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9A7F67F"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$ 54.467 </w:t>
            </w: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BA85434"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3B34893"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FF408A3"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FFC623B"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$ 57.529 </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0514595"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352</w:t>
            </w:r>
          </w:p>
        </w:tc>
        <w:tc>
          <w:tcPr>
            <w:tcW w:w="83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8E717E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57.881 </w:t>
            </w:r>
          </w:p>
        </w:tc>
        <w:tc>
          <w:tcPr>
            <w:tcW w:w="85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center"/>
          </w:tcPr>
          <w:p w14:paraId="048DE526"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$ 57.900 </w:t>
            </w:r>
          </w:p>
        </w:tc>
      </w:tr>
      <w:tr w:rsidR="00FB7BC4" w14:paraId="78C343E3"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BFBFCCD" w14:textId="77777777" w:rsidR="00FB7BC4" w:rsidRDefault="00C51BDF">
            <w:pPr>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CAT V</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1E2FEB"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$65.500</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213658"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333</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72E9E12"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$ 65.167 </w:t>
            </w: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272D2AF"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A095B9D"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40C8048"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EA239B9"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$ 68.831 </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08D59C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352</w:t>
            </w:r>
          </w:p>
        </w:tc>
        <w:tc>
          <w:tcPr>
            <w:tcW w:w="83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9BB0762"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69.182 </w:t>
            </w:r>
          </w:p>
        </w:tc>
        <w:tc>
          <w:tcPr>
            <w:tcW w:w="85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center"/>
          </w:tcPr>
          <w:p w14:paraId="67170261"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$ 69.200 </w:t>
            </w:r>
          </w:p>
        </w:tc>
      </w:tr>
      <w:tr w:rsidR="00FB7BC4" w14:paraId="0183035B"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61056F2" w14:textId="77777777" w:rsidR="00FB7BC4" w:rsidRDefault="00C51BDF">
            <w:pPr>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Eje adicio</w:t>
            </w:r>
            <w:r>
              <w:rPr>
                <w:rFonts w:ascii="Arial Narrow" w:hAnsi="Arial Narrow" w:cs="Calibri"/>
                <w:color w:val="000000"/>
                <w:sz w:val="12"/>
                <w:szCs w:val="12"/>
                <w:lang w:val="es-CO" w:eastAsia="es-CO"/>
              </w:rPr>
              <w:t>nal</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BE468F0"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$6.600</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9AB61A"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E48C11D"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6.600 </w:t>
            </w: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8253BD2"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774A94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18FC9CA"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43D038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6.971 </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3BE28C4"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w:t>
            </w:r>
          </w:p>
        </w:tc>
        <w:tc>
          <w:tcPr>
            <w:tcW w:w="83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12EBA4D"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6.971 </w:t>
            </w:r>
          </w:p>
        </w:tc>
        <w:tc>
          <w:tcPr>
            <w:tcW w:w="85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center"/>
          </w:tcPr>
          <w:p w14:paraId="38ADE04F"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7.000 </w:t>
            </w:r>
          </w:p>
        </w:tc>
      </w:tr>
      <w:tr w:rsidR="00FB7BC4" w14:paraId="3F9D9AB0"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1A246692" w14:textId="77777777" w:rsidR="00FB7BC4" w:rsidRDefault="00C51BDF">
            <w:pPr>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CAT I E</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17F9E79"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$2.000</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EF461D"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333</w:t>
            </w:r>
          </w:p>
        </w:tc>
        <w:tc>
          <w:tcPr>
            <w:tcW w:w="988"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1618091"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$ 1.667 </w:t>
            </w:r>
          </w:p>
        </w:tc>
        <w:tc>
          <w:tcPr>
            <w:tcW w:w="58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48E26F3"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C78FDCF"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8ADDD9E"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11BD422"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$ 2.648 </w:t>
            </w:r>
          </w:p>
        </w:tc>
        <w:tc>
          <w:tcPr>
            <w:tcW w:w="85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3A5FF1C"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352 </w:t>
            </w:r>
          </w:p>
        </w:tc>
        <w:tc>
          <w:tcPr>
            <w:tcW w:w="837"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2389816"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3.000 </w:t>
            </w:r>
          </w:p>
        </w:tc>
        <w:tc>
          <w:tcPr>
            <w:tcW w:w="85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70" w:type="dxa"/>
              <w:bottom w:w="0" w:type="dxa"/>
              <w:right w:w="70" w:type="dxa"/>
            </w:tcMar>
            <w:vAlign w:val="center"/>
          </w:tcPr>
          <w:p w14:paraId="502F3F56"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3.000 </w:t>
            </w:r>
          </w:p>
        </w:tc>
      </w:tr>
      <w:tr w:rsidR="00FB7BC4" w14:paraId="603A7617" w14:textId="77777777">
        <w:tblPrEx>
          <w:tblCellMar>
            <w:top w:w="0" w:type="dxa"/>
            <w:bottom w:w="0" w:type="dxa"/>
          </w:tblCellMar>
        </w:tblPrEx>
        <w:trPr>
          <w:trHeight w:val="281"/>
          <w:jc w:val="center"/>
        </w:trPr>
        <w:tc>
          <w:tcPr>
            <w:tcW w:w="848"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70" w:type="dxa"/>
              <w:bottom w:w="0" w:type="dxa"/>
              <w:right w:w="70" w:type="dxa"/>
            </w:tcMar>
            <w:vAlign w:val="center"/>
          </w:tcPr>
          <w:p w14:paraId="1C44379E" w14:textId="77777777" w:rsidR="00FB7BC4" w:rsidRDefault="00C51BDF">
            <w:r>
              <w:rPr>
                <w:rFonts w:ascii="Arial Narrow" w:hAnsi="Arial Narrow" w:cs="Calibri"/>
                <w:color w:val="000000"/>
                <w:sz w:val="12"/>
                <w:szCs w:val="12"/>
                <w:lang w:val="es-CO" w:eastAsia="es-CO"/>
              </w:rPr>
              <w:t>CAT II E</w:t>
            </w:r>
          </w:p>
        </w:tc>
        <w:tc>
          <w:tcPr>
            <w:tcW w:w="57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14:paraId="00166E89"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$2.200</w:t>
            </w:r>
          </w:p>
        </w:tc>
        <w:tc>
          <w:tcPr>
            <w:tcW w:w="564"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14:paraId="779B31D7"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333</w:t>
            </w:r>
          </w:p>
        </w:tc>
        <w:tc>
          <w:tcPr>
            <w:tcW w:w="988"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center"/>
          </w:tcPr>
          <w:p w14:paraId="17D40E87" w14:textId="77777777" w:rsidR="00FB7BC4" w:rsidRDefault="00C51BDF">
            <w:pPr>
              <w:jc w:val="right"/>
            </w:pPr>
            <w:r>
              <w:rPr>
                <w:rFonts w:ascii="Arial Narrow" w:hAnsi="Arial Narrow" w:cs="Calibri"/>
                <w:color w:val="000000"/>
                <w:sz w:val="12"/>
                <w:szCs w:val="12"/>
                <w:lang w:val="es-CO" w:eastAsia="es-CO"/>
              </w:rPr>
              <w:t xml:space="preserve">               $ 1.867 </w:t>
            </w:r>
          </w:p>
        </w:tc>
        <w:tc>
          <w:tcPr>
            <w:tcW w:w="589"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14:paraId="3D3E1740"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105,48</w:t>
            </w:r>
          </w:p>
        </w:tc>
        <w:tc>
          <w:tcPr>
            <w:tcW w:w="831" w:type="dxa"/>
            <w:tcBorders>
              <w:top w:val="single" w:sz="6"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vAlign w:val="center"/>
          </w:tcPr>
          <w:p w14:paraId="120ED3A9"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111,41</w:t>
            </w:r>
          </w:p>
        </w:tc>
        <w:tc>
          <w:tcPr>
            <w:tcW w:w="99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center"/>
          </w:tcPr>
          <w:p w14:paraId="5DDAB2F7" w14:textId="77777777" w:rsidR="00FB7BC4" w:rsidRDefault="00C51BDF">
            <w:pPr>
              <w:jc w:val="right"/>
            </w:pPr>
            <w:r>
              <w:rPr>
                <w:rFonts w:ascii="Arial Narrow" w:hAnsi="Arial Narrow" w:cs="Calibri"/>
                <w:color w:val="000000"/>
                <w:sz w:val="12"/>
                <w:szCs w:val="12"/>
                <w:lang w:val="es-CO" w:eastAsia="es-CO"/>
              </w:rPr>
              <w:t>1,0562</w:t>
            </w:r>
          </w:p>
        </w:tc>
        <w:tc>
          <w:tcPr>
            <w:tcW w:w="86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center"/>
          </w:tcPr>
          <w:p w14:paraId="2A108CE4"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$ 2.948 </w:t>
            </w:r>
          </w:p>
        </w:tc>
        <w:tc>
          <w:tcPr>
            <w:tcW w:w="85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center"/>
          </w:tcPr>
          <w:p w14:paraId="57F9D487"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352</w:t>
            </w:r>
          </w:p>
        </w:tc>
        <w:tc>
          <w:tcPr>
            <w:tcW w:w="837"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70" w:type="dxa"/>
              <w:bottom w:w="0" w:type="dxa"/>
              <w:right w:w="70" w:type="dxa"/>
            </w:tcMar>
            <w:vAlign w:val="center"/>
          </w:tcPr>
          <w:p w14:paraId="265B26BF"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3.300 </w:t>
            </w:r>
          </w:p>
        </w:tc>
        <w:tc>
          <w:tcPr>
            <w:tcW w:w="856"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EA2FDA" w14:textId="77777777" w:rsidR="00FB7BC4" w:rsidRDefault="00C51BDF">
            <w:pPr>
              <w:jc w:val="right"/>
              <w:rPr>
                <w:rFonts w:ascii="Arial Narrow" w:hAnsi="Arial Narrow" w:cs="Calibri"/>
                <w:color w:val="000000"/>
                <w:sz w:val="12"/>
                <w:szCs w:val="12"/>
                <w:lang w:val="es-CO" w:eastAsia="es-CO"/>
              </w:rPr>
            </w:pPr>
            <w:r>
              <w:rPr>
                <w:rFonts w:ascii="Arial Narrow" w:hAnsi="Arial Narrow" w:cs="Calibri"/>
                <w:color w:val="000000"/>
                <w:sz w:val="12"/>
                <w:szCs w:val="12"/>
                <w:lang w:val="es-CO" w:eastAsia="es-CO"/>
              </w:rPr>
              <w:t xml:space="preserve">        $   3.300 </w:t>
            </w:r>
          </w:p>
        </w:tc>
      </w:tr>
    </w:tbl>
    <w:p w14:paraId="3DD13D87" w14:textId="77777777" w:rsidR="00FB7BC4" w:rsidRDefault="00FB7BC4">
      <w:pPr>
        <w:pStyle w:val="Default"/>
        <w:jc w:val="both"/>
        <w:rPr>
          <w:rFonts w:ascii="Arial" w:hAnsi="Arial" w:cs="Arial"/>
          <w:color w:val="auto"/>
          <w:kern w:val="3"/>
          <w:sz w:val="20"/>
          <w:szCs w:val="20"/>
          <w:lang w:val="es" w:bidi="hi-IN"/>
        </w:rPr>
      </w:pPr>
    </w:p>
    <w:p w14:paraId="1F323079" w14:textId="77777777" w:rsidR="00FB7BC4" w:rsidRDefault="00C51BDF">
      <w:pPr>
        <w:autoSpaceDE w:val="0"/>
        <w:ind w:left="426" w:right="481"/>
        <w:jc w:val="both"/>
        <w:rPr>
          <w:rFonts w:ascii="Work Sans" w:hAnsi="Work Sans" w:cs="Arial"/>
          <w:i/>
          <w:sz w:val="18"/>
          <w:szCs w:val="18"/>
          <w:lang w:val="es"/>
        </w:rPr>
      </w:pPr>
      <w:r>
        <w:rPr>
          <w:rFonts w:ascii="Work Sans" w:hAnsi="Work Sans" w:cs="Arial"/>
          <w:i/>
          <w:sz w:val="18"/>
          <w:szCs w:val="18"/>
          <w:lang w:val="es"/>
        </w:rPr>
        <w:t>Se eviden</w:t>
      </w:r>
      <w:r>
        <w:rPr>
          <w:rFonts w:ascii="Work Sans" w:hAnsi="Work Sans" w:cs="Arial"/>
          <w:i/>
          <w:sz w:val="18"/>
          <w:szCs w:val="18"/>
          <w:lang w:val="es"/>
        </w:rPr>
        <w:t>cia entonces que el incremento de las tarifas diferenciales, aplicándose la fórmula de la citada Resolución, reflejan un incremento por cambio de año del 50%, al pasar de $2.000 a $3.000 (incluido FOSEVI) y de $ 2.200 a $ 3.300 (incluido FOSEVI) para las c</w:t>
      </w:r>
      <w:r>
        <w:rPr>
          <w:rFonts w:ascii="Work Sans" w:hAnsi="Work Sans" w:cs="Arial"/>
          <w:i/>
          <w:sz w:val="18"/>
          <w:szCs w:val="18"/>
          <w:lang w:val="es"/>
        </w:rPr>
        <w:t>ategorías CAT IE y CAT IIE, respectivamente.</w:t>
      </w:r>
    </w:p>
    <w:p w14:paraId="637A4FEC" w14:textId="77777777" w:rsidR="00FB7BC4" w:rsidRDefault="00FB7BC4">
      <w:pPr>
        <w:ind w:left="426" w:right="481"/>
        <w:jc w:val="both"/>
        <w:rPr>
          <w:rFonts w:ascii="Work Sans" w:hAnsi="Work Sans" w:cs="Arial"/>
          <w:i/>
          <w:sz w:val="18"/>
          <w:szCs w:val="18"/>
          <w:lang w:val="es"/>
        </w:rPr>
      </w:pPr>
    </w:p>
    <w:p w14:paraId="6658F2E3" w14:textId="77777777" w:rsidR="00FB7BC4" w:rsidRDefault="00C51BDF">
      <w:pPr>
        <w:ind w:left="426" w:right="481"/>
        <w:jc w:val="both"/>
        <w:rPr>
          <w:rFonts w:ascii="Work Sans" w:eastAsia="Arial Narrow" w:hAnsi="Work Sans" w:cs="Arial Narrow"/>
          <w:i/>
          <w:sz w:val="18"/>
          <w:szCs w:val="18"/>
          <w:lang w:val="es"/>
        </w:rPr>
      </w:pPr>
      <w:r>
        <w:rPr>
          <w:rFonts w:ascii="Work Sans" w:eastAsia="Arial Narrow" w:hAnsi="Work Sans" w:cs="Arial Narrow"/>
          <w:i/>
          <w:sz w:val="18"/>
          <w:szCs w:val="18"/>
          <w:lang w:val="es"/>
        </w:rPr>
        <w:t>Sin embargo, de aplicarse la fórmula del contrato de concesión APP 014 de 2015, Parte Especial numeral 4.2 Estructura Tarifaria, literal (c), que establece:</w:t>
      </w:r>
    </w:p>
    <w:p w14:paraId="7D6AECB7" w14:textId="77777777" w:rsidR="00FB7BC4" w:rsidRDefault="00C51BDF">
      <w:pPr>
        <w:ind w:left="426" w:right="481"/>
        <w:jc w:val="both"/>
        <w:rPr>
          <w:rFonts w:ascii="Work Sans" w:eastAsia="Arial Narrow" w:hAnsi="Work Sans" w:cs="Arial Narrow"/>
          <w:i/>
          <w:iCs/>
          <w:sz w:val="18"/>
          <w:szCs w:val="18"/>
          <w:lang w:val="es"/>
        </w:rPr>
      </w:pPr>
      <w:r>
        <w:rPr>
          <w:rFonts w:ascii="Work Sans" w:eastAsia="Arial Narrow" w:hAnsi="Work Sans" w:cs="Arial Narrow"/>
          <w:i/>
          <w:iCs/>
          <w:sz w:val="18"/>
          <w:szCs w:val="18"/>
          <w:lang w:val="es"/>
        </w:rPr>
        <w:t xml:space="preserve"> </w:t>
      </w:r>
    </w:p>
    <w:p w14:paraId="0A082B29" w14:textId="77777777" w:rsidR="00FB7BC4" w:rsidRDefault="00C51BDF">
      <w:pPr>
        <w:ind w:left="426" w:right="481"/>
        <w:jc w:val="center"/>
      </w:pPr>
      <w:r>
        <w:rPr>
          <w:rFonts w:ascii="Work Sans" w:eastAsia="Cambria Math" w:hAnsi="Work Sans" w:cs="Cambria Math"/>
          <w:i/>
          <w:iCs/>
          <w:color w:val="000000"/>
          <w:sz w:val="18"/>
          <w:szCs w:val="18"/>
          <w:lang w:val="es"/>
        </w:rPr>
        <w:t>“</w:t>
      </w:r>
      <w:r>
        <w:rPr>
          <w:rFonts w:ascii="Cambria Math" w:eastAsia="Cambria Math" w:hAnsi="Cambria Math" w:cs="Cambria Math"/>
          <w:i/>
          <w:iCs/>
          <w:color w:val="000000"/>
          <w:sz w:val="18"/>
          <w:szCs w:val="18"/>
          <w:lang w:val="es"/>
        </w:rPr>
        <w:t>𝑇𝑎𝑟𝑖𝑓𝑎𝑆𝑅𝑡</w:t>
      </w:r>
      <w:r>
        <w:rPr>
          <w:rFonts w:ascii="Work Sans" w:eastAsia="Arial Narrow" w:hAnsi="Work Sans" w:cs="Arial Narrow"/>
          <w:i/>
          <w:iCs/>
          <w:color w:val="000000"/>
          <w:sz w:val="18"/>
          <w:szCs w:val="18"/>
          <w:lang w:val="es"/>
        </w:rPr>
        <w:t xml:space="preserve"> = </w:t>
      </w:r>
      <w:r>
        <w:rPr>
          <w:rFonts w:ascii="Cambria Math" w:eastAsia="Cambria Math" w:hAnsi="Cambria Math" w:cs="Cambria Math"/>
          <w:i/>
          <w:iCs/>
          <w:color w:val="000000"/>
          <w:sz w:val="18"/>
          <w:szCs w:val="18"/>
          <w:lang w:val="es"/>
        </w:rPr>
        <w:t>𝑇𝑎𝑟𝑖𝑓𝑎𝑡</w:t>
      </w:r>
      <w:r>
        <w:rPr>
          <w:rFonts w:ascii="Work Sans" w:eastAsia="Arial Narrow" w:hAnsi="Work Sans" w:cs="Arial Narrow"/>
          <w:i/>
          <w:iCs/>
          <w:color w:val="000000"/>
          <w:sz w:val="18"/>
          <w:szCs w:val="18"/>
          <w:lang w:val="es"/>
        </w:rPr>
        <w:t>−</w:t>
      </w:r>
      <w:r>
        <w:rPr>
          <w:rFonts w:ascii="Work Sans" w:eastAsia="Arial Narrow" w:hAnsi="Work Sans" w:cs="Arial Narrow"/>
          <w:i/>
          <w:iCs/>
          <w:color w:val="000000"/>
          <w:sz w:val="18"/>
          <w:szCs w:val="18"/>
          <w:lang w:val="es"/>
        </w:rPr>
        <w:t xml:space="preserve">1 </w:t>
      </w:r>
      <w:r>
        <w:rPr>
          <w:rFonts w:ascii="Cambria Math" w:eastAsia="Cambria Math" w:hAnsi="Cambria Math" w:cs="Cambria Math"/>
          <w:i/>
          <w:iCs/>
          <w:color w:val="000000"/>
          <w:sz w:val="18"/>
          <w:szCs w:val="18"/>
          <w:lang w:val="es"/>
        </w:rPr>
        <w:t>∗</w:t>
      </w:r>
      <w:r>
        <w:rPr>
          <w:rFonts w:ascii="Work Sans" w:eastAsia="Arial Narrow" w:hAnsi="Work Sans" w:cs="Arial Narrow"/>
          <w:i/>
          <w:iCs/>
          <w:color w:val="000000"/>
          <w:sz w:val="18"/>
          <w:szCs w:val="18"/>
          <w:lang w:val="es"/>
        </w:rPr>
        <w:t xml:space="preserve"> (</w:t>
      </w:r>
      <w:r>
        <w:rPr>
          <w:rFonts w:ascii="Cambria Math" w:eastAsia="Cambria Math" w:hAnsi="Cambria Math" w:cs="Cambria Math"/>
          <w:i/>
          <w:iCs/>
          <w:color w:val="000000"/>
          <w:sz w:val="18"/>
          <w:szCs w:val="18"/>
          <w:lang w:val="es"/>
        </w:rPr>
        <w:t>𝐼𝑃𝐶𝑡</w:t>
      </w:r>
      <w:r>
        <w:rPr>
          <w:rFonts w:ascii="Work Sans" w:eastAsia="Arial Narrow" w:hAnsi="Work Sans" w:cs="Arial Narrow"/>
          <w:i/>
          <w:iCs/>
          <w:color w:val="000000"/>
          <w:sz w:val="18"/>
          <w:szCs w:val="18"/>
          <w:lang w:val="es"/>
        </w:rPr>
        <w:t>−</w:t>
      </w:r>
      <w:r>
        <w:rPr>
          <w:rFonts w:ascii="Work Sans" w:eastAsia="Arial Narrow" w:hAnsi="Work Sans" w:cs="Arial Narrow"/>
          <w:i/>
          <w:iCs/>
          <w:color w:val="000000"/>
          <w:sz w:val="18"/>
          <w:szCs w:val="18"/>
          <w:lang w:val="es"/>
        </w:rPr>
        <w:t>1</w:t>
      </w:r>
      <w:r>
        <w:rPr>
          <w:rFonts w:ascii="Cambria Math" w:eastAsia="Cambria Math" w:hAnsi="Cambria Math" w:cs="Cambria Math"/>
          <w:i/>
          <w:iCs/>
          <w:color w:val="000000"/>
          <w:sz w:val="18"/>
          <w:szCs w:val="18"/>
          <w:lang w:val="es"/>
        </w:rPr>
        <w:t>𝐼𝑃𝐶𝑡</w:t>
      </w:r>
      <w:r>
        <w:rPr>
          <w:rFonts w:ascii="Work Sans" w:eastAsia="Arial Narrow" w:hAnsi="Work Sans" w:cs="Arial Narrow"/>
          <w:i/>
          <w:iCs/>
          <w:color w:val="000000"/>
          <w:sz w:val="18"/>
          <w:szCs w:val="18"/>
          <w:lang w:val="es"/>
        </w:rPr>
        <w:t>−</w:t>
      </w:r>
      <w:r>
        <w:rPr>
          <w:rFonts w:ascii="Work Sans" w:eastAsia="Arial Narrow" w:hAnsi="Work Sans" w:cs="Arial Narrow"/>
          <w:i/>
          <w:iCs/>
          <w:color w:val="000000"/>
          <w:sz w:val="18"/>
          <w:szCs w:val="18"/>
          <w:lang w:val="es"/>
        </w:rPr>
        <w:t>2)</w:t>
      </w:r>
    </w:p>
    <w:p w14:paraId="766C6EFA" w14:textId="77777777" w:rsidR="00FB7BC4" w:rsidRDefault="00C51BDF">
      <w:pPr>
        <w:ind w:left="426" w:right="481"/>
        <w:jc w:val="both"/>
        <w:rPr>
          <w:rFonts w:ascii="Work Sans" w:eastAsia="Arial Narrow" w:hAnsi="Work Sans" w:cs="Arial Narrow"/>
          <w:i/>
          <w:iCs/>
          <w:color w:val="000000"/>
          <w:sz w:val="18"/>
          <w:szCs w:val="18"/>
          <w:lang w:val="es"/>
        </w:rPr>
      </w:pPr>
      <w:r>
        <w:rPr>
          <w:rFonts w:ascii="Work Sans" w:eastAsia="Arial Narrow" w:hAnsi="Work Sans" w:cs="Arial Narrow"/>
          <w:i/>
          <w:iCs/>
          <w:color w:val="000000"/>
          <w:sz w:val="18"/>
          <w:szCs w:val="18"/>
          <w:lang w:val="es"/>
        </w:rPr>
        <w:t xml:space="preserve"> </w:t>
      </w:r>
    </w:p>
    <w:p w14:paraId="38EA57AB" w14:textId="77777777" w:rsidR="00FB7BC4" w:rsidRDefault="00C51BDF">
      <w:pPr>
        <w:ind w:left="426" w:right="481"/>
        <w:jc w:val="both"/>
        <w:rPr>
          <w:rFonts w:ascii="Work Sans" w:eastAsia="Arial Narrow" w:hAnsi="Work Sans" w:cs="Arial Narrow"/>
          <w:i/>
          <w:iCs/>
          <w:color w:val="000000"/>
          <w:sz w:val="18"/>
          <w:szCs w:val="18"/>
          <w:lang w:val="es"/>
        </w:rPr>
      </w:pPr>
      <w:r>
        <w:rPr>
          <w:rFonts w:ascii="Work Sans" w:eastAsia="Arial Narrow" w:hAnsi="Work Sans" w:cs="Arial Narrow"/>
          <w:i/>
          <w:iCs/>
          <w:color w:val="000000"/>
          <w:sz w:val="18"/>
          <w:szCs w:val="18"/>
          <w:lang w:val="es"/>
        </w:rPr>
        <w:t>Donde,</w:t>
      </w:r>
    </w:p>
    <w:p w14:paraId="113215DD" w14:textId="77777777" w:rsidR="00FB7BC4" w:rsidRDefault="00C51BDF">
      <w:pPr>
        <w:ind w:left="426" w:right="481"/>
        <w:jc w:val="both"/>
        <w:rPr>
          <w:rFonts w:ascii="Work Sans" w:eastAsia="Arial Narrow" w:hAnsi="Work Sans" w:cs="Arial Narrow"/>
          <w:i/>
          <w:iCs/>
          <w:color w:val="000000"/>
          <w:sz w:val="18"/>
          <w:szCs w:val="18"/>
          <w:lang w:val="es"/>
        </w:rPr>
      </w:pPr>
      <w:r>
        <w:rPr>
          <w:rFonts w:ascii="Work Sans" w:eastAsia="Arial Narrow" w:hAnsi="Work Sans" w:cs="Arial Narrow"/>
          <w:i/>
          <w:iCs/>
          <w:color w:val="000000"/>
          <w:sz w:val="18"/>
          <w:szCs w:val="18"/>
          <w:lang w:val="es"/>
        </w:rPr>
        <w:t xml:space="preserve"> </w:t>
      </w:r>
    </w:p>
    <w:p w14:paraId="497D717D" w14:textId="77777777" w:rsidR="00FB7BC4" w:rsidRDefault="00C51BDF">
      <w:pPr>
        <w:ind w:left="426" w:right="481"/>
        <w:jc w:val="both"/>
      </w:pPr>
      <w:r>
        <w:rPr>
          <w:rFonts w:ascii="Cambria Math" w:eastAsia="Cambria Math" w:hAnsi="Cambria Math" w:cs="Cambria Math"/>
          <w:i/>
          <w:iCs/>
          <w:color w:val="000000"/>
          <w:sz w:val="18"/>
          <w:szCs w:val="18"/>
          <w:lang w:val="es"/>
        </w:rPr>
        <w:t>𝑇𝑎𝑟𝑖𝑓𝑎𝑆𝑅𝑡</w:t>
      </w:r>
      <w:r>
        <w:rPr>
          <w:rFonts w:ascii="Work Sans" w:eastAsia="Arial Narrow" w:hAnsi="Work Sans" w:cs="Arial Narrow"/>
          <w:i/>
          <w:iCs/>
          <w:color w:val="000000"/>
          <w:sz w:val="18"/>
          <w:szCs w:val="18"/>
          <w:lang w:val="es"/>
        </w:rPr>
        <w:t xml:space="preserve">= Para cada categoría de vehículos y cada Estación de Peaje es el valor de la Tarifa actualizada en Pesos corrientes del año t, sin el redondeo a la centena. </w:t>
      </w:r>
    </w:p>
    <w:p w14:paraId="6C7796B5" w14:textId="77777777" w:rsidR="00FB7BC4" w:rsidRDefault="00C51BDF">
      <w:pPr>
        <w:ind w:left="426" w:right="481"/>
        <w:jc w:val="both"/>
      </w:pPr>
      <w:r>
        <w:rPr>
          <w:rFonts w:ascii="Cambria Math" w:eastAsia="Cambria Math" w:hAnsi="Cambria Math" w:cs="Cambria Math"/>
          <w:i/>
          <w:iCs/>
          <w:color w:val="000000"/>
          <w:sz w:val="18"/>
          <w:szCs w:val="18"/>
          <w:lang w:val="es"/>
        </w:rPr>
        <w:t>𝑇𝑎𝑟𝑖𝑓𝑎𝑡</w:t>
      </w:r>
      <w:r>
        <w:rPr>
          <w:rFonts w:ascii="Work Sans" w:eastAsia="Arial Narrow" w:hAnsi="Work Sans" w:cs="Arial Narrow"/>
          <w:i/>
          <w:iCs/>
          <w:color w:val="000000"/>
          <w:sz w:val="18"/>
          <w:szCs w:val="18"/>
          <w:lang w:val="es"/>
        </w:rPr>
        <w:t>−</w:t>
      </w:r>
      <w:r>
        <w:rPr>
          <w:rFonts w:ascii="Work Sans" w:eastAsia="Arial Narrow" w:hAnsi="Work Sans" w:cs="Arial Narrow"/>
          <w:i/>
          <w:iCs/>
          <w:color w:val="000000"/>
          <w:sz w:val="18"/>
          <w:szCs w:val="18"/>
          <w:lang w:val="es"/>
        </w:rPr>
        <w:t>1= Corresponde a la tarifa cobr</w:t>
      </w:r>
      <w:r>
        <w:rPr>
          <w:rFonts w:ascii="Work Sans" w:eastAsia="Arial Narrow" w:hAnsi="Work Sans" w:cs="Arial Narrow"/>
          <w:i/>
          <w:iCs/>
          <w:color w:val="000000"/>
          <w:sz w:val="18"/>
          <w:szCs w:val="18"/>
          <w:lang w:val="es"/>
        </w:rPr>
        <w:t xml:space="preserve">ada al usuario del período inmediatamente anterior, restándole la tarifa del Fondo de Seguridad Vial (FSV) o cualquier sobretasa o similar que tenga destinación diferente al Proyecto, cobrada del año inmediatamente anterior. </w:t>
      </w:r>
    </w:p>
    <w:p w14:paraId="42DD96D7" w14:textId="77777777" w:rsidR="00FB7BC4" w:rsidRDefault="00C51BDF">
      <w:pPr>
        <w:ind w:left="426" w:right="481"/>
        <w:jc w:val="both"/>
      </w:pPr>
      <w:r>
        <w:rPr>
          <w:rFonts w:ascii="Cambria Math" w:eastAsia="Cambria Math" w:hAnsi="Cambria Math" w:cs="Cambria Math"/>
          <w:i/>
          <w:iCs/>
          <w:color w:val="000000"/>
          <w:sz w:val="18"/>
          <w:szCs w:val="18"/>
          <w:lang w:val="es"/>
        </w:rPr>
        <w:t>𝐼𝑃𝐶𝑡</w:t>
      </w:r>
      <w:r>
        <w:rPr>
          <w:rFonts w:ascii="Work Sans" w:eastAsia="Arial Narrow" w:hAnsi="Work Sans" w:cs="Arial Narrow"/>
          <w:i/>
          <w:iCs/>
          <w:color w:val="000000"/>
          <w:sz w:val="18"/>
          <w:szCs w:val="18"/>
          <w:lang w:val="es"/>
        </w:rPr>
        <w:t>−</w:t>
      </w:r>
      <w:r>
        <w:rPr>
          <w:rFonts w:ascii="Work Sans" w:eastAsia="Arial Narrow" w:hAnsi="Work Sans" w:cs="Arial Narrow"/>
          <w:i/>
          <w:iCs/>
          <w:color w:val="000000"/>
          <w:sz w:val="18"/>
          <w:szCs w:val="18"/>
          <w:lang w:val="es"/>
        </w:rPr>
        <w:t>1= IPC de diciembre d</w:t>
      </w:r>
      <w:r>
        <w:rPr>
          <w:rFonts w:ascii="Work Sans" w:eastAsia="Arial Narrow" w:hAnsi="Work Sans" w:cs="Arial Narrow"/>
          <w:i/>
          <w:iCs/>
          <w:color w:val="000000"/>
          <w:sz w:val="18"/>
          <w:szCs w:val="18"/>
          <w:lang w:val="es"/>
        </w:rPr>
        <w:t xml:space="preserve">el año inmediatamente anterior al año t de actualización.1 </w:t>
      </w:r>
    </w:p>
    <w:p w14:paraId="49F07DF6" w14:textId="77777777" w:rsidR="00FB7BC4" w:rsidRDefault="00C51BDF">
      <w:pPr>
        <w:ind w:left="426" w:right="481"/>
        <w:jc w:val="both"/>
      </w:pPr>
      <w:r>
        <w:rPr>
          <w:rFonts w:ascii="Cambria Math" w:eastAsia="Cambria Math" w:hAnsi="Cambria Math" w:cs="Cambria Math"/>
          <w:i/>
          <w:iCs/>
          <w:color w:val="000000"/>
          <w:sz w:val="18"/>
          <w:szCs w:val="18"/>
          <w:lang w:val="es"/>
        </w:rPr>
        <w:t>𝐼𝑃𝐶𝑡</w:t>
      </w:r>
      <w:r>
        <w:rPr>
          <w:rFonts w:ascii="Work Sans" w:eastAsia="Arial Narrow" w:hAnsi="Work Sans" w:cs="Arial Narrow"/>
          <w:i/>
          <w:iCs/>
          <w:color w:val="000000"/>
          <w:sz w:val="18"/>
          <w:szCs w:val="18"/>
          <w:lang w:val="es"/>
        </w:rPr>
        <w:t>−</w:t>
      </w:r>
      <w:r>
        <w:rPr>
          <w:rFonts w:ascii="Work Sans" w:eastAsia="Arial Narrow" w:hAnsi="Work Sans" w:cs="Arial Narrow"/>
          <w:i/>
          <w:iCs/>
          <w:color w:val="000000"/>
          <w:sz w:val="18"/>
          <w:szCs w:val="18"/>
          <w:lang w:val="es"/>
        </w:rPr>
        <w:t xml:space="preserve">2= IPC de diciembre del año inmediatamente anterior al año t-1 </w:t>
      </w:r>
    </w:p>
    <w:p w14:paraId="2A1D27A0" w14:textId="77777777" w:rsidR="00FB7BC4" w:rsidRDefault="00C51BDF">
      <w:pPr>
        <w:ind w:left="426" w:right="481"/>
        <w:jc w:val="both"/>
        <w:rPr>
          <w:rFonts w:ascii="Work Sans" w:eastAsia="Arial Narrow" w:hAnsi="Work Sans" w:cs="Arial Narrow"/>
          <w:i/>
          <w:iCs/>
          <w:color w:val="000000"/>
          <w:sz w:val="18"/>
          <w:szCs w:val="18"/>
          <w:lang w:val="es"/>
        </w:rPr>
      </w:pPr>
      <w:r>
        <w:rPr>
          <w:rFonts w:ascii="Work Sans" w:eastAsia="Arial Narrow" w:hAnsi="Work Sans" w:cs="Arial Narrow"/>
          <w:i/>
          <w:iCs/>
          <w:color w:val="000000"/>
          <w:sz w:val="18"/>
          <w:szCs w:val="18"/>
          <w:lang w:val="es"/>
        </w:rPr>
        <w:t>t = Año de Actualización de la tarifa.</w:t>
      </w:r>
    </w:p>
    <w:p w14:paraId="3B85F620" w14:textId="77777777" w:rsidR="00FB7BC4" w:rsidRDefault="00C51BDF">
      <w:pPr>
        <w:ind w:left="426" w:right="481"/>
        <w:jc w:val="both"/>
        <w:rPr>
          <w:rFonts w:ascii="Work Sans" w:eastAsia="Arial Narrow" w:hAnsi="Work Sans" w:cs="Arial Narrow"/>
          <w:i/>
          <w:iCs/>
          <w:color w:val="000000"/>
          <w:sz w:val="18"/>
          <w:szCs w:val="18"/>
          <w:lang w:val="es"/>
        </w:rPr>
      </w:pPr>
      <w:r>
        <w:rPr>
          <w:rFonts w:ascii="Work Sans" w:eastAsia="Arial Narrow" w:hAnsi="Work Sans" w:cs="Arial Narrow"/>
          <w:i/>
          <w:iCs/>
          <w:color w:val="000000"/>
          <w:sz w:val="18"/>
          <w:szCs w:val="18"/>
          <w:lang w:val="es"/>
        </w:rPr>
        <w:t xml:space="preserve"> </w:t>
      </w:r>
    </w:p>
    <w:p w14:paraId="1D3FEAAA" w14:textId="77777777" w:rsidR="00FB7BC4" w:rsidRDefault="00C51BDF">
      <w:pPr>
        <w:ind w:left="426" w:right="481"/>
        <w:jc w:val="both"/>
      </w:pPr>
      <w:r>
        <w:rPr>
          <w:rFonts w:ascii="Work Sans" w:eastAsia="Arial Narrow" w:hAnsi="Work Sans" w:cs="Arial Narrow"/>
          <w:i/>
          <w:iCs/>
          <w:color w:val="000000"/>
          <w:sz w:val="18"/>
          <w:szCs w:val="18"/>
          <w:lang w:val="es"/>
        </w:rPr>
        <w:t xml:space="preserve">Determinada la </w:t>
      </w:r>
      <w:r>
        <w:rPr>
          <w:rFonts w:ascii="Cambria Math" w:eastAsia="Cambria Math" w:hAnsi="Cambria Math" w:cs="Cambria Math"/>
          <w:i/>
          <w:iCs/>
          <w:color w:val="000000"/>
          <w:sz w:val="18"/>
          <w:szCs w:val="18"/>
          <w:lang w:val="es"/>
        </w:rPr>
        <w:t>𝑇𝑎𝑟𝑖𝑓𝑎𝑆𝑅𝑡</w:t>
      </w:r>
      <w:r>
        <w:rPr>
          <w:rFonts w:ascii="Work Sans" w:eastAsia="Arial Narrow" w:hAnsi="Work Sans" w:cs="Arial Narrow"/>
          <w:i/>
          <w:iCs/>
          <w:color w:val="000000"/>
          <w:sz w:val="18"/>
          <w:szCs w:val="18"/>
          <w:lang w:val="es"/>
        </w:rPr>
        <w:t xml:space="preserve"> se procede a calcular la </w:t>
      </w:r>
      <w:r>
        <w:rPr>
          <w:rFonts w:ascii="Cambria Math" w:eastAsia="Cambria Math" w:hAnsi="Cambria Math" w:cs="Cambria Math"/>
          <w:i/>
          <w:iCs/>
          <w:color w:val="000000"/>
          <w:sz w:val="18"/>
          <w:szCs w:val="18"/>
          <w:lang w:val="es"/>
        </w:rPr>
        <w:t>𝑇𝑎𝑟𝑖𝑓𝑎𝑈𝑠𝑢𝑎𝑟</w:t>
      </w:r>
      <w:r>
        <w:rPr>
          <w:rFonts w:ascii="Cambria Math" w:eastAsia="Cambria Math" w:hAnsi="Cambria Math" w:cs="Cambria Math"/>
          <w:i/>
          <w:iCs/>
          <w:color w:val="000000"/>
          <w:sz w:val="18"/>
          <w:szCs w:val="18"/>
          <w:lang w:val="es"/>
        </w:rPr>
        <w:t>𝑖</w:t>
      </w:r>
      <w:r>
        <w:rPr>
          <w:rFonts w:ascii="Cambria Math" w:eastAsia="Cambria Math" w:hAnsi="Cambria Math" w:cs="Cambria Math"/>
          <w:i/>
          <w:iCs/>
          <w:color w:val="000000"/>
          <w:sz w:val="18"/>
          <w:szCs w:val="18"/>
          <w:lang w:val="es"/>
        </w:rPr>
        <w:t>𝑜𝑡</w:t>
      </w:r>
      <w:r>
        <w:rPr>
          <w:rFonts w:ascii="Work Sans" w:eastAsia="Arial Narrow" w:hAnsi="Work Sans" w:cs="Arial Narrow"/>
          <w:i/>
          <w:iCs/>
          <w:color w:val="000000"/>
          <w:sz w:val="18"/>
          <w:szCs w:val="18"/>
          <w:lang w:val="es"/>
        </w:rPr>
        <w:t xml:space="preserve"> adicionando la tasa correspondiente al Fondo de Seguridad Vial conforme a la fórmula prevista en la Sección 4.2(d) de la Parte Especial del Contrato de Concesión, según la cual: </w:t>
      </w:r>
    </w:p>
    <w:p w14:paraId="381A48B6" w14:textId="77777777" w:rsidR="00FB7BC4" w:rsidRDefault="00C51BDF">
      <w:pPr>
        <w:ind w:left="426" w:right="481"/>
        <w:jc w:val="both"/>
        <w:rPr>
          <w:rFonts w:ascii="Work Sans" w:eastAsia="Arial Narrow" w:hAnsi="Work Sans" w:cs="Arial Narrow"/>
          <w:i/>
          <w:iCs/>
          <w:sz w:val="18"/>
          <w:szCs w:val="18"/>
          <w:lang w:val="es"/>
        </w:rPr>
      </w:pPr>
      <w:r>
        <w:rPr>
          <w:rFonts w:ascii="Work Sans" w:eastAsia="Arial Narrow" w:hAnsi="Work Sans" w:cs="Arial Narrow"/>
          <w:i/>
          <w:iCs/>
          <w:sz w:val="18"/>
          <w:szCs w:val="18"/>
          <w:lang w:val="es"/>
        </w:rPr>
        <w:lastRenderedPageBreak/>
        <w:t xml:space="preserve"> </w:t>
      </w:r>
    </w:p>
    <w:p w14:paraId="6364367F" w14:textId="77777777" w:rsidR="00FB7BC4" w:rsidRDefault="00C51BDF">
      <w:pPr>
        <w:ind w:left="426" w:right="481"/>
        <w:jc w:val="center"/>
      </w:pPr>
      <w:r>
        <w:rPr>
          <w:rFonts w:ascii="Cambria Math" w:eastAsia="Cambria Math" w:hAnsi="Cambria Math" w:cs="Cambria Math"/>
          <w:i/>
          <w:iCs/>
          <w:sz w:val="18"/>
          <w:szCs w:val="18"/>
          <w:lang w:val="es"/>
        </w:rPr>
        <w:t>𝑇𝑎𝑟𝑖𝑓𝑎𝑈𝑠𝑢𝑎𝑟𝑖𝑜𝑡</w:t>
      </w:r>
      <w:r>
        <w:rPr>
          <w:rFonts w:ascii="Work Sans" w:eastAsia="Arial Narrow" w:hAnsi="Work Sans" w:cs="Arial Narrow"/>
          <w:i/>
          <w:iCs/>
          <w:sz w:val="18"/>
          <w:szCs w:val="18"/>
          <w:lang w:val="es"/>
        </w:rPr>
        <w:t xml:space="preserve"> = </w:t>
      </w:r>
      <w:r>
        <w:rPr>
          <w:rFonts w:ascii="Cambria Math" w:eastAsia="Cambria Math" w:hAnsi="Cambria Math" w:cs="Cambria Math"/>
          <w:i/>
          <w:iCs/>
          <w:sz w:val="18"/>
          <w:szCs w:val="18"/>
          <w:lang w:val="es"/>
        </w:rPr>
        <w:t>𝑅𝑒𝑑𝑜𝑛𝑑𝑒𝑜</w:t>
      </w:r>
      <w:r>
        <w:rPr>
          <w:rFonts w:ascii="Work Sans" w:eastAsia="Arial Narrow" w:hAnsi="Work Sans" w:cs="Arial Narrow"/>
          <w:i/>
          <w:iCs/>
          <w:sz w:val="18"/>
          <w:szCs w:val="18"/>
          <w:lang w:val="es"/>
        </w:rPr>
        <w:t xml:space="preserve"> 100 </w:t>
      </w:r>
      <w:r>
        <w:rPr>
          <w:rFonts w:ascii="Cambria Math" w:eastAsia="Cambria Math" w:hAnsi="Cambria Math" w:cs="Cambria Math"/>
          <w:i/>
          <w:iCs/>
          <w:sz w:val="18"/>
          <w:szCs w:val="18"/>
          <w:lang w:val="es"/>
        </w:rPr>
        <w:t>∗</w:t>
      </w:r>
      <w:r>
        <w:rPr>
          <w:rFonts w:ascii="Work Sans" w:eastAsia="Arial Narrow" w:hAnsi="Work Sans" w:cs="Arial Narrow"/>
          <w:i/>
          <w:iCs/>
          <w:sz w:val="18"/>
          <w:szCs w:val="18"/>
          <w:lang w:val="es"/>
        </w:rPr>
        <w:t xml:space="preserve"> (</w:t>
      </w:r>
      <w:r>
        <w:rPr>
          <w:rFonts w:ascii="Cambria Math" w:eastAsia="Cambria Math" w:hAnsi="Cambria Math" w:cs="Cambria Math"/>
          <w:i/>
          <w:iCs/>
          <w:sz w:val="18"/>
          <w:szCs w:val="18"/>
          <w:lang w:val="es"/>
        </w:rPr>
        <w:t>𝑇𝑎𝑟𝑖𝑓𝑎𝑆𝑅</w:t>
      </w:r>
      <w:r>
        <w:rPr>
          <w:rFonts w:ascii="Work Sans" w:eastAsia="Arial Narrow" w:hAnsi="Work Sans" w:cs="Arial Narrow"/>
          <w:i/>
          <w:iCs/>
          <w:sz w:val="18"/>
          <w:szCs w:val="18"/>
          <w:lang w:val="es"/>
        </w:rPr>
        <w:t xml:space="preserve"> </w:t>
      </w:r>
      <w:r>
        <w:rPr>
          <w:rFonts w:ascii="Cambria Math" w:eastAsia="Cambria Math" w:hAnsi="Cambria Math" w:cs="Cambria Math"/>
          <w:i/>
          <w:iCs/>
          <w:sz w:val="18"/>
          <w:szCs w:val="18"/>
          <w:lang w:val="es"/>
        </w:rPr>
        <w:t>𝑡</w:t>
      </w:r>
      <w:r>
        <w:rPr>
          <w:rFonts w:ascii="Work Sans" w:eastAsia="Arial Narrow" w:hAnsi="Work Sans" w:cs="Arial Narrow"/>
          <w:i/>
          <w:iCs/>
          <w:sz w:val="18"/>
          <w:szCs w:val="18"/>
          <w:lang w:val="es"/>
        </w:rPr>
        <w:t xml:space="preserve"> + </w:t>
      </w:r>
      <w:r>
        <w:rPr>
          <w:rFonts w:ascii="Cambria Math" w:eastAsia="Cambria Math" w:hAnsi="Cambria Math" w:cs="Cambria Math"/>
          <w:i/>
          <w:iCs/>
          <w:sz w:val="18"/>
          <w:szCs w:val="18"/>
          <w:lang w:val="es"/>
        </w:rPr>
        <w:t>𝐹𝑆𝑉𝑡</w:t>
      </w:r>
      <w:r>
        <w:rPr>
          <w:rFonts w:ascii="Work Sans" w:eastAsia="Arial Narrow" w:hAnsi="Work Sans" w:cs="Arial Narrow"/>
          <w:i/>
          <w:iCs/>
          <w:sz w:val="18"/>
          <w:szCs w:val="18"/>
          <w:lang w:val="es"/>
        </w:rPr>
        <w:t>)</w:t>
      </w:r>
    </w:p>
    <w:p w14:paraId="168B91D0" w14:textId="77777777" w:rsidR="00FB7BC4" w:rsidRDefault="00C51BDF">
      <w:pPr>
        <w:ind w:left="426" w:right="481"/>
        <w:jc w:val="both"/>
        <w:rPr>
          <w:rFonts w:ascii="Work Sans" w:eastAsia="Arial Narrow" w:hAnsi="Work Sans" w:cs="Arial Narrow"/>
          <w:i/>
          <w:iCs/>
          <w:sz w:val="18"/>
          <w:szCs w:val="18"/>
          <w:lang w:val="es"/>
        </w:rPr>
      </w:pPr>
      <w:r>
        <w:rPr>
          <w:rFonts w:ascii="Work Sans" w:eastAsia="Arial Narrow" w:hAnsi="Work Sans" w:cs="Arial Narrow"/>
          <w:i/>
          <w:iCs/>
          <w:sz w:val="18"/>
          <w:szCs w:val="18"/>
          <w:lang w:val="es"/>
        </w:rPr>
        <w:t xml:space="preserve"> </w:t>
      </w:r>
    </w:p>
    <w:p w14:paraId="03658CB7" w14:textId="77777777" w:rsidR="00FB7BC4" w:rsidRDefault="00C51BDF">
      <w:pPr>
        <w:ind w:left="426" w:right="481"/>
        <w:jc w:val="both"/>
        <w:rPr>
          <w:rFonts w:ascii="Work Sans" w:eastAsia="Arial Narrow" w:hAnsi="Work Sans" w:cs="Arial Narrow"/>
          <w:i/>
          <w:iCs/>
          <w:sz w:val="18"/>
          <w:szCs w:val="18"/>
          <w:lang w:val="es"/>
        </w:rPr>
      </w:pPr>
      <w:r>
        <w:rPr>
          <w:rFonts w:ascii="Work Sans" w:eastAsia="Arial Narrow" w:hAnsi="Work Sans" w:cs="Arial Narrow"/>
          <w:i/>
          <w:iCs/>
          <w:sz w:val="18"/>
          <w:szCs w:val="18"/>
          <w:lang w:val="es"/>
        </w:rPr>
        <w:t>Donde,</w:t>
      </w:r>
    </w:p>
    <w:p w14:paraId="69D40C23" w14:textId="77777777" w:rsidR="00FB7BC4" w:rsidRDefault="00C51BDF">
      <w:pPr>
        <w:ind w:left="426" w:right="481"/>
        <w:jc w:val="both"/>
        <w:rPr>
          <w:rFonts w:ascii="Work Sans" w:eastAsia="Arial Narrow" w:hAnsi="Work Sans" w:cs="Arial Narrow"/>
          <w:i/>
          <w:iCs/>
          <w:sz w:val="18"/>
          <w:szCs w:val="18"/>
          <w:lang w:val="es"/>
        </w:rPr>
      </w:pPr>
      <w:r>
        <w:rPr>
          <w:rFonts w:ascii="Work Sans" w:eastAsia="Arial Narrow" w:hAnsi="Work Sans" w:cs="Arial Narrow"/>
          <w:i/>
          <w:iCs/>
          <w:sz w:val="18"/>
          <w:szCs w:val="18"/>
          <w:lang w:val="es"/>
        </w:rPr>
        <w:t xml:space="preserve"> </w:t>
      </w:r>
    </w:p>
    <w:p w14:paraId="06E29BBF" w14:textId="77777777" w:rsidR="00FB7BC4" w:rsidRDefault="00C51BDF">
      <w:pPr>
        <w:ind w:left="426" w:right="481"/>
        <w:jc w:val="both"/>
      </w:pPr>
      <w:r>
        <w:rPr>
          <w:rFonts w:ascii="Cambria Math" w:eastAsia="Cambria Math" w:hAnsi="Cambria Math" w:cs="Cambria Math"/>
          <w:i/>
          <w:iCs/>
          <w:color w:val="000000"/>
          <w:sz w:val="18"/>
          <w:szCs w:val="18"/>
          <w:lang w:val="es"/>
        </w:rPr>
        <w:t>𝑇𝑎𝑟𝑖𝑓𝑎𝑈𝑠𝑢𝑎𝑟𝑖𝑜𝑡</w:t>
      </w:r>
      <w:r>
        <w:rPr>
          <w:rFonts w:ascii="Work Sans" w:eastAsia="Arial Narrow" w:hAnsi="Work Sans" w:cs="Arial Narrow"/>
          <w:i/>
          <w:iCs/>
          <w:color w:val="000000"/>
          <w:sz w:val="18"/>
          <w:szCs w:val="18"/>
          <w:lang w:val="es"/>
        </w:rPr>
        <w:t xml:space="preserve">= Para cada categoría de vehículos y cada Estación de Peaje es el valor de la Tarifa a pagar por el Usuario para el año t. </w:t>
      </w:r>
    </w:p>
    <w:p w14:paraId="3E7D999F" w14:textId="77777777" w:rsidR="00FB7BC4" w:rsidRDefault="00C51BDF">
      <w:pPr>
        <w:ind w:left="426" w:right="481"/>
        <w:jc w:val="both"/>
      </w:pPr>
      <w:r>
        <w:rPr>
          <w:rFonts w:ascii="Cambria Math" w:eastAsia="Cambria Math" w:hAnsi="Cambria Math" w:cs="Cambria Math"/>
          <w:i/>
          <w:iCs/>
          <w:color w:val="000000"/>
          <w:sz w:val="18"/>
          <w:szCs w:val="18"/>
          <w:lang w:val="es"/>
        </w:rPr>
        <w:t>𝑇𝑎𝑟𝑖𝑓𝑎𝑆𝑅𝑡</w:t>
      </w:r>
      <w:r>
        <w:rPr>
          <w:rFonts w:ascii="Work Sans" w:eastAsia="Arial Narrow" w:hAnsi="Work Sans" w:cs="Arial Narrow"/>
          <w:i/>
          <w:iCs/>
          <w:color w:val="000000"/>
          <w:sz w:val="18"/>
          <w:szCs w:val="18"/>
          <w:lang w:val="es"/>
        </w:rPr>
        <w:t>= Para cada categoría de vehículos y cada E</w:t>
      </w:r>
      <w:r>
        <w:rPr>
          <w:rFonts w:ascii="Work Sans" w:eastAsia="Arial Narrow" w:hAnsi="Work Sans" w:cs="Arial Narrow"/>
          <w:i/>
          <w:iCs/>
          <w:color w:val="000000"/>
          <w:sz w:val="18"/>
          <w:szCs w:val="18"/>
          <w:lang w:val="es"/>
        </w:rPr>
        <w:t xml:space="preserve">stación de Peaje es el valor de la Tarifa actualizada en Pesos corrientes del año t, sin el redondeo a la centena. </w:t>
      </w:r>
    </w:p>
    <w:p w14:paraId="737B3B2E" w14:textId="77777777" w:rsidR="00FB7BC4" w:rsidRDefault="00C51BDF">
      <w:pPr>
        <w:ind w:left="426" w:right="481"/>
        <w:jc w:val="both"/>
      </w:pPr>
      <w:r>
        <w:rPr>
          <w:rFonts w:ascii="Cambria Math" w:eastAsia="Cambria Math" w:hAnsi="Cambria Math" w:cs="Cambria Math"/>
          <w:i/>
          <w:iCs/>
          <w:color w:val="000000"/>
          <w:sz w:val="18"/>
          <w:szCs w:val="18"/>
          <w:lang w:val="es"/>
        </w:rPr>
        <w:t>𝐹𝑆𝑉</w:t>
      </w:r>
      <w:r>
        <w:rPr>
          <w:rFonts w:ascii="Work Sans" w:eastAsia="Arial Narrow" w:hAnsi="Work Sans" w:cs="Arial Narrow"/>
          <w:i/>
          <w:iCs/>
          <w:color w:val="000000"/>
          <w:sz w:val="18"/>
          <w:szCs w:val="18"/>
          <w:lang w:val="es"/>
        </w:rPr>
        <w:t>1= Es el valor del aporte al Fondo de Seguridad Vial para el año t vigente al momento del cálculo, expresado en pesos corrientes del a</w:t>
      </w:r>
      <w:r>
        <w:rPr>
          <w:rFonts w:ascii="Work Sans" w:eastAsia="Arial Narrow" w:hAnsi="Work Sans" w:cs="Arial Narrow"/>
          <w:i/>
          <w:iCs/>
          <w:color w:val="000000"/>
          <w:sz w:val="18"/>
          <w:szCs w:val="18"/>
          <w:lang w:val="es"/>
        </w:rPr>
        <w:t xml:space="preserve">ño t </w:t>
      </w:r>
    </w:p>
    <w:p w14:paraId="599A4C6B" w14:textId="77777777" w:rsidR="00FB7BC4" w:rsidRDefault="00C51BDF">
      <w:pPr>
        <w:ind w:left="426" w:right="481"/>
        <w:jc w:val="both"/>
      </w:pPr>
      <w:r>
        <w:rPr>
          <w:rFonts w:ascii="Work Sans" w:eastAsia="Arial Narrow" w:hAnsi="Work Sans" w:cs="Arial Narrow"/>
          <w:i/>
          <w:iCs/>
          <w:color w:val="000000"/>
          <w:sz w:val="18"/>
          <w:szCs w:val="18"/>
          <w:lang w:val="es"/>
        </w:rPr>
        <w:t>Redondeo 100 = Función que redondea un número al múltiplo de 100 más cercano. Redondea hacia la centena superior, si el residuo de dividir el número entre cien (100) es mayor o igual a cincuenta. Redondea hacia la centena inferior, si el residuo de d</w:t>
      </w:r>
      <w:r>
        <w:rPr>
          <w:rFonts w:ascii="Work Sans" w:eastAsia="Arial Narrow" w:hAnsi="Work Sans" w:cs="Arial Narrow"/>
          <w:i/>
          <w:iCs/>
          <w:color w:val="000000"/>
          <w:sz w:val="18"/>
          <w:szCs w:val="18"/>
          <w:lang w:val="es"/>
        </w:rPr>
        <w:t>ividir el número entre cien (100) es menor que cincuenta”.</w:t>
      </w:r>
    </w:p>
    <w:p w14:paraId="0F7296B1" w14:textId="77777777" w:rsidR="00FB7BC4" w:rsidRDefault="00FB7BC4">
      <w:pPr>
        <w:ind w:left="426" w:right="481"/>
        <w:jc w:val="both"/>
        <w:rPr>
          <w:rFonts w:ascii="Work Sans" w:eastAsia="Arial Narrow" w:hAnsi="Work Sans" w:cs="Arial Narrow"/>
          <w:i/>
          <w:sz w:val="18"/>
          <w:szCs w:val="18"/>
          <w:lang w:val="es"/>
        </w:rPr>
      </w:pPr>
    </w:p>
    <w:p w14:paraId="3A0BB468" w14:textId="77777777" w:rsidR="00FB7BC4" w:rsidRDefault="00C51BDF">
      <w:pPr>
        <w:ind w:left="426" w:right="481"/>
        <w:jc w:val="both"/>
      </w:pPr>
      <w:r>
        <w:rPr>
          <w:rFonts w:ascii="Work Sans" w:eastAsia="Arial Narrow" w:hAnsi="Work Sans" w:cs="Arial Narrow"/>
          <w:i/>
          <w:sz w:val="18"/>
          <w:szCs w:val="18"/>
          <w:lang w:val="es"/>
        </w:rPr>
        <w:t>Se evidencia un incremento en el valor de las tarifas diferenciales de $100 pesos, guardando coherencia con el beneficio social que pretende la Resolución</w:t>
      </w:r>
      <w:r>
        <w:rPr>
          <w:rFonts w:ascii="Work Sans" w:hAnsi="Work Sans" w:cs="Arial"/>
          <w:i/>
          <w:sz w:val="18"/>
          <w:szCs w:val="18"/>
        </w:rPr>
        <w:t xml:space="preserve"> No. 20213040018155 y con </w:t>
      </w:r>
      <w:r>
        <w:rPr>
          <w:rFonts w:ascii="Work Sans" w:eastAsia="Arial Narrow" w:hAnsi="Work Sans" w:cs="Arial Narrow"/>
          <w:i/>
          <w:sz w:val="18"/>
          <w:szCs w:val="18"/>
          <w:lang w:val="es"/>
        </w:rPr>
        <w:t xml:space="preserve">las demás </w:t>
      </w:r>
      <w:r>
        <w:rPr>
          <w:rFonts w:ascii="Work Sans" w:eastAsia="Arial Narrow" w:hAnsi="Work Sans" w:cs="Arial Narrow"/>
          <w:i/>
          <w:sz w:val="18"/>
          <w:szCs w:val="18"/>
          <w:lang w:val="es"/>
        </w:rPr>
        <w:t>tarifas que se cobran en la estación de peaje Aburrá.</w:t>
      </w:r>
    </w:p>
    <w:p w14:paraId="6E14C4C8" w14:textId="77777777" w:rsidR="00FB7BC4" w:rsidRDefault="00FB7BC4">
      <w:pPr>
        <w:ind w:left="426" w:right="481"/>
        <w:jc w:val="both"/>
        <w:rPr>
          <w:rFonts w:ascii="Work Sans" w:eastAsia="Arial Narrow" w:hAnsi="Work Sans" w:cs="Arial Narrow"/>
          <w:i/>
          <w:sz w:val="18"/>
          <w:szCs w:val="18"/>
          <w:lang w:val="es"/>
        </w:rPr>
      </w:pPr>
    </w:p>
    <w:p w14:paraId="2DCE260B" w14:textId="77777777" w:rsidR="00FB7BC4" w:rsidRDefault="00C51BDF">
      <w:pPr>
        <w:ind w:left="426" w:right="481"/>
        <w:jc w:val="both"/>
      </w:pPr>
      <w:r>
        <w:rPr>
          <w:rFonts w:ascii="Work Sans" w:eastAsia="Arial Narrow" w:hAnsi="Work Sans" w:cs="Arial Narrow"/>
          <w:i/>
          <w:sz w:val="18"/>
          <w:szCs w:val="18"/>
          <w:lang w:val="es"/>
        </w:rPr>
        <w:t xml:space="preserve">El 16 de enero de 2022, día en el que inició el cobro de las tarifas del peaje Aburrá con el incremento mencionado en precedencia, el Presidente de la Junta de Acción Local del </w:t>
      </w:r>
      <w:r>
        <w:rPr>
          <w:rFonts w:ascii="Work Sans" w:eastAsia="Arial Narrow" w:hAnsi="Work Sans" w:cs="Arial Narrow"/>
          <w:i/>
          <w:sz w:val="18"/>
          <w:szCs w:val="18"/>
          <w:lang w:val="es"/>
        </w:rPr>
        <w:t xml:space="preserve">Corregimiento San Sebastián de Palmitas, el Señor Manuel Salazar Marin, manifestó su inconformismo frente al aumento del valor de la tarifa, indicando mediante un audio de WhatsApp lo siguiente : </w:t>
      </w:r>
      <w:r>
        <w:rPr>
          <w:rFonts w:ascii="Work Sans" w:eastAsia="Arial Narrow" w:hAnsi="Work Sans" w:cs="Arial Narrow"/>
          <w:i/>
          <w:iCs/>
          <w:sz w:val="18"/>
          <w:szCs w:val="18"/>
          <w:lang w:val="es"/>
        </w:rPr>
        <w:t>“(…) Responsabilizamos directamente al gobierno nacional,  a</w:t>
      </w:r>
      <w:r>
        <w:rPr>
          <w:rFonts w:ascii="Work Sans" w:eastAsia="Arial Narrow" w:hAnsi="Work Sans" w:cs="Arial Narrow"/>
          <w:i/>
          <w:iCs/>
          <w:sz w:val="18"/>
          <w:szCs w:val="18"/>
          <w:lang w:val="es"/>
        </w:rPr>
        <w:t xml:space="preserve"> la Agencia Nacional de Infraestructura y al Ministerio de Transporte,  como únicos responsables de este atropello y de este abuso, aparte de incumplir los acuerdos de las mesas de concertación, de engañar  la comunidad y de buscar seguir aumentando la tar</w:t>
      </w:r>
      <w:r>
        <w:rPr>
          <w:rFonts w:ascii="Work Sans" w:eastAsia="Arial Narrow" w:hAnsi="Work Sans" w:cs="Arial Narrow"/>
          <w:i/>
          <w:iCs/>
          <w:sz w:val="18"/>
          <w:szCs w:val="18"/>
          <w:lang w:val="es"/>
        </w:rPr>
        <w:t xml:space="preserve">ifa diferencial al corregimiento. La tarifa de hoy plena del peaje está en $18.100,nosotros de acuerdo a la exoneración del 90 % deberíamos estar pagando $1.810 redondeando a los decimales de 100 que dice la misma resolución sería pagar $1.900 a la tarifa </w:t>
      </w:r>
      <w:r>
        <w:rPr>
          <w:rFonts w:ascii="Work Sans" w:eastAsia="Arial Narrow" w:hAnsi="Work Sans" w:cs="Arial Narrow"/>
          <w:i/>
          <w:iCs/>
          <w:sz w:val="18"/>
          <w:szCs w:val="18"/>
          <w:lang w:val="es"/>
        </w:rPr>
        <w:t>de hoy, así que por lo visto vamos a tener que salir nuevamente a la calle, vamos a cerrar esa vía, con la ayuda o no de las autoridades locales y departamentales, pero sé que con mis amigos y compañeros de la JAL, coalición de JAL, mi equipo de trabajo, a</w:t>
      </w:r>
      <w:r>
        <w:rPr>
          <w:rFonts w:ascii="Work Sans" w:eastAsia="Arial Narrow" w:hAnsi="Work Sans" w:cs="Arial Narrow"/>
          <w:i/>
          <w:iCs/>
          <w:sz w:val="18"/>
          <w:szCs w:val="18"/>
          <w:lang w:val="es"/>
        </w:rPr>
        <w:t>lgunos lideres y juntas de acción comunal, vamos a lograr volver a rehacer esta resolución,  si nos toca programar nuevamente cierre en el túnel, en el  otro lado lo haremos, no permitiremos el pago de peaje y cerraremos la vía. Cuéstenos los que nos cuest</w:t>
      </w:r>
      <w:r>
        <w:rPr>
          <w:rFonts w:ascii="Work Sans" w:eastAsia="Arial Narrow" w:hAnsi="Work Sans" w:cs="Arial Narrow"/>
          <w:i/>
          <w:iCs/>
          <w:sz w:val="18"/>
          <w:szCs w:val="18"/>
          <w:lang w:val="es"/>
        </w:rPr>
        <w:t>e, así nos cueste la curul, en mi caso personal, así me cueste salir de la junta administradora local, así me cueste lo que me cueste vamos a salir a la calle, pero no vamos a permitir este abuso por parte del gobierno nacional y por parte de la Agencia Na</w:t>
      </w:r>
      <w:r>
        <w:rPr>
          <w:rFonts w:ascii="Work Sans" w:eastAsia="Arial Narrow" w:hAnsi="Work Sans" w:cs="Arial Narrow"/>
          <w:i/>
          <w:iCs/>
          <w:sz w:val="18"/>
          <w:szCs w:val="18"/>
          <w:lang w:val="es"/>
        </w:rPr>
        <w:t>cional de Infraestructura”.</w:t>
      </w:r>
    </w:p>
    <w:p w14:paraId="5896315C" w14:textId="77777777" w:rsidR="00FB7BC4" w:rsidRDefault="00FB7BC4">
      <w:pPr>
        <w:ind w:left="426" w:right="481"/>
        <w:jc w:val="both"/>
        <w:rPr>
          <w:rFonts w:ascii="Work Sans" w:eastAsia="Arial Narrow" w:hAnsi="Work Sans" w:cs="Arial Narrow"/>
          <w:i/>
          <w:iCs/>
          <w:sz w:val="18"/>
          <w:szCs w:val="18"/>
          <w:lang w:val="es"/>
        </w:rPr>
      </w:pPr>
    </w:p>
    <w:p w14:paraId="14F08D90" w14:textId="77777777" w:rsidR="00FB7BC4" w:rsidRDefault="00C51BDF">
      <w:pPr>
        <w:ind w:left="426" w:right="481"/>
        <w:jc w:val="both"/>
        <w:rPr>
          <w:rFonts w:ascii="Work Sans" w:eastAsia="Arial Narrow" w:hAnsi="Work Sans" w:cs="Arial Narrow"/>
          <w:i/>
          <w:sz w:val="18"/>
          <w:szCs w:val="18"/>
          <w:lang w:val="es"/>
        </w:rPr>
      </w:pPr>
      <w:r>
        <w:rPr>
          <w:rFonts w:ascii="Work Sans" w:eastAsia="Arial Narrow" w:hAnsi="Work Sans" w:cs="Arial Narrow"/>
          <w:i/>
          <w:sz w:val="18"/>
          <w:szCs w:val="18"/>
          <w:lang w:val="es"/>
        </w:rPr>
        <w:t xml:space="preserve">Ante este pronunciamiento, desde el área social de la Agencia se procedió a adelantar contacto directo con el Señor Manuel Salazar, como vocero del Corregimiento San Sebastián de Palmitas, a fin de buscar una solución y evitar </w:t>
      </w:r>
      <w:r>
        <w:rPr>
          <w:rFonts w:ascii="Work Sans" w:eastAsia="Arial Narrow" w:hAnsi="Work Sans" w:cs="Arial Narrow"/>
          <w:i/>
          <w:sz w:val="18"/>
          <w:szCs w:val="18"/>
          <w:lang w:val="es"/>
        </w:rPr>
        <w:t xml:space="preserve">el uso de las vías de hecho que generaran traumatismos en el flujo vehicular del corredor. </w:t>
      </w:r>
    </w:p>
    <w:p w14:paraId="6B737971" w14:textId="77777777" w:rsidR="00FB7BC4" w:rsidRDefault="00FB7BC4">
      <w:pPr>
        <w:ind w:left="426" w:right="481"/>
        <w:jc w:val="both"/>
        <w:rPr>
          <w:rFonts w:ascii="Work Sans" w:eastAsia="Arial Narrow" w:hAnsi="Work Sans" w:cs="Arial Narrow"/>
          <w:i/>
          <w:sz w:val="18"/>
          <w:szCs w:val="18"/>
          <w:lang w:val="es"/>
        </w:rPr>
      </w:pPr>
    </w:p>
    <w:p w14:paraId="4806E3BA" w14:textId="77777777" w:rsidR="00FB7BC4" w:rsidRDefault="00C51BDF">
      <w:pPr>
        <w:ind w:left="426" w:right="481"/>
        <w:jc w:val="both"/>
        <w:rPr>
          <w:rFonts w:ascii="Work Sans" w:eastAsia="Arial Narrow" w:hAnsi="Work Sans" w:cs="Arial Narrow"/>
          <w:i/>
          <w:sz w:val="18"/>
          <w:szCs w:val="18"/>
          <w:lang w:val="es"/>
        </w:rPr>
      </w:pPr>
      <w:r>
        <w:rPr>
          <w:rFonts w:ascii="Work Sans" w:eastAsia="Arial Narrow" w:hAnsi="Work Sans" w:cs="Arial Narrow"/>
          <w:i/>
          <w:sz w:val="18"/>
          <w:szCs w:val="18"/>
          <w:lang w:val="es"/>
        </w:rPr>
        <w:t>Así las cosas, la Agencia le informó al señor Salazar que se revisaría la solicitud de los habitantes del Corregimiento San Sebastián de Palmitas, consistente en q</w:t>
      </w:r>
      <w:r>
        <w:rPr>
          <w:rFonts w:ascii="Work Sans" w:eastAsia="Arial Narrow" w:hAnsi="Work Sans" w:cs="Arial Narrow"/>
          <w:i/>
          <w:sz w:val="18"/>
          <w:szCs w:val="18"/>
          <w:lang w:val="es"/>
        </w:rPr>
        <w:t xml:space="preserve">ue el </w:t>
      </w:r>
      <w:r>
        <w:rPr>
          <w:rFonts w:ascii="Work Sans" w:eastAsia="Arial Narrow" w:hAnsi="Work Sans" w:cs="Arial Narrow"/>
          <w:i/>
          <w:sz w:val="18"/>
          <w:szCs w:val="18"/>
          <w:lang w:val="es"/>
        </w:rPr>
        <w:lastRenderedPageBreak/>
        <w:t>incremento del IPC para la tarifa diferencial sea equivalente al valor de la tarifa diferencial.</w:t>
      </w:r>
    </w:p>
    <w:p w14:paraId="4B5B4431" w14:textId="77777777" w:rsidR="00FB7BC4" w:rsidRDefault="00FB7BC4">
      <w:pPr>
        <w:ind w:left="426" w:right="481"/>
        <w:jc w:val="both"/>
        <w:rPr>
          <w:rFonts w:ascii="Work Sans" w:eastAsia="Arial Narrow" w:hAnsi="Work Sans" w:cs="Arial Narrow"/>
          <w:i/>
          <w:sz w:val="18"/>
          <w:szCs w:val="18"/>
          <w:lang w:val="es"/>
        </w:rPr>
      </w:pPr>
    </w:p>
    <w:p w14:paraId="0753DBAE" w14:textId="77777777" w:rsidR="00FB7BC4" w:rsidRDefault="00C51BDF">
      <w:pPr>
        <w:ind w:left="426" w:right="481"/>
        <w:jc w:val="both"/>
        <w:rPr>
          <w:rFonts w:ascii="Work Sans" w:eastAsia="Arial Narrow" w:hAnsi="Work Sans" w:cs="Arial Narrow"/>
          <w:i/>
          <w:sz w:val="18"/>
          <w:szCs w:val="18"/>
          <w:lang w:val="es"/>
        </w:rPr>
      </w:pPr>
      <w:r>
        <w:rPr>
          <w:rFonts w:ascii="Work Sans" w:eastAsia="Arial Narrow" w:hAnsi="Work Sans" w:cs="Arial Narrow"/>
          <w:i/>
          <w:sz w:val="18"/>
          <w:szCs w:val="18"/>
          <w:lang w:val="es"/>
        </w:rPr>
        <w:t>En ese sentido, una vez efectuado el análisis correspondiente por parte de la Agencia, fue posible concluir que el IPC que se incrementará a la tarifa d</w:t>
      </w:r>
      <w:r>
        <w:rPr>
          <w:rFonts w:ascii="Work Sans" w:eastAsia="Arial Narrow" w:hAnsi="Work Sans" w:cs="Arial Narrow"/>
          <w:i/>
          <w:sz w:val="18"/>
          <w:szCs w:val="18"/>
          <w:lang w:val="es"/>
        </w:rPr>
        <w:t>iferencial para el año 2022 será el correspondiente al valor de la tarifa diferencial y no al de la tarifa plena.</w:t>
      </w:r>
    </w:p>
    <w:p w14:paraId="371F4774" w14:textId="77777777" w:rsidR="00FB7BC4" w:rsidRDefault="00FB7BC4">
      <w:pPr>
        <w:autoSpaceDE w:val="0"/>
        <w:ind w:left="426" w:right="481"/>
        <w:jc w:val="both"/>
        <w:rPr>
          <w:rFonts w:ascii="Work Sans" w:hAnsi="Work Sans" w:cs="Arial"/>
          <w:i/>
          <w:sz w:val="18"/>
          <w:szCs w:val="18"/>
          <w:lang w:val="es"/>
        </w:rPr>
      </w:pPr>
    </w:p>
    <w:p w14:paraId="4604EB2E" w14:textId="77777777" w:rsidR="00FB7BC4" w:rsidRDefault="00C51BDF">
      <w:pPr>
        <w:pStyle w:val="Default"/>
        <w:ind w:left="426" w:right="481"/>
        <w:jc w:val="both"/>
      </w:pPr>
      <w:r>
        <w:rPr>
          <w:rFonts w:ascii="Work Sans" w:hAnsi="Work Sans" w:cs="Arial"/>
          <w:i/>
          <w:sz w:val="18"/>
          <w:szCs w:val="18"/>
          <w:lang w:val="es"/>
        </w:rPr>
        <w:t>Por lo anterior y ante el rechazo de la comunidad frente al valor de las tarifas diferenciales actualizadas para las Categorías IE y IIE en l</w:t>
      </w:r>
      <w:r>
        <w:rPr>
          <w:rFonts w:ascii="Work Sans" w:hAnsi="Work Sans" w:cs="Arial"/>
          <w:i/>
          <w:sz w:val="18"/>
          <w:szCs w:val="18"/>
          <w:lang w:val="es"/>
        </w:rPr>
        <w:t xml:space="preserve">a estación de peaje Aburrá para el año 2022, mediante  comunicado radicado ANI No.20224090045582 del 17 de enero de 2022, el Concesionario DEVIMAR S.A.S. presentó </w:t>
      </w:r>
      <w:r>
        <w:rPr>
          <w:rFonts w:ascii="Work Sans" w:hAnsi="Work Sans" w:cs="Arial"/>
          <w:i/>
          <w:color w:val="auto"/>
          <w:kern w:val="3"/>
          <w:sz w:val="18"/>
          <w:szCs w:val="18"/>
          <w:lang w:val="es" w:bidi="hi-IN"/>
        </w:rPr>
        <w:t xml:space="preserve">a la Agencia </w:t>
      </w:r>
      <w:r>
        <w:rPr>
          <w:rFonts w:ascii="Work Sans" w:hAnsi="Work Sans"/>
          <w:i/>
          <w:color w:val="auto"/>
          <w:kern w:val="3"/>
          <w:sz w:val="18"/>
          <w:szCs w:val="18"/>
          <w:lang w:val="es" w:bidi="hi-IN"/>
        </w:rPr>
        <w:t>la actualización de la estructura tarifaria aplicable a partir del 16 de enero d</w:t>
      </w:r>
      <w:r>
        <w:rPr>
          <w:rFonts w:ascii="Work Sans" w:hAnsi="Work Sans"/>
          <w:i/>
          <w:color w:val="auto"/>
          <w:kern w:val="3"/>
          <w:sz w:val="18"/>
          <w:szCs w:val="18"/>
          <w:lang w:val="es" w:bidi="hi-IN"/>
        </w:rPr>
        <w:t xml:space="preserve">e 2022, esta vez actualizadas según lo establecido en el Contrato de Concesión No. 014 de 2015, Parte Especial, Numeral 4.2 </w:t>
      </w:r>
      <w:r>
        <w:rPr>
          <w:rFonts w:ascii="Work Sans" w:hAnsi="Work Sans"/>
          <w:i/>
          <w:iCs/>
          <w:color w:val="auto"/>
          <w:kern w:val="3"/>
          <w:sz w:val="18"/>
          <w:szCs w:val="18"/>
          <w:lang w:val="es" w:bidi="hi-IN"/>
        </w:rPr>
        <w:t>“Estructura Tarifaria”,</w:t>
      </w:r>
      <w:r>
        <w:rPr>
          <w:rFonts w:ascii="Work Sans" w:hAnsi="Work Sans"/>
          <w:i/>
          <w:color w:val="auto"/>
          <w:kern w:val="3"/>
          <w:sz w:val="18"/>
          <w:szCs w:val="18"/>
          <w:lang w:val="es" w:bidi="hi-IN"/>
        </w:rPr>
        <w:t xml:space="preserve"> tarifas que fueron no objetadas por la Interventoría Consorcio EPSILON 4G mediante el comunicado </w:t>
      </w:r>
      <w:r>
        <w:rPr>
          <w:rFonts w:ascii="Work Sans" w:hAnsi="Work Sans"/>
          <w:i/>
          <w:color w:val="auto"/>
          <w:kern w:val="3"/>
          <w:sz w:val="18"/>
          <w:szCs w:val="18"/>
          <w:lang w:val="es" w:bidi="hi-IN"/>
        </w:rPr>
        <w:t>radicado ANI No. 20224090054282 del 18 de enero de 2022, las cuales se presentaron así:</w:t>
      </w:r>
    </w:p>
    <w:p w14:paraId="45BF2CD6" w14:textId="77777777" w:rsidR="00FB7BC4" w:rsidRDefault="00FB7BC4">
      <w:pPr>
        <w:pStyle w:val="Default"/>
        <w:ind w:left="426" w:right="481"/>
        <w:jc w:val="both"/>
        <w:rPr>
          <w:rFonts w:ascii="Work Sans" w:hAnsi="Work Sans"/>
          <w:i/>
          <w:color w:val="auto"/>
          <w:kern w:val="3"/>
          <w:sz w:val="18"/>
          <w:szCs w:val="18"/>
          <w:lang w:val="es" w:bidi="hi-IN"/>
        </w:rPr>
      </w:pPr>
    </w:p>
    <w:tbl>
      <w:tblPr>
        <w:tblW w:w="5104" w:type="pct"/>
        <w:jc w:val="center"/>
        <w:tblCellMar>
          <w:left w:w="10" w:type="dxa"/>
          <w:right w:w="10" w:type="dxa"/>
        </w:tblCellMar>
        <w:tblLook w:val="0000" w:firstRow="0" w:lastRow="0" w:firstColumn="0" w:lastColumn="0" w:noHBand="0" w:noVBand="0"/>
      </w:tblPr>
      <w:tblGrid>
        <w:gridCol w:w="916"/>
        <w:gridCol w:w="1323"/>
        <w:gridCol w:w="606"/>
        <w:gridCol w:w="607"/>
        <w:gridCol w:w="1219"/>
        <w:gridCol w:w="998"/>
        <w:gridCol w:w="980"/>
        <w:gridCol w:w="1041"/>
        <w:gridCol w:w="1039"/>
      </w:tblGrid>
      <w:tr w:rsidR="00FB7BC4" w14:paraId="01F7DCAA" w14:textId="77777777">
        <w:tblPrEx>
          <w:tblCellMar>
            <w:top w:w="0" w:type="dxa"/>
            <w:bottom w:w="0" w:type="dxa"/>
          </w:tblCellMar>
        </w:tblPrEx>
        <w:trPr>
          <w:trHeight w:val="844"/>
          <w:jc w:val="center"/>
        </w:trPr>
        <w:tc>
          <w:tcPr>
            <w:tcW w:w="91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227E183"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CATEGORÍA</w:t>
            </w:r>
          </w:p>
        </w:tc>
        <w:tc>
          <w:tcPr>
            <w:tcW w:w="1323"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5F033B46"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PLENA 2021 ANTES DE FOSEVI</w:t>
            </w:r>
          </w:p>
        </w:tc>
        <w:tc>
          <w:tcPr>
            <w:tcW w:w="606"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1A05E0B9"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IPC DIC 2020</w:t>
            </w:r>
          </w:p>
        </w:tc>
        <w:tc>
          <w:tcPr>
            <w:tcW w:w="607"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6E8AC915"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IPC DIC 2021</w:t>
            </w:r>
          </w:p>
        </w:tc>
        <w:tc>
          <w:tcPr>
            <w:tcW w:w="121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5D512D74"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INDICE DE ACTUALIZACIÓN</w:t>
            </w:r>
          </w:p>
        </w:tc>
        <w:tc>
          <w:tcPr>
            <w:tcW w:w="998"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0E499AAD"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BASE 2022</w:t>
            </w:r>
          </w:p>
        </w:tc>
        <w:tc>
          <w:tcPr>
            <w:tcW w:w="980"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38BFA907"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FOSEVI 2022</w:t>
            </w:r>
          </w:p>
        </w:tc>
        <w:tc>
          <w:tcPr>
            <w:tcW w:w="1041"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2BC444A4"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BASE + FOSEVI 2022</w:t>
            </w:r>
          </w:p>
        </w:tc>
        <w:tc>
          <w:tcPr>
            <w:tcW w:w="103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238A0BEA"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2022 AJUSTA</w:t>
            </w:r>
            <w:r>
              <w:rPr>
                <w:rFonts w:ascii="Arial Narrow" w:hAnsi="Arial Narrow" w:cs="Calibri"/>
                <w:b/>
                <w:bCs/>
                <w:i/>
                <w:color w:val="000000"/>
                <w:sz w:val="16"/>
                <w:szCs w:val="16"/>
                <w:lang w:val="es-CO" w:eastAsia="es-CO"/>
              </w:rPr>
              <w:t>DA A LA CENTENA</w:t>
            </w:r>
          </w:p>
        </w:tc>
      </w:tr>
      <w:tr w:rsidR="00FB7BC4" w14:paraId="0D4335AD" w14:textId="77777777">
        <w:tblPrEx>
          <w:tblCellMar>
            <w:top w:w="0" w:type="dxa"/>
            <w:bottom w:w="0" w:type="dxa"/>
          </w:tblCellMar>
        </w:tblPrEx>
        <w:trPr>
          <w:trHeight w:val="281"/>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D91245"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 E</w:t>
            </w:r>
          </w:p>
        </w:tc>
        <w:tc>
          <w:tcPr>
            <w:tcW w:w="132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9E907F"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$ 1.667 </w:t>
            </w:r>
          </w:p>
        </w:tc>
        <w:tc>
          <w:tcPr>
            <w:tcW w:w="60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A482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60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4EEF3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3BCBCD"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9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064195"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$ 1.761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0E96E5"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352 </w:t>
            </w:r>
          </w:p>
        </w:tc>
        <w:tc>
          <w:tcPr>
            <w:tcW w:w="104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BF97A5"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2.113 </w:t>
            </w:r>
          </w:p>
        </w:tc>
        <w:tc>
          <w:tcPr>
            <w:tcW w:w="103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29879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2.100 </w:t>
            </w:r>
          </w:p>
        </w:tc>
      </w:tr>
      <w:tr w:rsidR="00FB7BC4" w14:paraId="7AB8A427" w14:textId="77777777">
        <w:tblPrEx>
          <w:tblCellMar>
            <w:top w:w="0" w:type="dxa"/>
            <w:bottom w:w="0" w:type="dxa"/>
          </w:tblCellMar>
        </w:tblPrEx>
        <w:trPr>
          <w:trHeight w:val="281"/>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6ED974"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II E</w:t>
            </w:r>
          </w:p>
        </w:tc>
        <w:tc>
          <w:tcPr>
            <w:tcW w:w="132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992C6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$ 1.867 </w:t>
            </w:r>
          </w:p>
        </w:tc>
        <w:tc>
          <w:tcPr>
            <w:tcW w:w="60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494F8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60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7C94EE"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6A52B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99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F411A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$ 1.972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56A921"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4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A3594A"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2.324 </w:t>
            </w:r>
          </w:p>
        </w:tc>
        <w:tc>
          <w:tcPr>
            <w:tcW w:w="103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A540ED"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w:t>
            </w:r>
            <w:r>
              <w:rPr>
                <w:rFonts w:ascii="Arial Narrow" w:hAnsi="Arial Narrow" w:cs="Calibri"/>
                <w:i/>
                <w:color w:val="000000"/>
                <w:sz w:val="16"/>
                <w:szCs w:val="16"/>
                <w:lang w:val="es-CO" w:eastAsia="es-CO"/>
              </w:rPr>
              <w:t xml:space="preserve">2.300 </w:t>
            </w:r>
          </w:p>
        </w:tc>
      </w:tr>
    </w:tbl>
    <w:p w14:paraId="187E6721" w14:textId="77777777" w:rsidR="00FB7BC4" w:rsidRDefault="00FB7BC4">
      <w:pPr>
        <w:autoSpaceDE w:val="0"/>
        <w:jc w:val="both"/>
        <w:rPr>
          <w:rFonts w:ascii="Arial" w:hAnsi="Arial" w:cs="Arial"/>
          <w:sz w:val="16"/>
          <w:szCs w:val="16"/>
          <w:lang w:val="es"/>
        </w:rPr>
      </w:pPr>
    </w:p>
    <w:p w14:paraId="44471350" w14:textId="77777777" w:rsidR="00FB7BC4" w:rsidRDefault="00C51BDF">
      <w:pPr>
        <w:ind w:left="709" w:right="481"/>
        <w:jc w:val="both"/>
      </w:pPr>
      <w:r>
        <w:rPr>
          <w:rFonts w:ascii="Work Sans" w:hAnsi="Work Sans" w:cs="Arial"/>
          <w:sz w:val="18"/>
          <w:szCs w:val="18"/>
          <w:lang w:val="es"/>
        </w:rPr>
        <w:t>“</w:t>
      </w:r>
      <w:r>
        <w:rPr>
          <w:rFonts w:ascii="Work Sans" w:eastAsia="Arial Narrow" w:hAnsi="Work Sans" w:cs="Arial Narrow"/>
          <w:i/>
          <w:iCs/>
          <w:sz w:val="18"/>
          <w:szCs w:val="18"/>
          <w:lang w:val="es"/>
        </w:rPr>
        <w:t xml:space="preserve">Sin embargo, y por solicitud realizada por la Agencia con el comunicado que tratamos en el asunto, esta interventoría recomienda la modificación del artículo 2, de la Resolución, en el cual se aplique las fórmulas contractuales citadas </w:t>
      </w:r>
      <w:r>
        <w:rPr>
          <w:rFonts w:ascii="Work Sans" w:eastAsia="Arial Narrow" w:hAnsi="Work Sans" w:cs="Arial Narrow"/>
          <w:i/>
          <w:iCs/>
          <w:sz w:val="18"/>
          <w:szCs w:val="18"/>
          <w:lang w:val="es"/>
        </w:rPr>
        <w:t>líneas arriba para lograr el beneficio social que pretende la Resolución enunciada en el asunto y obteniendo adicionalmente que haya coherencia entre todas las tarifas aplicables a este contrato de concesión.”</w:t>
      </w:r>
    </w:p>
    <w:p w14:paraId="75BCB1FC" w14:textId="77777777" w:rsidR="00FB7BC4" w:rsidRDefault="00FB7BC4">
      <w:pPr>
        <w:ind w:right="49"/>
        <w:jc w:val="both"/>
        <w:rPr>
          <w:rFonts w:ascii="Work Sans" w:hAnsi="Work Sans" w:cs="Arial"/>
          <w:sz w:val="18"/>
          <w:szCs w:val="18"/>
          <w:lang w:val="es"/>
        </w:rPr>
      </w:pPr>
    </w:p>
    <w:p w14:paraId="63050D27" w14:textId="77777777" w:rsidR="00FB7BC4" w:rsidRDefault="00C51BDF">
      <w:pPr>
        <w:ind w:left="426" w:right="481"/>
        <w:jc w:val="both"/>
      </w:pPr>
      <w:r>
        <w:rPr>
          <w:rFonts w:ascii="Work Sans" w:hAnsi="Work Sans" w:cs="Arial"/>
          <w:sz w:val="18"/>
          <w:szCs w:val="18"/>
          <w:lang w:val="es"/>
        </w:rPr>
        <w:t xml:space="preserve">Con fundamento en lo expuesto, se pone de </w:t>
      </w:r>
      <w:r>
        <w:rPr>
          <w:rFonts w:ascii="Work Sans" w:hAnsi="Work Sans" w:cs="Arial"/>
          <w:sz w:val="18"/>
          <w:szCs w:val="18"/>
          <w:lang w:val="es"/>
        </w:rPr>
        <w:t>presente entonces la necesidad de actualizar la Resolución No. 20213040018155 expedida por el Ministerio de Transporte el 30 de abril de 2021, en el sentido de modificar la fórmula de actualización anual de las tarifas diferenciales, según lo establecido e</w:t>
      </w:r>
      <w:r>
        <w:rPr>
          <w:rFonts w:ascii="Work Sans" w:hAnsi="Work Sans" w:cs="Arial"/>
          <w:sz w:val="18"/>
          <w:szCs w:val="18"/>
          <w:lang w:val="es"/>
        </w:rPr>
        <w:t xml:space="preserve">n el Contrato de Concesión No. 014 de 2015, Parte Especial, Numeral 4.2, </w:t>
      </w:r>
      <w:r>
        <w:rPr>
          <w:rFonts w:ascii="Work Sans" w:hAnsi="Work Sans"/>
          <w:i/>
          <w:iCs/>
          <w:sz w:val="18"/>
          <w:szCs w:val="18"/>
          <w:lang w:val="es"/>
        </w:rPr>
        <w:t>“Estructura Tarifaria”.</w:t>
      </w:r>
    </w:p>
    <w:p w14:paraId="53D66DB4" w14:textId="77777777" w:rsidR="00FB7BC4" w:rsidRDefault="00FB7BC4">
      <w:pPr>
        <w:rPr>
          <w:rFonts w:ascii="Work Sans" w:hAnsi="Work Sans" w:cs="Arial"/>
          <w:sz w:val="18"/>
          <w:szCs w:val="18"/>
          <w:lang w:val="es-CO"/>
        </w:rPr>
      </w:pPr>
    </w:p>
    <w:p w14:paraId="643B78BE" w14:textId="77777777" w:rsidR="00FB7BC4" w:rsidRDefault="00C51BDF">
      <w:pPr>
        <w:ind w:left="284" w:right="333"/>
        <w:jc w:val="center"/>
      </w:pPr>
      <w:r>
        <w:rPr>
          <w:rFonts w:ascii="Work Sans" w:hAnsi="Work Sans" w:cs="Arial"/>
          <w:b/>
          <w:bCs/>
          <w:i/>
          <w:sz w:val="16"/>
          <w:szCs w:val="16"/>
        </w:rPr>
        <w:t>TARIFAS APLICABLES</w:t>
      </w:r>
    </w:p>
    <w:p w14:paraId="5893EF82" w14:textId="77777777" w:rsidR="00FB7BC4" w:rsidRDefault="00FB7BC4">
      <w:pPr>
        <w:autoSpaceDE w:val="0"/>
        <w:ind w:left="284" w:right="333"/>
        <w:jc w:val="both"/>
        <w:rPr>
          <w:rFonts w:ascii="Work Sans" w:hAnsi="Work Sans" w:cs="Arial"/>
          <w:i/>
          <w:iCs/>
          <w:sz w:val="16"/>
          <w:szCs w:val="16"/>
        </w:rPr>
      </w:pPr>
    </w:p>
    <w:p w14:paraId="3E5829F0" w14:textId="77777777" w:rsidR="00FB7BC4" w:rsidRDefault="00C51BDF">
      <w:pPr>
        <w:ind w:right="333"/>
        <w:jc w:val="both"/>
        <w:rPr>
          <w:rFonts w:ascii="Work Sans" w:hAnsi="Work Sans" w:cs="Arial"/>
          <w:i/>
          <w:sz w:val="16"/>
          <w:szCs w:val="16"/>
        </w:rPr>
      </w:pPr>
      <w:r>
        <w:rPr>
          <w:rFonts w:ascii="Work Sans" w:hAnsi="Work Sans" w:cs="Arial"/>
          <w:i/>
          <w:sz w:val="16"/>
          <w:szCs w:val="16"/>
        </w:rPr>
        <w:t>Actualmente en la Estación de Peaje Aburrá se están cobrando las siguientes tarifas:</w:t>
      </w:r>
    </w:p>
    <w:p w14:paraId="574DC29D" w14:textId="77777777" w:rsidR="00FB7BC4" w:rsidRDefault="00FB7BC4">
      <w:pPr>
        <w:jc w:val="both"/>
        <w:rPr>
          <w:rFonts w:ascii="Arial" w:hAnsi="Arial" w:cs="Arial"/>
          <w:i/>
          <w:sz w:val="16"/>
          <w:szCs w:val="16"/>
        </w:rPr>
      </w:pPr>
    </w:p>
    <w:tbl>
      <w:tblPr>
        <w:tblW w:w="5104" w:type="pct"/>
        <w:jc w:val="center"/>
        <w:tblCellMar>
          <w:left w:w="10" w:type="dxa"/>
          <w:right w:w="10" w:type="dxa"/>
        </w:tblCellMar>
        <w:tblLook w:val="0000" w:firstRow="0" w:lastRow="0" w:firstColumn="0" w:lastColumn="0" w:noHBand="0" w:noVBand="0"/>
      </w:tblPr>
      <w:tblGrid>
        <w:gridCol w:w="916"/>
        <w:gridCol w:w="1308"/>
        <w:gridCol w:w="588"/>
        <w:gridCol w:w="590"/>
        <w:gridCol w:w="1219"/>
        <w:gridCol w:w="1016"/>
        <w:gridCol w:w="980"/>
        <w:gridCol w:w="1023"/>
        <w:gridCol w:w="1089"/>
      </w:tblGrid>
      <w:tr w:rsidR="00FB7BC4" w14:paraId="4B67B07A" w14:textId="77777777">
        <w:tblPrEx>
          <w:tblCellMar>
            <w:top w:w="0" w:type="dxa"/>
            <w:bottom w:w="0" w:type="dxa"/>
          </w:tblCellMar>
        </w:tblPrEx>
        <w:trPr>
          <w:trHeight w:val="844"/>
          <w:jc w:val="center"/>
        </w:trPr>
        <w:tc>
          <w:tcPr>
            <w:tcW w:w="91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D2FE67D"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CATEGORÍA</w:t>
            </w:r>
          </w:p>
        </w:tc>
        <w:tc>
          <w:tcPr>
            <w:tcW w:w="1308"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11AA2101"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PLENA 2021 ANTES DE FOSEVI</w:t>
            </w:r>
          </w:p>
        </w:tc>
        <w:tc>
          <w:tcPr>
            <w:tcW w:w="588"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46C0E3CD"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 xml:space="preserve">IPC </w:t>
            </w:r>
            <w:r>
              <w:rPr>
                <w:rFonts w:ascii="Arial Narrow" w:hAnsi="Arial Narrow" w:cs="Calibri"/>
                <w:b/>
                <w:bCs/>
                <w:i/>
                <w:color w:val="000000"/>
                <w:sz w:val="16"/>
                <w:szCs w:val="16"/>
                <w:lang w:val="es-CO" w:eastAsia="es-CO"/>
              </w:rPr>
              <w:t>DIC 2020</w:t>
            </w:r>
          </w:p>
        </w:tc>
        <w:tc>
          <w:tcPr>
            <w:tcW w:w="590"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70F01167"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IPC DIC 2021</w:t>
            </w:r>
          </w:p>
        </w:tc>
        <w:tc>
          <w:tcPr>
            <w:tcW w:w="121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44D885C4"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INDICE DE ACTUALIZACIÓN</w:t>
            </w:r>
          </w:p>
        </w:tc>
        <w:tc>
          <w:tcPr>
            <w:tcW w:w="1016"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41909907"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BASE 2022</w:t>
            </w:r>
          </w:p>
        </w:tc>
        <w:tc>
          <w:tcPr>
            <w:tcW w:w="980"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634B7FCD"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FOSEVI 2022</w:t>
            </w:r>
          </w:p>
        </w:tc>
        <w:tc>
          <w:tcPr>
            <w:tcW w:w="1023"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6272C8A4"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BASE + FOSEVI 2022</w:t>
            </w:r>
          </w:p>
        </w:tc>
        <w:tc>
          <w:tcPr>
            <w:tcW w:w="1089"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68882E5E" w14:textId="77777777" w:rsidR="00FB7BC4" w:rsidRDefault="00C51BDF">
            <w:pPr>
              <w:jc w:val="center"/>
              <w:rPr>
                <w:rFonts w:ascii="Arial Narrow" w:hAnsi="Arial Narrow" w:cs="Calibri"/>
                <w:b/>
                <w:bCs/>
                <w:i/>
                <w:color w:val="000000"/>
                <w:sz w:val="16"/>
                <w:szCs w:val="16"/>
                <w:lang w:val="es-CO" w:eastAsia="es-CO"/>
              </w:rPr>
            </w:pPr>
            <w:r>
              <w:rPr>
                <w:rFonts w:ascii="Arial Narrow" w:hAnsi="Arial Narrow" w:cs="Calibri"/>
                <w:b/>
                <w:bCs/>
                <w:i/>
                <w:color w:val="000000"/>
                <w:sz w:val="16"/>
                <w:szCs w:val="16"/>
                <w:lang w:val="es-CO" w:eastAsia="es-CO"/>
              </w:rPr>
              <w:t>TARIFA 2022 AJUSTADA A LA CENTENA</w:t>
            </w:r>
          </w:p>
        </w:tc>
      </w:tr>
      <w:tr w:rsidR="00FB7BC4" w14:paraId="16903269" w14:textId="77777777">
        <w:tblPrEx>
          <w:tblCellMar>
            <w:top w:w="0" w:type="dxa"/>
            <w:bottom w:w="0" w:type="dxa"/>
          </w:tblCellMar>
        </w:tblPrEx>
        <w:trPr>
          <w:trHeight w:val="281"/>
          <w:jc w:val="center"/>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EA1A79"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w:t>
            </w:r>
          </w:p>
        </w:tc>
        <w:tc>
          <w:tcPr>
            <w:tcW w:w="130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06923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$ 16.767 </w:t>
            </w:r>
          </w:p>
        </w:tc>
        <w:tc>
          <w:tcPr>
            <w:tcW w:w="58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23FDEE"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D164E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190320"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99E3B9"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$ 17.710 </w:t>
            </w:r>
          </w:p>
        </w:tc>
        <w:tc>
          <w:tcPr>
            <w:tcW w:w="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C22F3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352 </w:t>
            </w:r>
          </w:p>
        </w:tc>
        <w:tc>
          <w:tcPr>
            <w:tcW w:w="102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99FFE2"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18.061 </w:t>
            </w:r>
          </w:p>
        </w:tc>
        <w:tc>
          <w:tcPr>
            <w:tcW w:w="108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FA7611"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$ 18.100 </w:t>
            </w:r>
          </w:p>
        </w:tc>
      </w:tr>
      <w:tr w:rsidR="00FB7BC4" w14:paraId="573AA82E"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EA9D84"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II</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A9B3B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$ 18.967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60100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53BE3F"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B671B1"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34885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$ 20.033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5F40F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4BB832"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20.385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E60AD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$ 20.400 </w:t>
            </w:r>
          </w:p>
        </w:tc>
      </w:tr>
      <w:tr w:rsidR="00FB7BC4" w14:paraId="748AD9A1"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52D0E5"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III</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248F0D"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$ 41.767</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909F7F"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438EB6"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C698ED"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E56BCA"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$ 44.115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65029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21CAC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44.467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6CFF4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$ 44.500 </w:t>
            </w:r>
          </w:p>
        </w:tc>
      </w:tr>
      <w:tr w:rsidR="00FB7BC4" w14:paraId="1F0ADC40"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CBD939"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IV</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590A31"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$ 54.467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E8D344"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FDACE5"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DEBB30"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BFECCA"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$ 57.529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EBDEBF"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CD054D"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57.881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51327E"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$ 57.900 </w:t>
            </w:r>
          </w:p>
        </w:tc>
      </w:tr>
      <w:tr w:rsidR="00FB7BC4" w14:paraId="6D018F46"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B039DF"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CAT V</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A909CF"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$ 65.167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EA3651"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32C5BF"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D92833"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E7F103"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$ 68.831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15DAAD"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352</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730FD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69.182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3381A5"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$ 69.200 </w:t>
            </w:r>
          </w:p>
        </w:tc>
      </w:tr>
      <w:tr w:rsidR="00FB7BC4" w14:paraId="15177917" w14:textId="77777777">
        <w:tblPrEx>
          <w:tblCellMar>
            <w:top w:w="0" w:type="dxa"/>
            <w:bottom w:w="0" w:type="dxa"/>
          </w:tblCellMar>
        </w:tblPrEx>
        <w:trPr>
          <w:trHeight w:val="281"/>
          <w:jc w:val="center"/>
        </w:trPr>
        <w:tc>
          <w:tcPr>
            <w:tcW w:w="91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E265B1" w14:textId="77777777" w:rsidR="00FB7BC4" w:rsidRDefault="00C51BDF">
            <w:pPr>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lastRenderedPageBreak/>
              <w:t>Eje adicional</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641B7B"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6.600 </w:t>
            </w:r>
          </w:p>
        </w:tc>
        <w:tc>
          <w:tcPr>
            <w:tcW w:w="58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7F11FB"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105,48</w:t>
            </w:r>
          </w:p>
        </w:tc>
        <w:tc>
          <w:tcPr>
            <w:tcW w:w="5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E18AEB"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111,41</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9B572D"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1,0562</w:t>
            </w:r>
          </w:p>
        </w:tc>
        <w:tc>
          <w:tcPr>
            <w:tcW w:w="1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C3237"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6.971 </w:t>
            </w:r>
          </w:p>
        </w:tc>
        <w:tc>
          <w:tcPr>
            <w:tcW w:w="9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CF2BCA"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w:t>
            </w:r>
          </w:p>
        </w:tc>
        <w:tc>
          <w:tcPr>
            <w:tcW w:w="10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CFCCFC"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6.971 </w:t>
            </w:r>
          </w:p>
        </w:tc>
        <w:tc>
          <w:tcPr>
            <w:tcW w:w="108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F7A8E8" w14:textId="77777777" w:rsidR="00FB7BC4" w:rsidRDefault="00C51BDF">
            <w:pPr>
              <w:jc w:val="right"/>
              <w:rPr>
                <w:rFonts w:ascii="Arial Narrow" w:hAnsi="Arial Narrow" w:cs="Calibri"/>
                <w:i/>
                <w:color w:val="000000"/>
                <w:sz w:val="16"/>
                <w:szCs w:val="16"/>
                <w:lang w:val="es-CO" w:eastAsia="es-CO"/>
              </w:rPr>
            </w:pPr>
            <w:r>
              <w:rPr>
                <w:rFonts w:ascii="Arial Narrow" w:hAnsi="Arial Narrow" w:cs="Calibri"/>
                <w:i/>
                <w:color w:val="000000"/>
                <w:sz w:val="16"/>
                <w:szCs w:val="16"/>
                <w:lang w:val="es-CO" w:eastAsia="es-CO"/>
              </w:rPr>
              <w:t xml:space="preserve">           $    7.000 </w:t>
            </w:r>
          </w:p>
        </w:tc>
      </w:tr>
    </w:tbl>
    <w:p w14:paraId="408D32A9" w14:textId="77777777" w:rsidR="00FB7BC4" w:rsidRDefault="00C51BDF">
      <w:pPr>
        <w:ind w:left="426" w:right="481"/>
        <w:jc w:val="both"/>
      </w:pPr>
      <w:bookmarkStart w:id="3" w:name="_Hlk63844506"/>
      <w:r>
        <w:rPr>
          <w:rFonts w:ascii="Work Sans" w:hAnsi="Work Sans" w:cs="Arial"/>
          <w:i/>
          <w:sz w:val="16"/>
          <w:szCs w:val="16"/>
        </w:rPr>
        <w:t>La información anterior se tomó del oficio de incremento de tarifas, emitido por la Agencia con radicado ANI No</w:t>
      </w:r>
      <w:r>
        <w:rPr>
          <w:rFonts w:ascii="Work Sans" w:eastAsia="Segoe UI" w:hAnsi="Work Sans" w:cs="Arial"/>
          <w:i/>
          <w:color w:val="000000"/>
          <w:sz w:val="16"/>
          <w:szCs w:val="16"/>
        </w:rPr>
        <w:t xml:space="preserve">. </w:t>
      </w:r>
      <w:r>
        <w:rPr>
          <w:rFonts w:ascii="Work Sans" w:eastAsia="Segoe UI" w:hAnsi="Work Sans" w:cs="Arial"/>
          <w:i/>
          <w:color w:val="000000"/>
          <w:sz w:val="16"/>
          <w:szCs w:val="16"/>
        </w:rPr>
        <w:t>20225000007531</w:t>
      </w:r>
      <w:r>
        <w:rPr>
          <w:rFonts w:ascii="Work Sans" w:hAnsi="Work Sans" w:cs="LiberationSansNarrow-Bold"/>
          <w:b/>
          <w:bCs/>
          <w:i/>
          <w:sz w:val="16"/>
          <w:szCs w:val="16"/>
          <w:lang w:val="es-CO"/>
        </w:rPr>
        <w:t xml:space="preserve"> </w:t>
      </w:r>
      <w:r>
        <w:rPr>
          <w:rFonts w:ascii="Work Sans" w:hAnsi="Work Sans" w:cs="Arial"/>
          <w:i/>
          <w:sz w:val="16"/>
          <w:szCs w:val="16"/>
        </w:rPr>
        <w:t>del 14 de enero de 2022.</w:t>
      </w:r>
    </w:p>
    <w:bookmarkEnd w:id="3"/>
    <w:p w14:paraId="03DD5CEF" w14:textId="77777777" w:rsidR="00FB7BC4" w:rsidRDefault="00FB7BC4">
      <w:pPr>
        <w:ind w:left="426" w:right="481"/>
        <w:jc w:val="both"/>
        <w:rPr>
          <w:rFonts w:ascii="Work Sans" w:hAnsi="Work Sans" w:cs="Arial"/>
          <w:i/>
          <w:sz w:val="16"/>
          <w:szCs w:val="16"/>
        </w:rPr>
      </w:pPr>
    </w:p>
    <w:p w14:paraId="5E42E0A3" w14:textId="77777777" w:rsidR="00FB7BC4" w:rsidRDefault="00C51BDF">
      <w:pPr>
        <w:ind w:left="426" w:right="481"/>
        <w:jc w:val="both"/>
        <w:rPr>
          <w:rFonts w:ascii="Work Sans" w:hAnsi="Work Sans" w:cs="Arial"/>
          <w:i/>
          <w:sz w:val="16"/>
          <w:szCs w:val="16"/>
        </w:rPr>
      </w:pPr>
      <w:r>
        <w:rPr>
          <w:rFonts w:ascii="Work Sans" w:hAnsi="Work Sans" w:cs="Arial"/>
          <w:i/>
          <w:sz w:val="16"/>
          <w:szCs w:val="16"/>
        </w:rPr>
        <w:t>De conformidad con el Contrato de Concesión No. 014 de 2015, Parte Especial, Capítulo IV “Aspectos Económicos del Contrato”, numeral 4.2 “Estructura Tarifaria”, las tarifas serán actualizadas conforme las siguientes</w:t>
      </w:r>
      <w:r>
        <w:rPr>
          <w:rFonts w:ascii="Work Sans" w:hAnsi="Work Sans" w:cs="Arial"/>
          <w:i/>
          <w:sz w:val="16"/>
          <w:szCs w:val="16"/>
        </w:rPr>
        <w:t xml:space="preserve"> secciones del contrato:</w:t>
      </w:r>
    </w:p>
    <w:p w14:paraId="46B0C6AC" w14:textId="77777777" w:rsidR="00FB7BC4" w:rsidRDefault="00FB7BC4">
      <w:pPr>
        <w:ind w:left="426" w:right="481"/>
        <w:rPr>
          <w:rFonts w:ascii="Work Sans" w:hAnsi="Work Sans" w:cs="Arial"/>
          <w:i/>
          <w:sz w:val="16"/>
          <w:szCs w:val="16"/>
        </w:rPr>
      </w:pPr>
    </w:p>
    <w:p w14:paraId="06C29F30" w14:textId="77777777" w:rsidR="00FB7BC4" w:rsidRDefault="00C51BDF">
      <w:pPr>
        <w:ind w:left="567" w:hanging="284"/>
        <w:rPr>
          <w:rFonts w:ascii="Work Sans" w:hAnsi="Work Sans" w:cs="Arial"/>
          <w:i/>
          <w:sz w:val="16"/>
          <w:szCs w:val="16"/>
        </w:rPr>
      </w:pPr>
      <w:r>
        <w:rPr>
          <w:rFonts w:ascii="Work Sans" w:hAnsi="Work Sans" w:cs="Arial"/>
          <w:i/>
          <w:sz w:val="16"/>
          <w:szCs w:val="16"/>
        </w:rPr>
        <w:t>“(…)</w:t>
      </w:r>
    </w:p>
    <w:p w14:paraId="73619AB9" w14:textId="77777777" w:rsidR="00FB7BC4" w:rsidRDefault="00FB7BC4">
      <w:pPr>
        <w:ind w:left="567" w:hanging="284"/>
        <w:rPr>
          <w:rFonts w:ascii="Work Sans" w:hAnsi="Work Sans" w:cs="Arial"/>
          <w:i/>
          <w:sz w:val="16"/>
          <w:szCs w:val="16"/>
        </w:rPr>
      </w:pPr>
    </w:p>
    <w:p w14:paraId="0279A472" w14:textId="77777777" w:rsidR="00FB7BC4" w:rsidRDefault="00C51BDF">
      <w:pPr>
        <w:ind w:left="709" w:right="333" w:hanging="426"/>
        <w:jc w:val="both"/>
      </w:pPr>
      <w:r>
        <w:rPr>
          <w:rFonts w:ascii="Work Sans" w:hAnsi="Work Sans" w:cs="Arial"/>
          <w:i/>
          <w:sz w:val="16"/>
          <w:szCs w:val="16"/>
        </w:rPr>
        <w:t>(d)</w:t>
      </w:r>
      <w:r>
        <w:rPr>
          <w:rFonts w:ascii="Work Sans" w:hAnsi="Work Sans" w:cs="Arial"/>
          <w:i/>
          <w:sz w:val="16"/>
          <w:szCs w:val="16"/>
        </w:rPr>
        <w:tab/>
      </w:r>
      <w:r>
        <w:rPr>
          <w:rFonts w:ascii="Work Sans" w:eastAsia="Apple LiGothic Medium" w:hAnsi="Work Sans" w:cs="Arial"/>
          <w:i/>
          <w:sz w:val="16"/>
          <w:szCs w:val="16"/>
        </w:rPr>
        <w:t xml:space="preserve">Una vez se establezca la </w:t>
      </w:r>
      <m:oMath>
        <m:r>
          <w:rPr>
            <w:rFonts w:ascii="Cambria Math" w:hAnsi="Cambria Math"/>
          </w:rPr>
          <m:t>Tarifa</m:t>
        </m:r>
        <m:r>
          <w:rPr>
            <w:rFonts w:ascii="Cambria Math" w:hAnsi="Cambria Math"/>
          </w:rPr>
          <m:t xml:space="preserve"> </m:t>
        </m:r>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t</m:t>
            </m:r>
          </m:sub>
        </m:sSub>
      </m:oMath>
      <w:r>
        <w:rPr>
          <w:rFonts w:ascii="Work Sans" w:eastAsia="Apple LiGothic Medium" w:hAnsi="Work Sans" w:cs="Arial"/>
          <w:i/>
          <w:sz w:val="16"/>
          <w:szCs w:val="16"/>
        </w:rPr>
        <w:t xml:space="preserve"> sin el redondeo a la centena, para el cálculo de la tarifa a cobrar al usuario por cada categoría de vehículos y cada Estación de Peaje, se le adicionará la tasa correspondiente al Fondo de </w:t>
      </w:r>
      <w:r>
        <w:rPr>
          <w:rFonts w:ascii="Work Sans" w:eastAsia="Apple LiGothic Medium" w:hAnsi="Work Sans" w:cs="Arial"/>
          <w:i/>
          <w:sz w:val="16"/>
          <w:szCs w:val="16"/>
        </w:rPr>
        <w:t>Seguridad Vial de acuerdo con la Resolución de Peajes y se redondeará a la centena más cercana de acuerdo con la siguiente fórmula:</w:t>
      </w:r>
    </w:p>
    <w:p w14:paraId="0FA658FF" w14:textId="77777777" w:rsidR="00FB7BC4" w:rsidRDefault="00FB7BC4">
      <w:pPr>
        <w:ind w:left="709" w:right="333" w:hanging="426"/>
        <w:jc w:val="both"/>
        <w:rPr>
          <w:rFonts w:ascii="Work Sans" w:eastAsia="Apple LiGothic Medium" w:hAnsi="Work Sans" w:cs="Arial"/>
          <w:i/>
          <w:sz w:val="16"/>
          <w:szCs w:val="16"/>
        </w:rPr>
      </w:pPr>
    </w:p>
    <w:p w14:paraId="7BB0EF39" w14:textId="77777777" w:rsidR="00FB7BC4" w:rsidRDefault="00C51BDF">
      <w:pPr>
        <w:ind w:left="284" w:hanging="284"/>
        <w:jc w:val="center"/>
      </w:pPr>
      <m:oMathPara>
        <m:oMathParaPr>
          <m:jc m:val="center"/>
        </m:oMathParaPr>
        <m:oMath>
          <m:sSub>
            <m:sSubPr>
              <m:ctrlPr>
                <w:rPr>
                  <w:rFonts w:ascii="Cambria Math" w:hAnsi="Cambria Math"/>
                </w:rPr>
              </m:ctrlPr>
            </m:sSubPr>
            <m:e>
              <m:r>
                <w:rPr>
                  <w:rFonts w:ascii="Cambria Math" w:hAnsi="Cambria Math"/>
                </w:rPr>
                <m:t>TarifaUsuario</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Redondeo</m:t>
              </m:r>
              <m:r>
                <w:rPr>
                  <w:rFonts w:ascii="Cambria Math" w:hAnsi="Cambria Math"/>
                </w:rPr>
                <m:t xml:space="preserve"> 100*(</m:t>
              </m:r>
              <m:r>
                <w:rPr>
                  <w:rFonts w:ascii="Cambria Math" w:hAnsi="Cambria Math"/>
                </w:rPr>
                <m:t>TarifaSR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FSV</m:t>
              </m:r>
            </m:e>
            <m:sub>
              <m:r>
                <w:rPr>
                  <w:rFonts w:ascii="Cambria Math" w:hAnsi="Cambria Math"/>
                </w:rPr>
                <m:t>t</m:t>
              </m:r>
            </m:sub>
          </m:sSub>
          <m:r>
            <w:rPr>
              <w:rFonts w:ascii="Cambria Math" w:hAnsi="Cambria Math"/>
            </w:rPr>
            <m:t>)</m:t>
          </m:r>
        </m:oMath>
      </m:oMathPara>
    </w:p>
    <w:p w14:paraId="4DD66494" w14:textId="77777777" w:rsidR="00FB7BC4" w:rsidRDefault="00C51BDF">
      <w:pPr>
        <w:ind w:left="284"/>
        <w:jc w:val="both"/>
        <w:rPr>
          <w:rFonts w:ascii="Work Sans" w:hAnsi="Work Sans" w:cs="Arial"/>
          <w:i/>
          <w:sz w:val="16"/>
          <w:szCs w:val="16"/>
        </w:rPr>
      </w:pPr>
      <w:r>
        <w:rPr>
          <w:rFonts w:ascii="Work Sans" w:hAnsi="Work Sans" w:cs="Arial"/>
          <w:i/>
          <w:sz w:val="16"/>
          <w:szCs w:val="16"/>
        </w:rPr>
        <w:t>Donde:</w:t>
      </w:r>
    </w:p>
    <w:tbl>
      <w:tblPr>
        <w:tblW w:w="7371" w:type="dxa"/>
        <w:tblInd w:w="988" w:type="dxa"/>
        <w:tblCellMar>
          <w:left w:w="10" w:type="dxa"/>
          <w:right w:w="10" w:type="dxa"/>
        </w:tblCellMar>
        <w:tblLook w:val="0000" w:firstRow="0" w:lastRow="0" w:firstColumn="0" w:lastColumn="0" w:noHBand="0" w:noVBand="0"/>
      </w:tblPr>
      <w:tblGrid>
        <w:gridCol w:w="1896"/>
        <w:gridCol w:w="5475"/>
      </w:tblGrid>
      <w:tr w:rsidR="00FB7BC4" w14:paraId="4D4DFB32" w14:textId="77777777">
        <w:tblPrEx>
          <w:tblCellMar>
            <w:top w:w="0" w:type="dxa"/>
            <w:bottom w:w="0" w:type="dxa"/>
          </w:tblCellMar>
        </w:tblPrEx>
        <w:trPr>
          <w:trHeight w:val="20"/>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D59CF" w14:textId="77777777" w:rsidR="00FB7BC4" w:rsidRDefault="00C51BDF">
            <w:pPr>
              <w:autoSpaceDE w:val="0"/>
              <w:spacing w:before="120"/>
              <w:ind w:left="284" w:hanging="284"/>
            </w:pPr>
            <m:oMathPara>
              <m:oMathParaPr>
                <m:jc m:val="left"/>
              </m:oMathParaPr>
              <m:oMath>
                <m:sSub>
                  <m:sSubPr>
                    <m:ctrlPr>
                      <w:rPr>
                        <w:rFonts w:ascii="Cambria Math" w:hAnsi="Cambria Math"/>
                      </w:rPr>
                    </m:ctrlPr>
                  </m:sSubPr>
                  <m:e>
                    <m:r>
                      <w:rPr>
                        <w:rFonts w:ascii="Cambria Math" w:hAnsi="Cambria Math"/>
                      </w:rPr>
                      <m:t>TarifaUsuario</m:t>
                    </m:r>
                  </m:e>
                  <m:sub>
                    <m:r>
                      <w:rPr>
                        <w:rFonts w:ascii="Cambria Math" w:hAnsi="Cambria Math"/>
                      </w:rPr>
                      <m:t>t</m:t>
                    </m:r>
                  </m:sub>
                </m:sSub>
              </m:oMath>
            </m:oMathPara>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B1E16" w14:textId="77777777" w:rsidR="00FB7BC4" w:rsidRDefault="00C51BDF">
            <w:pPr>
              <w:autoSpaceDE w:val="0"/>
              <w:spacing w:before="120"/>
              <w:ind w:left="55"/>
              <w:rPr>
                <w:rFonts w:ascii="Work Sans" w:hAnsi="Work Sans" w:cs="Arial"/>
                <w:i/>
                <w:sz w:val="16"/>
                <w:szCs w:val="16"/>
              </w:rPr>
            </w:pPr>
            <w:r>
              <w:rPr>
                <w:rFonts w:ascii="Work Sans" w:hAnsi="Work Sans" w:cs="Arial"/>
                <w:i/>
                <w:sz w:val="16"/>
                <w:szCs w:val="16"/>
              </w:rPr>
              <w:t xml:space="preserve">Para cada categoría de vehículos y cada Estación de Peaje es el valor de la tarifa a pagar por el usuario para </w:t>
            </w:r>
            <w:r>
              <w:rPr>
                <w:rFonts w:ascii="Work Sans" w:hAnsi="Work Sans" w:cs="Arial"/>
                <w:i/>
                <w:sz w:val="16"/>
                <w:szCs w:val="16"/>
              </w:rPr>
              <w:t>el año t</w:t>
            </w:r>
          </w:p>
        </w:tc>
      </w:tr>
      <w:tr w:rsidR="00FB7BC4" w14:paraId="325351BF" w14:textId="77777777">
        <w:tblPrEx>
          <w:tblCellMar>
            <w:top w:w="0" w:type="dxa"/>
            <w:bottom w:w="0" w:type="dxa"/>
          </w:tblCellMar>
        </w:tblPrEx>
        <w:trPr>
          <w:trHeight w:val="811"/>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A98C3" w14:textId="77777777" w:rsidR="00FB7BC4" w:rsidRDefault="00C51BDF">
            <w:pPr>
              <w:autoSpaceDE w:val="0"/>
              <w:spacing w:before="120" w:after="120"/>
              <w:ind w:left="284" w:hanging="284"/>
            </w:pPr>
            <m:oMathPara>
              <m:oMathParaPr>
                <m:jc m:val="left"/>
              </m:oMathParaPr>
              <m:oMath>
                <m:r>
                  <w:rPr>
                    <w:rFonts w:ascii="Cambria Math" w:hAnsi="Cambria Math"/>
                  </w:rPr>
                  <m:t>Tarifa</m:t>
                </m:r>
                <m:r>
                  <w:rPr>
                    <w:rFonts w:ascii="Cambria Math" w:hAnsi="Cambria Math"/>
                  </w:rPr>
                  <m:t xml:space="preserve"> </m:t>
                </m:r>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t</m:t>
                    </m:r>
                  </m:sub>
                </m:sSub>
              </m:oMath>
            </m:oMathPara>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34464" w14:textId="77777777" w:rsidR="00FB7BC4" w:rsidRDefault="00C51BDF">
            <w:pPr>
              <w:autoSpaceDE w:val="0"/>
              <w:spacing w:before="120" w:after="120"/>
              <w:ind w:left="55"/>
              <w:rPr>
                <w:rFonts w:ascii="Work Sans" w:hAnsi="Work Sans" w:cs="Arial"/>
                <w:i/>
                <w:sz w:val="16"/>
                <w:szCs w:val="16"/>
              </w:rPr>
            </w:pPr>
            <w:r>
              <w:rPr>
                <w:rFonts w:ascii="Work Sans" w:hAnsi="Work Sans" w:cs="Arial"/>
                <w:i/>
                <w:sz w:val="16"/>
                <w:szCs w:val="16"/>
              </w:rPr>
              <w:t>Para cada categoría de vehículos y cada Estación de Peaje es el valor de la Tarifa actualizada en Pesos corrientes del año t, sin el redondeo a la centena</w:t>
            </w:r>
          </w:p>
        </w:tc>
      </w:tr>
      <w:tr w:rsidR="00FB7BC4" w14:paraId="4B2C160E" w14:textId="77777777">
        <w:tblPrEx>
          <w:tblCellMar>
            <w:top w:w="0" w:type="dxa"/>
            <w:bottom w:w="0" w:type="dxa"/>
          </w:tblCellMar>
        </w:tblPrEx>
        <w:trPr>
          <w:trHeight w:val="542"/>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3E6AE" w14:textId="77777777" w:rsidR="00FB7BC4" w:rsidRDefault="00C51BDF">
            <w:pPr>
              <w:autoSpaceDE w:val="0"/>
              <w:spacing w:before="120" w:after="120"/>
              <w:ind w:left="284" w:hanging="284"/>
            </w:pPr>
            <m:oMathPara>
              <m:oMathParaPr>
                <m:jc m:val="left"/>
              </m:oMathParaPr>
              <m:oMath>
                <m:sSub>
                  <m:sSubPr>
                    <m:ctrlPr>
                      <w:rPr>
                        <w:rFonts w:ascii="Cambria Math" w:hAnsi="Cambria Math"/>
                      </w:rPr>
                    </m:ctrlPr>
                  </m:sSubPr>
                  <m:e>
                    <m:r>
                      <w:rPr>
                        <w:rFonts w:ascii="Cambria Math" w:hAnsi="Cambria Math"/>
                      </w:rPr>
                      <m:t>FSV</m:t>
                    </m:r>
                  </m:e>
                  <m:sub>
                    <m:r>
                      <w:rPr>
                        <w:rFonts w:ascii="Cambria Math" w:hAnsi="Cambria Math"/>
                      </w:rPr>
                      <m:t>t</m:t>
                    </m:r>
                  </m:sub>
                </m:sSub>
              </m:oMath>
            </m:oMathPara>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6F9" w14:textId="77777777" w:rsidR="00FB7BC4" w:rsidRDefault="00C51BDF">
            <w:pPr>
              <w:autoSpaceDE w:val="0"/>
              <w:spacing w:before="120" w:after="120"/>
              <w:ind w:left="55"/>
              <w:rPr>
                <w:rFonts w:ascii="Work Sans" w:hAnsi="Work Sans" w:cs="Arial"/>
                <w:i/>
                <w:sz w:val="16"/>
                <w:szCs w:val="16"/>
              </w:rPr>
            </w:pPr>
            <w:r>
              <w:rPr>
                <w:rFonts w:ascii="Work Sans" w:hAnsi="Work Sans" w:cs="Arial"/>
                <w:i/>
                <w:sz w:val="16"/>
                <w:szCs w:val="16"/>
              </w:rPr>
              <w:t xml:space="preserve">Es el valor del aporte al Fondo de Seguridad Vial para el año t vigente al </w:t>
            </w:r>
            <w:r>
              <w:rPr>
                <w:rFonts w:ascii="Work Sans" w:hAnsi="Work Sans" w:cs="Arial"/>
                <w:i/>
                <w:sz w:val="16"/>
                <w:szCs w:val="16"/>
              </w:rPr>
              <w:t>momento del cálculo, expresado en pesos corrientes del año t</w:t>
            </w:r>
          </w:p>
        </w:tc>
      </w:tr>
      <w:tr w:rsidR="00FB7BC4" w14:paraId="6D6E886B" w14:textId="77777777">
        <w:tblPrEx>
          <w:tblCellMar>
            <w:top w:w="0" w:type="dxa"/>
            <w:bottom w:w="0" w:type="dxa"/>
          </w:tblCellMar>
        </w:tblPrEx>
        <w:trPr>
          <w:trHeight w:val="20"/>
        </w:trPr>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6E861" w14:textId="77777777" w:rsidR="00FB7BC4" w:rsidRDefault="00C51BDF">
            <w:pPr>
              <w:autoSpaceDE w:val="0"/>
              <w:spacing w:before="120" w:after="120"/>
              <w:ind w:left="284" w:hanging="284"/>
            </w:pPr>
            <m:oMathPara>
              <m:oMathParaPr>
                <m:jc m:val="left"/>
              </m:oMathParaPr>
              <m:oMath>
                <m:r>
                  <w:rPr>
                    <w:rFonts w:ascii="Cambria Math" w:hAnsi="Cambria Math"/>
                  </w:rPr>
                  <m:t>Redondeo</m:t>
                </m:r>
                <m:r>
                  <w:rPr>
                    <w:rFonts w:ascii="Cambria Math" w:hAnsi="Cambria Math"/>
                  </w:rPr>
                  <m:t xml:space="preserve"> 100</m:t>
                </m:r>
              </m:oMath>
            </m:oMathPara>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DD484" w14:textId="77777777" w:rsidR="00FB7BC4" w:rsidRDefault="00C51BDF">
            <w:pPr>
              <w:autoSpaceDE w:val="0"/>
              <w:spacing w:before="120" w:after="120"/>
              <w:ind w:left="55"/>
              <w:rPr>
                <w:rFonts w:ascii="Work Sans" w:hAnsi="Work Sans" w:cs="Arial"/>
                <w:i/>
                <w:sz w:val="16"/>
                <w:szCs w:val="16"/>
              </w:rPr>
            </w:pPr>
            <w:r>
              <w:rPr>
                <w:rFonts w:ascii="Work Sans" w:hAnsi="Work Sans" w:cs="Arial"/>
                <w:i/>
                <w:sz w:val="16"/>
                <w:szCs w:val="16"/>
              </w:rPr>
              <w:t xml:space="preserve">Función que redondea un número al múltiplo de 100 más cercano. Redondea a hacia la centena superior, si el residuo de dividir el número entre cien (100) es mayor o igual a cincuenta (50). </w:t>
            </w:r>
            <w:r>
              <w:rPr>
                <w:rFonts w:ascii="Work Sans" w:hAnsi="Work Sans" w:cs="Arial"/>
                <w:i/>
                <w:sz w:val="16"/>
                <w:szCs w:val="16"/>
              </w:rPr>
              <w:t>Redondea hacia la centena inferior, si el residuo de dividir el número entre cien (100) es menor que cincuenta (50)</w:t>
            </w:r>
          </w:p>
        </w:tc>
      </w:tr>
    </w:tbl>
    <w:p w14:paraId="4474611D" w14:textId="77777777" w:rsidR="00FB7BC4" w:rsidRDefault="00FB7BC4">
      <w:pPr>
        <w:ind w:left="284" w:hanging="284"/>
        <w:jc w:val="both"/>
        <w:rPr>
          <w:rFonts w:ascii="Work Sans" w:hAnsi="Work Sans" w:cs="Arial"/>
          <w:sz w:val="16"/>
          <w:szCs w:val="16"/>
        </w:rPr>
      </w:pPr>
    </w:p>
    <w:p w14:paraId="3FBE7345" w14:textId="77777777" w:rsidR="00FB7BC4" w:rsidRDefault="00C51BDF">
      <w:pPr>
        <w:ind w:left="709" w:right="333" w:hanging="284"/>
        <w:jc w:val="both"/>
        <w:rPr>
          <w:rFonts w:ascii="Work Sans" w:hAnsi="Work Sans" w:cs="Arial"/>
          <w:i/>
          <w:iCs/>
          <w:sz w:val="16"/>
          <w:szCs w:val="16"/>
        </w:rPr>
      </w:pPr>
      <w:r>
        <w:rPr>
          <w:rFonts w:ascii="Work Sans" w:hAnsi="Work Sans" w:cs="Arial"/>
          <w:i/>
          <w:iCs/>
          <w:sz w:val="16"/>
          <w:szCs w:val="16"/>
        </w:rPr>
        <w:t>(…)</w:t>
      </w:r>
    </w:p>
    <w:p w14:paraId="085900D3" w14:textId="77777777" w:rsidR="00FB7BC4" w:rsidRDefault="00FB7BC4">
      <w:pPr>
        <w:ind w:left="709" w:right="333" w:hanging="284"/>
        <w:jc w:val="both"/>
        <w:rPr>
          <w:rFonts w:ascii="Work Sans" w:hAnsi="Work Sans" w:cs="Arial"/>
          <w:i/>
          <w:iCs/>
          <w:sz w:val="16"/>
          <w:szCs w:val="16"/>
        </w:rPr>
      </w:pPr>
    </w:p>
    <w:p w14:paraId="59816190" w14:textId="77777777" w:rsidR="00FB7BC4" w:rsidRDefault="00C51BDF">
      <w:pPr>
        <w:ind w:left="709" w:right="333" w:hanging="426"/>
        <w:jc w:val="both"/>
      </w:pPr>
      <w:r>
        <w:rPr>
          <w:rFonts w:ascii="Work Sans" w:hAnsi="Work Sans" w:cs="Arial"/>
          <w:i/>
          <w:sz w:val="16"/>
          <w:szCs w:val="16"/>
        </w:rPr>
        <w:t>(e)</w:t>
      </w:r>
      <w:r>
        <w:rPr>
          <w:rFonts w:ascii="Work Sans" w:hAnsi="Work Sans" w:cs="Arial"/>
          <w:i/>
          <w:sz w:val="16"/>
          <w:szCs w:val="16"/>
        </w:rPr>
        <w:tab/>
        <w:t xml:space="preserve">Para la segunda y posteriores actualizaciones, las tarifas serán ajustadas utilizando las fórmulas establecidas a </w:t>
      </w:r>
      <w:r>
        <w:rPr>
          <w:rFonts w:ascii="Work Sans" w:hAnsi="Work Sans" w:cs="Arial"/>
          <w:i/>
          <w:sz w:val="16"/>
          <w:szCs w:val="16"/>
        </w:rPr>
        <w:t>continuación. Las tarifas de la Estación de Peaje regirán desde el dieciséis (16) de enero de cada año hasta el 15 de enero del año siguiente.</w:t>
      </w:r>
    </w:p>
    <w:p w14:paraId="5388B305" w14:textId="77777777" w:rsidR="00FB7BC4" w:rsidRDefault="00C51BDF">
      <w:pPr>
        <w:pStyle w:val="Prrafodelista"/>
        <w:ind w:left="284" w:hanging="284"/>
        <w:jc w:val="center"/>
      </w:pPr>
      <m:oMathPara>
        <m:oMathParaPr>
          <m:jc m:val="center"/>
        </m:oMathParaPr>
        <m:oMath>
          <m:r>
            <w:rPr>
              <w:rFonts w:ascii="Cambria Math" w:hAnsi="Cambria Math"/>
            </w:rPr>
            <m:t>Tarifa</m:t>
          </m:r>
          <m:r>
            <w:rPr>
              <w:rFonts w:ascii="Cambria Math" w:hAnsi="Cambria Math"/>
            </w:rPr>
            <m:t xml:space="preserve"> </m:t>
          </m:r>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Tarifa</m:t>
              </m:r>
            </m:e>
            <m:sub>
              <m:r>
                <w:rPr>
                  <w:rFonts w:ascii="Cambria Math" w:hAnsi="Cambria Math"/>
                </w:rPr>
                <m:t>t</m:t>
              </m:r>
              <m:r>
                <w:rPr>
                  <w:rFonts w:ascii="Cambria Math" w:hAnsi="Cambria Math"/>
                </w:rPr>
                <m:t>-1</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-1</m:t>
                      </m:r>
                    </m:sub>
                  </m:sSub>
                </m:num>
                <m:den>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-2</m:t>
                      </m:r>
                    </m:sub>
                  </m:sSub>
                </m:den>
              </m:f>
            </m:e>
          </m:d>
        </m:oMath>
      </m:oMathPara>
    </w:p>
    <w:p w14:paraId="3E489B43" w14:textId="77777777" w:rsidR="00FB7BC4" w:rsidRDefault="00C51BDF">
      <w:pPr>
        <w:ind w:left="284" w:hanging="284"/>
        <w:jc w:val="both"/>
        <w:rPr>
          <w:rFonts w:ascii="Work Sans" w:hAnsi="Work Sans" w:cs="Arial"/>
          <w:i/>
          <w:iCs/>
          <w:sz w:val="16"/>
          <w:szCs w:val="16"/>
        </w:rPr>
      </w:pPr>
      <w:r>
        <w:rPr>
          <w:rFonts w:ascii="Work Sans" w:hAnsi="Work Sans" w:cs="Arial"/>
          <w:i/>
          <w:iCs/>
          <w:sz w:val="16"/>
          <w:szCs w:val="16"/>
        </w:rPr>
        <w:t xml:space="preserve">Donde: </w:t>
      </w:r>
    </w:p>
    <w:tbl>
      <w:tblPr>
        <w:tblW w:w="7933" w:type="dxa"/>
        <w:jc w:val="center"/>
        <w:tblCellMar>
          <w:left w:w="10" w:type="dxa"/>
          <w:right w:w="10" w:type="dxa"/>
        </w:tblCellMar>
        <w:tblLook w:val="0000" w:firstRow="0" w:lastRow="0" w:firstColumn="0" w:lastColumn="0" w:noHBand="0" w:noVBand="0"/>
      </w:tblPr>
      <w:tblGrid>
        <w:gridCol w:w="1378"/>
        <w:gridCol w:w="6555"/>
      </w:tblGrid>
      <w:tr w:rsidR="00FB7BC4" w14:paraId="281D1049" w14:textId="77777777">
        <w:tblPrEx>
          <w:tblCellMar>
            <w:top w:w="0" w:type="dxa"/>
            <w:bottom w:w="0" w:type="dxa"/>
          </w:tblCellMar>
        </w:tblPrEx>
        <w:trPr>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2805" w14:textId="77777777" w:rsidR="00FB7BC4" w:rsidRDefault="00C51BDF">
            <w:pPr>
              <w:ind w:left="284" w:hanging="284"/>
              <w:jc w:val="center"/>
              <w:textAlignment w:val="auto"/>
            </w:pPr>
            <m:oMathPara>
              <m:oMathParaPr>
                <m:jc m:val="center"/>
              </m:oMathParaPr>
              <m:oMath>
                <m:r>
                  <w:rPr>
                    <w:rFonts w:ascii="Cambria Math" w:hAnsi="Cambria Math"/>
                  </w:rPr>
                  <m:t>Tarifa</m:t>
                </m:r>
                <m:r>
                  <w:rPr>
                    <w:rFonts w:ascii="Cambria Math" w:hAnsi="Cambria Math"/>
                  </w:rPr>
                  <m:t xml:space="preserve"> </m:t>
                </m:r>
                <m:r>
                  <w:rPr>
                    <w:rFonts w:ascii="Cambria Math" w:hAnsi="Cambria Math"/>
                  </w:rPr>
                  <m:t>S</m:t>
                </m:r>
                <m:sSub>
                  <m:sSubPr>
                    <m:ctrlPr>
                      <w:rPr>
                        <w:rFonts w:ascii="Cambria Math" w:hAnsi="Cambria Math"/>
                      </w:rPr>
                    </m:ctrlPr>
                  </m:sSubPr>
                  <m:e>
                    <m:r>
                      <w:rPr>
                        <w:rFonts w:ascii="Cambria Math" w:hAnsi="Cambria Math"/>
                      </w:rPr>
                      <m:t>R</m:t>
                    </m:r>
                  </m:e>
                  <m:sub>
                    <m:r>
                      <w:rPr>
                        <w:rFonts w:ascii="Cambria Math" w:hAnsi="Cambria Math"/>
                      </w:rPr>
                      <m:t>t</m:t>
                    </m:r>
                  </m:sub>
                </m:sSub>
              </m:oMath>
            </m:oMathPara>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F0A6" w14:textId="77777777" w:rsidR="00FB7BC4" w:rsidRDefault="00C51BDF">
            <w:pPr>
              <w:jc w:val="both"/>
              <w:textAlignment w:val="auto"/>
              <w:rPr>
                <w:rFonts w:ascii="Work Sans" w:hAnsi="Work Sans" w:cs="Arial"/>
                <w:i/>
                <w:iCs/>
                <w:sz w:val="16"/>
                <w:szCs w:val="16"/>
              </w:rPr>
            </w:pPr>
            <w:r>
              <w:rPr>
                <w:rFonts w:ascii="Work Sans" w:hAnsi="Work Sans" w:cs="Arial"/>
                <w:i/>
                <w:iCs/>
                <w:sz w:val="16"/>
                <w:szCs w:val="16"/>
              </w:rPr>
              <w:t>Para cada categoría de vehículos y cada Estación de Peaje es el valor de la Tarifa actualizada en Pesos</w:t>
            </w:r>
            <w:r>
              <w:rPr>
                <w:rFonts w:ascii="Work Sans" w:hAnsi="Work Sans" w:cs="Arial"/>
                <w:i/>
                <w:iCs/>
                <w:sz w:val="16"/>
                <w:szCs w:val="16"/>
              </w:rPr>
              <w:t xml:space="preserve"> Corrientes del año t, sin el redondeo a la centena</w:t>
            </w:r>
          </w:p>
        </w:tc>
      </w:tr>
      <w:tr w:rsidR="00FB7BC4" w14:paraId="299C9402" w14:textId="77777777">
        <w:tblPrEx>
          <w:tblCellMar>
            <w:top w:w="0" w:type="dxa"/>
            <w:bottom w:w="0" w:type="dxa"/>
          </w:tblCellMar>
        </w:tblPrEx>
        <w:trPr>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6945C" w14:textId="77777777" w:rsidR="00FB7BC4" w:rsidRDefault="00C51BDF">
            <w:pPr>
              <w:ind w:left="284" w:hanging="284"/>
              <w:jc w:val="center"/>
              <w:textAlignment w:val="auto"/>
            </w:pPr>
            <m:oMathPara>
              <m:oMathParaPr>
                <m:jc m:val="center"/>
              </m:oMathParaPr>
              <m:oMath>
                <m:sSub>
                  <m:sSubPr>
                    <m:ctrlPr>
                      <w:rPr>
                        <w:rFonts w:ascii="Cambria Math" w:hAnsi="Cambria Math"/>
                      </w:rPr>
                    </m:ctrlPr>
                  </m:sSubPr>
                  <m:e>
                    <m:r>
                      <w:rPr>
                        <w:rFonts w:ascii="Cambria Math" w:hAnsi="Cambria Math"/>
                      </w:rPr>
                      <m:t>Tarifa</m:t>
                    </m:r>
                  </m:e>
                  <m:sub>
                    <m:r>
                      <w:rPr>
                        <w:rFonts w:ascii="Cambria Math" w:hAnsi="Cambria Math"/>
                      </w:rPr>
                      <m:t>t</m:t>
                    </m:r>
                    <m:r>
                      <w:rPr>
                        <w:rFonts w:ascii="Cambria Math" w:hAnsi="Cambria Math"/>
                      </w:rPr>
                      <m:t>-1</m:t>
                    </m:r>
                  </m:sub>
                </m:sSub>
              </m:oMath>
            </m:oMathPara>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9770" w14:textId="77777777" w:rsidR="00FB7BC4" w:rsidRDefault="00C51BDF">
            <w:pPr>
              <w:jc w:val="both"/>
              <w:textAlignment w:val="auto"/>
              <w:rPr>
                <w:rFonts w:ascii="Work Sans" w:hAnsi="Work Sans" w:cs="Arial"/>
                <w:i/>
                <w:iCs/>
                <w:sz w:val="16"/>
                <w:szCs w:val="16"/>
              </w:rPr>
            </w:pPr>
            <w:r>
              <w:rPr>
                <w:rFonts w:ascii="Work Sans" w:hAnsi="Work Sans" w:cs="Arial"/>
                <w:i/>
                <w:iCs/>
                <w:sz w:val="16"/>
                <w:szCs w:val="16"/>
              </w:rPr>
              <w:t xml:space="preserve">Corresponde a la tarifa cobrada al usuario del periodo inmediatamente anterior restándole la tarifa del Fondo de Seguridad Vial (FSV) o cualquier sobretasa o similar que tenga destinación </w:t>
            </w:r>
            <w:r>
              <w:rPr>
                <w:rFonts w:ascii="Work Sans" w:hAnsi="Work Sans" w:cs="Arial"/>
                <w:i/>
                <w:iCs/>
                <w:sz w:val="16"/>
                <w:szCs w:val="16"/>
              </w:rPr>
              <w:t>diferente al Proyecto, cobrada del año inmediatamente anterior</w:t>
            </w:r>
          </w:p>
        </w:tc>
      </w:tr>
      <w:tr w:rsidR="00FB7BC4" w14:paraId="10002425" w14:textId="77777777">
        <w:tblPrEx>
          <w:tblCellMar>
            <w:top w:w="0" w:type="dxa"/>
            <w:bottom w:w="0" w:type="dxa"/>
          </w:tblCellMar>
        </w:tblPrEx>
        <w:trPr>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CEEA" w14:textId="77777777" w:rsidR="00FB7BC4" w:rsidRDefault="00C51BDF">
            <w:pPr>
              <w:ind w:left="284" w:hanging="284"/>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-1</m:t>
                    </m:r>
                  </m:sub>
                </m:sSub>
              </m:oMath>
            </m:oMathPara>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DE12" w14:textId="77777777" w:rsidR="00FB7BC4" w:rsidRDefault="00C51BDF">
            <w:pPr>
              <w:jc w:val="both"/>
              <w:textAlignment w:val="auto"/>
              <w:rPr>
                <w:rFonts w:ascii="Work Sans" w:hAnsi="Work Sans" w:cs="Arial"/>
                <w:i/>
                <w:iCs/>
                <w:sz w:val="16"/>
                <w:szCs w:val="16"/>
              </w:rPr>
            </w:pPr>
            <w:r>
              <w:rPr>
                <w:rFonts w:ascii="Work Sans" w:hAnsi="Work Sans" w:cs="Arial"/>
                <w:i/>
                <w:iCs/>
                <w:sz w:val="16"/>
                <w:szCs w:val="16"/>
              </w:rPr>
              <w:t>IPC de Diciembre del año inmediatamente anterior al año t de actualización</w:t>
            </w:r>
          </w:p>
        </w:tc>
      </w:tr>
      <w:tr w:rsidR="00FB7BC4" w14:paraId="6CD9790B" w14:textId="77777777">
        <w:tblPrEx>
          <w:tblCellMar>
            <w:top w:w="0" w:type="dxa"/>
            <w:bottom w:w="0" w:type="dxa"/>
          </w:tblCellMar>
        </w:tblPrEx>
        <w:trPr>
          <w:trHeight w:val="132"/>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5D7B" w14:textId="77777777" w:rsidR="00FB7BC4" w:rsidRDefault="00C51BDF">
            <w:pPr>
              <w:ind w:left="284" w:hanging="284"/>
              <w:jc w:val="center"/>
              <w:textAlignment w:val="auto"/>
            </w:pPr>
            <m:oMathPara>
              <m:oMathParaPr>
                <m:jc m:val="center"/>
              </m:oMathParaPr>
              <m:oMath>
                <m:sSub>
                  <m:sSubPr>
                    <m:ctrlPr>
                      <w:rPr>
                        <w:rFonts w:ascii="Cambria Math" w:hAnsi="Cambria Math"/>
                      </w:rPr>
                    </m:ctrlPr>
                  </m:sSubPr>
                  <m:e>
                    <m:r>
                      <w:rPr>
                        <w:rFonts w:ascii="Cambria Math" w:hAnsi="Cambria Math"/>
                      </w:rPr>
                      <m:t>IPC</m:t>
                    </m:r>
                  </m:e>
                  <m:sub>
                    <m:r>
                      <w:rPr>
                        <w:rFonts w:ascii="Cambria Math" w:hAnsi="Cambria Math"/>
                      </w:rPr>
                      <m:t>t</m:t>
                    </m:r>
                    <m:r>
                      <w:rPr>
                        <w:rFonts w:ascii="Cambria Math" w:hAnsi="Cambria Math"/>
                      </w:rPr>
                      <m:t>-2</m:t>
                    </m:r>
                  </m:sub>
                </m:sSub>
              </m:oMath>
            </m:oMathPara>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20CF" w14:textId="77777777" w:rsidR="00FB7BC4" w:rsidRDefault="00C51BDF">
            <w:pPr>
              <w:jc w:val="both"/>
              <w:textAlignment w:val="auto"/>
              <w:rPr>
                <w:rFonts w:ascii="Work Sans" w:hAnsi="Work Sans" w:cs="Arial"/>
                <w:i/>
                <w:iCs/>
                <w:sz w:val="16"/>
                <w:szCs w:val="16"/>
              </w:rPr>
            </w:pPr>
            <w:r>
              <w:rPr>
                <w:rFonts w:ascii="Work Sans" w:hAnsi="Work Sans" w:cs="Arial"/>
                <w:i/>
                <w:iCs/>
                <w:sz w:val="16"/>
                <w:szCs w:val="16"/>
              </w:rPr>
              <w:t>IPC de Diciembre del año inmediatamente anterior al año t-1</w:t>
            </w:r>
          </w:p>
        </w:tc>
      </w:tr>
      <w:tr w:rsidR="00FB7BC4" w14:paraId="07173665" w14:textId="77777777">
        <w:tblPrEx>
          <w:tblCellMar>
            <w:top w:w="0" w:type="dxa"/>
            <w:bottom w:w="0" w:type="dxa"/>
          </w:tblCellMar>
        </w:tblPrEx>
        <w:trPr>
          <w:trHeight w:val="132"/>
          <w:jc w:val="center"/>
        </w:trPr>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57EA6" w14:textId="77777777" w:rsidR="00FB7BC4" w:rsidRDefault="00C51BDF">
            <w:pPr>
              <w:ind w:left="284" w:hanging="284"/>
              <w:textAlignment w:val="auto"/>
              <w:rPr>
                <w:rFonts w:ascii="Work Sans" w:hAnsi="Work Sans"/>
                <w:i/>
                <w:iCs/>
                <w:sz w:val="16"/>
                <w:szCs w:val="16"/>
              </w:rPr>
            </w:pPr>
            <w:r>
              <w:rPr>
                <w:rFonts w:ascii="Work Sans" w:hAnsi="Work Sans"/>
                <w:i/>
                <w:iCs/>
                <w:sz w:val="16"/>
                <w:szCs w:val="16"/>
              </w:rPr>
              <w:t>t</w:t>
            </w:r>
          </w:p>
        </w:tc>
        <w:tc>
          <w:tcPr>
            <w:tcW w:w="6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969F" w14:textId="77777777" w:rsidR="00FB7BC4" w:rsidRDefault="00C51BDF">
            <w:pPr>
              <w:jc w:val="both"/>
              <w:textAlignment w:val="auto"/>
              <w:rPr>
                <w:rFonts w:ascii="Work Sans" w:hAnsi="Work Sans" w:cs="Arial"/>
                <w:i/>
                <w:iCs/>
                <w:sz w:val="16"/>
                <w:szCs w:val="16"/>
              </w:rPr>
            </w:pPr>
            <w:r>
              <w:rPr>
                <w:rFonts w:ascii="Work Sans" w:hAnsi="Work Sans" w:cs="Arial"/>
                <w:i/>
                <w:iCs/>
                <w:sz w:val="16"/>
                <w:szCs w:val="16"/>
              </w:rPr>
              <w:t>Año de Actualización de la tarifa</w:t>
            </w:r>
          </w:p>
        </w:tc>
      </w:tr>
    </w:tbl>
    <w:p w14:paraId="208E71FF" w14:textId="77777777" w:rsidR="00FB7BC4" w:rsidRDefault="00C51BDF">
      <w:pPr>
        <w:ind w:left="284" w:hanging="284"/>
        <w:jc w:val="both"/>
      </w:pP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sz w:val="16"/>
          <w:szCs w:val="16"/>
        </w:rPr>
        <w:tab/>
      </w:r>
      <w:r>
        <w:rPr>
          <w:rFonts w:ascii="Work Sans" w:hAnsi="Work Sans" w:cs="Arial"/>
          <w:i/>
          <w:iCs/>
          <w:sz w:val="16"/>
          <w:szCs w:val="16"/>
        </w:rPr>
        <w:t>(…)</w:t>
      </w:r>
      <w:r>
        <w:rPr>
          <w:rFonts w:ascii="Work Sans" w:hAnsi="Work Sans" w:cs="Arial"/>
          <w:sz w:val="16"/>
          <w:szCs w:val="16"/>
        </w:rPr>
        <w:t>”.</w:t>
      </w:r>
    </w:p>
    <w:p w14:paraId="13B80B0C" w14:textId="77777777" w:rsidR="00FB7BC4" w:rsidRDefault="00C51BDF">
      <w:pPr>
        <w:ind w:left="426" w:right="481"/>
        <w:jc w:val="both"/>
        <w:rPr>
          <w:rFonts w:ascii="Work Sans" w:hAnsi="Work Sans" w:cs="Arial"/>
          <w:i/>
          <w:sz w:val="16"/>
          <w:szCs w:val="16"/>
        </w:rPr>
      </w:pPr>
      <w:bookmarkStart w:id="4" w:name="_Hlk63844529"/>
      <w:r>
        <w:rPr>
          <w:rFonts w:ascii="Work Sans" w:hAnsi="Work Sans" w:cs="Arial"/>
          <w:i/>
          <w:sz w:val="16"/>
          <w:szCs w:val="16"/>
        </w:rPr>
        <w:lastRenderedPageBreak/>
        <w:t xml:space="preserve">A su vez, las tarifas diferenciales que se cobran actualmente en la Estación de Peaje Aburrá, de conformidad con el descuento autorizado mencionado correspondiente al 90% del valor base que se cobra en la Estación de Peaje Aburrá para las Categorías </w:t>
      </w:r>
      <w:r>
        <w:rPr>
          <w:rFonts w:ascii="Work Sans" w:hAnsi="Work Sans" w:cs="Arial"/>
          <w:i/>
          <w:sz w:val="16"/>
          <w:szCs w:val="16"/>
        </w:rPr>
        <w:t>1 y 2 y la actualización prevista en el contrato son las siguientes:</w:t>
      </w:r>
    </w:p>
    <w:p w14:paraId="168C82CF" w14:textId="77777777" w:rsidR="00FB7BC4" w:rsidRDefault="00FB7BC4">
      <w:pPr>
        <w:autoSpaceDE w:val="0"/>
        <w:jc w:val="both"/>
        <w:rPr>
          <w:rFonts w:ascii="Arial" w:hAnsi="Arial" w:cs="Arial"/>
          <w:sz w:val="16"/>
          <w:szCs w:val="16"/>
        </w:rPr>
      </w:pPr>
    </w:p>
    <w:tbl>
      <w:tblPr>
        <w:tblW w:w="8735" w:type="dxa"/>
        <w:tblCellMar>
          <w:left w:w="10" w:type="dxa"/>
          <w:right w:w="10" w:type="dxa"/>
        </w:tblCellMar>
        <w:tblLook w:val="0000" w:firstRow="0" w:lastRow="0" w:firstColumn="0" w:lastColumn="0" w:noHBand="0" w:noVBand="0"/>
      </w:tblPr>
      <w:tblGrid>
        <w:gridCol w:w="1244"/>
        <w:gridCol w:w="1112"/>
        <w:gridCol w:w="832"/>
        <w:gridCol w:w="1530"/>
        <w:gridCol w:w="1279"/>
        <w:gridCol w:w="1369"/>
        <w:gridCol w:w="1369"/>
      </w:tblGrid>
      <w:tr w:rsidR="00FB7BC4" w14:paraId="35126C1D" w14:textId="77777777">
        <w:tblPrEx>
          <w:tblCellMar>
            <w:top w:w="0" w:type="dxa"/>
            <w:bottom w:w="0" w:type="dxa"/>
          </w:tblCellMar>
        </w:tblPrEx>
        <w:trPr>
          <w:trHeight w:val="697"/>
        </w:trPr>
        <w:tc>
          <w:tcPr>
            <w:tcW w:w="1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830290" w14:textId="77777777" w:rsidR="00FB7BC4" w:rsidRDefault="00C51BDF">
            <w:pPr>
              <w:jc w:val="center"/>
            </w:pPr>
            <w:r>
              <w:rPr>
                <w:rFonts w:ascii="Arial Narrow" w:hAnsi="Arial Narrow" w:cs="Arial"/>
                <w:b/>
                <w:bCs/>
                <w:color w:val="000000"/>
                <w:sz w:val="16"/>
                <w:szCs w:val="16"/>
              </w:rPr>
              <w:t>CATEGORÍA</w:t>
            </w:r>
          </w:p>
        </w:tc>
        <w:tc>
          <w:tcPr>
            <w:tcW w:w="111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8060D1A" w14:textId="77777777" w:rsidR="00FB7BC4" w:rsidRDefault="00C51BDF">
            <w:pPr>
              <w:jc w:val="center"/>
              <w:rPr>
                <w:rFonts w:ascii="Arial Narrow" w:hAnsi="Arial Narrow" w:cs="Arial"/>
                <w:b/>
                <w:bCs/>
                <w:color w:val="000000"/>
                <w:sz w:val="16"/>
                <w:szCs w:val="16"/>
              </w:rPr>
            </w:pPr>
            <w:r>
              <w:rPr>
                <w:rFonts w:ascii="Arial Narrow" w:hAnsi="Arial Narrow" w:cs="Arial"/>
                <w:b/>
                <w:bCs/>
                <w:color w:val="000000"/>
                <w:sz w:val="16"/>
                <w:szCs w:val="16"/>
              </w:rPr>
              <w:t>TARIFA BASE 2022</w:t>
            </w:r>
          </w:p>
        </w:tc>
        <w:tc>
          <w:tcPr>
            <w:tcW w:w="83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B318087" w14:textId="77777777" w:rsidR="00FB7BC4" w:rsidRDefault="00C51BDF">
            <w:pPr>
              <w:jc w:val="center"/>
              <w:rPr>
                <w:rFonts w:ascii="Arial Narrow" w:hAnsi="Arial Narrow" w:cs="Arial"/>
                <w:b/>
                <w:bCs/>
                <w:color w:val="000000"/>
                <w:sz w:val="16"/>
                <w:szCs w:val="16"/>
              </w:rPr>
            </w:pPr>
            <w:r>
              <w:rPr>
                <w:rFonts w:ascii="Arial Narrow" w:hAnsi="Arial Narrow" w:cs="Arial"/>
                <w:b/>
                <w:bCs/>
                <w:color w:val="000000"/>
                <w:sz w:val="16"/>
                <w:szCs w:val="16"/>
              </w:rPr>
              <w:t>FOSEVI 2022</w:t>
            </w:r>
          </w:p>
        </w:tc>
        <w:tc>
          <w:tcPr>
            <w:tcW w:w="1530"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51C8BF7" w14:textId="77777777" w:rsidR="00FB7BC4" w:rsidRDefault="00C51BDF">
            <w:pPr>
              <w:jc w:val="center"/>
              <w:rPr>
                <w:rFonts w:ascii="Arial Narrow" w:hAnsi="Arial Narrow" w:cs="Arial"/>
                <w:b/>
                <w:bCs/>
                <w:color w:val="000000"/>
                <w:sz w:val="16"/>
                <w:szCs w:val="16"/>
              </w:rPr>
            </w:pPr>
            <w:r>
              <w:rPr>
                <w:rFonts w:ascii="Arial Narrow" w:hAnsi="Arial Narrow" w:cs="Arial"/>
                <w:b/>
                <w:bCs/>
                <w:color w:val="000000"/>
                <w:sz w:val="16"/>
                <w:szCs w:val="16"/>
              </w:rPr>
              <w:t>TARIFA 2022 AJUSTADA A LA CENTENA</w:t>
            </w:r>
          </w:p>
        </w:tc>
        <w:tc>
          <w:tcPr>
            <w:tcW w:w="127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3326329" w14:textId="77777777" w:rsidR="00FB7BC4" w:rsidRDefault="00C51BDF">
            <w:pPr>
              <w:jc w:val="center"/>
              <w:rPr>
                <w:rFonts w:ascii="Arial Narrow" w:hAnsi="Arial Narrow" w:cs="Arial"/>
                <w:b/>
                <w:bCs/>
                <w:color w:val="000000"/>
                <w:sz w:val="16"/>
                <w:szCs w:val="16"/>
              </w:rPr>
            </w:pPr>
            <w:r>
              <w:rPr>
                <w:rFonts w:ascii="Arial Narrow" w:hAnsi="Arial Narrow" w:cs="Arial"/>
                <w:b/>
                <w:bCs/>
                <w:color w:val="000000"/>
                <w:sz w:val="16"/>
                <w:szCs w:val="16"/>
              </w:rPr>
              <w:t>BENEFICIO DEL 90% AJUSTADA A LA CENTENA</w:t>
            </w:r>
          </w:p>
        </w:tc>
        <w:tc>
          <w:tcPr>
            <w:tcW w:w="136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F131354" w14:textId="77777777" w:rsidR="00FB7BC4" w:rsidRDefault="00C51BDF">
            <w:pPr>
              <w:jc w:val="center"/>
              <w:rPr>
                <w:rFonts w:ascii="Arial Narrow" w:hAnsi="Arial Narrow" w:cs="Arial"/>
                <w:b/>
                <w:bCs/>
                <w:color w:val="000000"/>
                <w:sz w:val="16"/>
                <w:szCs w:val="16"/>
              </w:rPr>
            </w:pPr>
            <w:r>
              <w:rPr>
                <w:rFonts w:ascii="Arial Narrow" w:hAnsi="Arial Narrow" w:cs="Arial"/>
                <w:b/>
                <w:bCs/>
                <w:color w:val="000000"/>
                <w:sz w:val="16"/>
                <w:szCs w:val="16"/>
              </w:rPr>
              <w:t>TARIFA DIFERENCIAL ANTES DE FOSEVI</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D96C09" w14:textId="77777777" w:rsidR="00FB7BC4" w:rsidRDefault="00C51BDF">
            <w:pPr>
              <w:jc w:val="center"/>
              <w:rPr>
                <w:rFonts w:ascii="Arial Narrow" w:hAnsi="Arial Narrow" w:cs="Arial"/>
                <w:b/>
                <w:bCs/>
                <w:color w:val="000000"/>
                <w:sz w:val="16"/>
                <w:szCs w:val="16"/>
              </w:rPr>
            </w:pPr>
            <w:r>
              <w:rPr>
                <w:rFonts w:ascii="Arial Narrow" w:hAnsi="Arial Narrow" w:cs="Arial"/>
                <w:b/>
                <w:bCs/>
                <w:color w:val="000000"/>
                <w:sz w:val="16"/>
                <w:szCs w:val="16"/>
              </w:rPr>
              <w:t>TARIFA DIFERENCIAL + FOSEVI 2022</w:t>
            </w:r>
          </w:p>
        </w:tc>
      </w:tr>
      <w:tr w:rsidR="00FB7BC4" w14:paraId="129A5D20" w14:textId="77777777">
        <w:tblPrEx>
          <w:tblCellMar>
            <w:top w:w="0" w:type="dxa"/>
            <w:bottom w:w="0" w:type="dxa"/>
          </w:tblCellMar>
        </w:tblPrEx>
        <w:trPr>
          <w:trHeight w:val="244"/>
        </w:trPr>
        <w:tc>
          <w:tcPr>
            <w:tcW w:w="1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CA5C05"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CAT IE</w:t>
            </w:r>
          </w:p>
        </w:tc>
        <w:tc>
          <w:tcPr>
            <w:tcW w:w="111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38EA3B" w14:textId="77777777" w:rsidR="00FB7BC4" w:rsidRDefault="00C51BDF">
            <w:r>
              <w:rPr>
                <w:rFonts w:ascii="Arial Narrow" w:hAnsi="Arial Narrow" w:cs="Arial"/>
                <w:color w:val="000000"/>
                <w:sz w:val="16"/>
                <w:szCs w:val="16"/>
                <w:lang w:val="es-CO" w:eastAsia="es-CO"/>
              </w:rPr>
              <w:t xml:space="preserve">     $ 17.710 </w:t>
            </w:r>
          </w:p>
        </w:tc>
        <w:tc>
          <w:tcPr>
            <w:tcW w:w="83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7EBF0A" w14:textId="77777777" w:rsidR="00FB7BC4" w:rsidRDefault="00C51BDF">
            <w:pPr>
              <w:jc w:val="right"/>
              <w:rPr>
                <w:rFonts w:ascii="Arial Narrow" w:hAnsi="Arial Narrow" w:cs="Arial"/>
                <w:color w:val="000000"/>
                <w:sz w:val="16"/>
                <w:szCs w:val="16"/>
              </w:rPr>
            </w:pPr>
            <w:r>
              <w:rPr>
                <w:rFonts w:ascii="Arial Narrow" w:hAnsi="Arial Narrow" w:cs="Arial"/>
                <w:color w:val="000000"/>
                <w:sz w:val="16"/>
                <w:szCs w:val="16"/>
              </w:rPr>
              <w:t>352</w:t>
            </w:r>
          </w:p>
        </w:tc>
        <w:tc>
          <w:tcPr>
            <w:tcW w:w="15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73A1CC" w14:textId="77777777" w:rsidR="00FB7BC4" w:rsidRDefault="00C51BDF">
            <w:r>
              <w:rPr>
                <w:rFonts w:ascii="Arial Narrow" w:hAnsi="Arial Narrow" w:cs="Arial"/>
                <w:color w:val="000000"/>
                <w:sz w:val="16"/>
                <w:szCs w:val="16"/>
                <w:lang w:val="es-CO" w:eastAsia="es-CO"/>
              </w:rPr>
              <w:t xml:space="preserve">          $ 18.100 </w:t>
            </w:r>
          </w:p>
        </w:tc>
        <w:tc>
          <w:tcPr>
            <w:tcW w:w="12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12EDAB"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 xml:space="preserve"> $     16.000</w:t>
            </w:r>
          </w:p>
        </w:tc>
        <w:tc>
          <w:tcPr>
            <w:tcW w:w="136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349BCE"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 xml:space="preserve"> $             1.748 </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49E9C8"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 xml:space="preserve"> $            2.100 </w:t>
            </w:r>
          </w:p>
        </w:tc>
      </w:tr>
      <w:tr w:rsidR="00FB7BC4" w14:paraId="3EFDCE1D" w14:textId="77777777">
        <w:tblPrEx>
          <w:tblCellMar>
            <w:top w:w="0" w:type="dxa"/>
            <w:bottom w:w="0" w:type="dxa"/>
          </w:tblCellMar>
        </w:tblPrEx>
        <w:trPr>
          <w:trHeight w:val="244"/>
        </w:trPr>
        <w:tc>
          <w:tcPr>
            <w:tcW w:w="124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F34255"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CAT IIE</w:t>
            </w:r>
          </w:p>
        </w:tc>
        <w:tc>
          <w:tcPr>
            <w:tcW w:w="111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448912" w14:textId="77777777" w:rsidR="00FB7BC4" w:rsidRDefault="00C51BDF">
            <w:r>
              <w:rPr>
                <w:rFonts w:ascii="Arial Narrow" w:hAnsi="Arial Narrow" w:cs="Arial"/>
                <w:color w:val="000000"/>
                <w:sz w:val="16"/>
                <w:szCs w:val="16"/>
                <w:lang w:val="es-CO" w:eastAsia="es-CO"/>
              </w:rPr>
              <w:t xml:space="preserve">     $ 20.033 </w:t>
            </w:r>
          </w:p>
        </w:tc>
        <w:tc>
          <w:tcPr>
            <w:tcW w:w="83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4B81B5" w14:textId="77777777" w:rsidR="00FB7BC4" w:rsidRDefault="00C51BDF">
            <w:pPr>
              <w:jc w:val="right"/>
              <w:rPr>
                <w:rFonts w:ascii="Arial Narrow" w:hAnsi="Arial Narrow" w:cs="Arial"/>
                <w:color w:val="000000"/>
                <w:sz w:val="16"/>
                <w:szCs w:val="16"/>
              </w:rPr>
            </w:pPr>
            <w:r>
              <w:rPr>
                <w:rFonts w:ascii="Arial Narrow" w:hAnsi="Arial Narrow" w:cs="Arial"/>
                <w:color w:val="000000"/>
                <w:sz w:val="16"/>
                <w:szCs w:val="16"/>
              </w:rPr>
              <w:t>352</w:t>
            </w:r>
          </w:p>
        </w:tc>
        <w:tc>
          <w:tcPr>
            <w:tcW w:w="15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BBD47E" w14:textId="77777777" w:rsidR="00FB7BC4" w:rsidRDefault="00C51BDF">
            <w:r>
              <w:rPr>
                <w:rFonts w:ascii="Arial Narrow" w:hAnsi="Arial Narrow" w:cs="Arial"/>
                <w:color w:val="000000"/>
                <w:sz w:val="16"/>
                <w:szCs w:val="16"/>
                <w:lang w:val="es-CO" w:eastAsia="es-CO"/>
              </w:rPr>
              <w:t xml:space="preserve">          $ 20.400 </w:t>
            </w:r>
          </w:p>
        </w:tc>
        <w:tc>
          <w:tcPr>
            <w:tcW w:w="127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D3DA82"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 xml:space="preserve"> $     18.100 </w:t>
            </w:r>
          </w:p>
        </w:tc>
        <w:tc>
          <w:tcPr>
            <w:tcW w:w="136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72AD6F"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 xml:space="preserve"> $             1.948 </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7426B5" w14:textId="77777777" w:rsidR="00FB7BC4" w:rsidRDefault="00C51BDF">
            <w:pPr>
              <w:rPr>
                <w:rFonts w:ascii="Arial Narrow" w:hAnsi="Arial Narrow" w:cs="Arial"/>
                <w:color w:val="000000"/>
                <w:sz w:val="16"/>
                <w:szCs w:val="16"/>
              </w:rPr>
            </w:pPr>
            <w:r>
              <w:rPr>
                <w:rFonts w:ascii="Arial Narrow" w:hAnsi="Arial Narrow" w:cs="Arial"/>
                <w:color w:val="000000"/>
                <w:sz w:val="16"/>
                <w:szCs w:val="16"/>
              </w:rPr>
              <w:t xml:space="preserve"> $            2.300 </w:t>
            </w:r>
          </w:p>
        </w:tc>
      </w:tr>
    </w:tbl>
    <w:p w14:paraId="29D8F8CA" w14:textId="77777777" w:rsidR="00FB7BC4" w:rsidRDefault="00FB7BC4">
      <w:pPr>
        <w:autoSpaceDE w:val="0"/>
        <w:jc w:val="both"/>
        <w:rPr>
          <w:rFonts w:ascii="Arial" w:hAnsi="Arial" w:cs="Arial"/>
          <w:sz w:val="16"/>
          <w:szCs w:val="16"/>
        </w:rPr>
      </w:pPr>
    </w:p>
    <w:bookmarkEnd w:id="4"/>
    <w:p w14:paraId="03CD3773" w14:textId="77777777" w:rsidR="00FB7BC4" w:rsidRDefault="00C51BDF">
      <w:pPr>
        <w:autoSpaceDE w:val="0"/>
        <w:ind w:left="426" w:right="481"/>
        <w:jc w:val="center"/>
        <w:rPr>
          <w:rFonts w:ascii="Work Sans" w:hAnsi="Work Sans" w:cs="Arial"/>
          <w:b/>
          <w:bCs/>
          <w:i/>
          <w:sz w:val="18"/>
          <w:szCs w:val="18"/>
          <w:lang w:val="es-CO"/>
        </w:rPr>
      </w:pPr>
      <w:r>
        <w:rPr>
          <w:rFonts w:ascii="Work Sans" w:hAnsi="Work Sans" w:cs="Arial"/>
          <w:b/>
          <w:bCs/>
          <w:i/>
          <w:sz w:val="18"/>
          <w:szCs w:val="18"/>
          <w:lang w:val="es-CO"/>
        </w:rPr>
        <w:t>SOLICITUD DE MODIFICACIÓN</w:t>
      </w:r>
    </w:p>
    <w:p w14:paraId="72D4F6FD" w14:textId="77777777" w:rsidR="00FB7BC4" w:rsidRDefault="00FB7BC4">
      <w:pPr>
        <w:autoSpaceDE w:val="0"/>
        <w:ind w:left="426" w:right="481"/>
        <w:jc w:val="both"/>
        <w:rPr>
          <w:rFonts w:ascii="Work Sans" w:hAnsi="Work Sans" w:cs="Arial"/>
          <w:i/>
          <w:sz w:val="18"/>
          <w:szCs w:val="18"/>
          <w:lang w:val="es-CO"/>
        </w:rPr>
      </w:pPr>
    </w:p>
    <w:p w14:paraId="6F143B4C" w14:textId="77777777" w:rsidR="00FB7BC4" w:rsidRDefault="00C51BDF">
      <w:pPr>
        <w:autoSpaceDE w:val="0"/>
        <w:ind w:left="426" w:right="481"/>
        <w:jc w:val="both"/>
      </w:pPr>
      <w:r>
        <w:rPr>
          <w:rFonts w:ascii="Work Sans" w:hAnsi="Work Sans" w:cs="Arial"/>
          <w:i/>
          <w:sz w:val="18"/>
          <w:szCs w:val="18"/>
          <w:lang w:val="es-CO"/>
        </w:rPr>
        <w:t xml:space="preserve">Con base en lo </w:t>
      </w:r>
      <w:r>
        <w:rPr>
          <w:rFonts w:ascii="Work Sans" w:hAnsi="Work Sans" w:cs="Arial"/>
          <w:i/>
          <w:sz w:val="18"/>
          <w:szCs w:val="18"/>
          <w:lang w:val="es-CO"/>
        </w:rPr>
        <w:t xml:space="preserve">anterior, se solicita </w:t>
      </w:r>
      <w:r>
        <w:rPr>
          <w:rFonts w:ascii="Work Sans" w:hAnsi="Work Sans" w:cs="Arial"/>
          <w:i/>
          <w:sz w:val="18"/>
          <w:szCs w:val="18"/>
        </w:rPr>
        <w:t>modificar el Artículo 2 de la Resolución No. 20213040018155 del 30 de abril de 2021, en el cual se establece la fórmula de actualización anual para las categorías IE y IIE del peaje Aburrá, de manera que dicha actualización se realice</w:t>
      </w:r>
      <w:r>
        <w:rPr>
          <w:rFonts w:ascii="Work Sans" w:hAnsi="Work Sans" w:cs="Arial"/>
          <w:i/>
          <w:sz w:val="18"/>
          <w:szCs w:val="18"/>
        </w:rPr>
        <w:t xml:space="preserve"> de conformidad con lo establecido en la Sección 4.2 de la Parte Especial del Contrato de Concesión, quedando de la siguiente manera:</w:t>
      </w:r>
    </w:p>
    <w:p w14:paraId="7633C852" w14:textId="77777777" w:rsidR="00FB7BC4" w:rsidRDefault="00FB7BC4">
      <w:pPr>
        <w:autoSpaceDE w:val="0"/>
        <w:ind w:left="426" w:right="481"/>
        <w:jc w:val="both"/>
        <w:rPr>
          <w:rFonts w:ascii="Work Sans" w:hAnsi="Work Sans" w:cs="Arial"/>
          <w:i/>
          <w:sz w:val="18"/>
          <w:szCs w:val="18"/>
        </w:rPr>
      </w:pPr>
    </w:p>
    <w:p w14:paraId="3B98D96A" w14:textId="77777777" w:rsidR="00FB7BC4" w:rsidRDefault="00C51BDF">
      <w:pPr>
        <w:autoSpaceDE w:val="0"/>
        <w:ind w:left="426" w:right="481"/>
        <w:jc w:val="both"/>
      </w:pPr>
      <w:r>
        <w:rPr>
          <w:rFonts w:ascii="Work Sans" w:hAnsi="Work Sans" w:cs="Arial"/>
          <w:b/>
          <w:bCs/>
          <w:i/>
          <w:sz w:val="18"/>
          <w:szCs w:val="18"/>
        </w:rPr>
        <w:t>Artículo 2.-</w:t>
      </w:r>
      <w:r>
        <w:rPr>
          <w:rFonts w:ascii="Work Sans" w:hAnsi="Work Sans" w:cs="Arial"/>
          <w:i/>
          <w:sz w:val="18"/>
          <w:szCs w:val="18"/>
        </w:rPr>
        <w:t xml:space="preserve"> Las tarifas diferenciales se actualizarán a partir del 16 de enero de cada año, de conformidad con lo </w:t>
      </w:r>
      <w:r>
        <w:rPr>
          <w:rFonts w:ascii="Work Sans" w:hAnsi="Work Sans" w:cs="Arial"/>
          <w:i/>
          <w:sz w:val="18"/>
          <w:szCs w:val="18"/>
        </w:rPr>
        <w:t>dispuesto en la Sección 4.2 de la Parte Especial del Contrato de Concesión No. 014 de 2015.”</w:t>
      </w:r>
    </w:p>
    <w:bookmarkEnd w:id="0"/>
    <w:p w14:paraId="71D99970" w14:textId="77777777" w:rsidR="00FB7BC4" w:rsidRDefault="00FB7BC4">
      <w:pPr>
        <w:ind w:left="426" w:right="481"/>
        <w:jc w:val="both"/>
        <w:rPr>
          <w:rFonts w:ascii="Work Sans" w:hAnsi="Work Sans" w:cs="Arial"/>
          <w:i/>
          <w:sz w:val="18"/>
          <w:szCs w:val="18"/>
        </w:rPr>
      </w:pPr>
    </w:p>
    <w:p w14:paraId="43E04709" w14:textId="77777777" w:rsidR="00FB7BC4" w:rsidRDefault="00FB7BC4">
      <w:pPr>
        <w:widowControl/>
        <w:ind w:left="426" w:right="481"/>
        <w:jc w:val="both"/>
        <w:rPr>
          <w:rFonts w:ascii="Work Sans" w:hAnsi="Work Sans" w:cs="Arial"/>
          <w:i/>
          <w:sz w:val="18"/>
          <w:szCs w:val="18"/>
        </w:rPr>
      </w:pPr>
    </w:p>
    <w:p w14:paraId="0E120D19" w14:textId="77777777" w:rsidR="00FB7BC4" w:rsidRDefault="00C51BDF">
      <w:pPr>
        <w:widowControl/>
        <w:jc w:val="both"/>
      </w:pPr>
      <w:r>
        <w:rPr>
          <w:rFonts w:ascii="Work Sans" w:eastAsia="DengXian Light" w:hAnsi="Work Sans" w:cs="Arial"/>
          <w:sz w:val="20"/>
          <w:szCs w:val="20"/>
          <w:lang w:bidi="ar-SA"/>
        </w:rPr>
        <w:t>Que mediante memorando número 20221410051473 del</w:t>
      </w:r>
      <w:r>
        <w:rPr>
          <w:rFonts w:ascii="Work Sans" w:hAnsi="Work Sans" w:cs="Arial"/>
          <w:sz w:val="20"/>
          <w:szCs w:val="20"/>
          <w:lang w:val="es-CO"/>
        </w:rPr>
        <w:t xml:space="preserve"> 20 de mayo de</w:t>
      </w:r>
      <w:r>
        <w:rPr>
          <w:rFonts w:ascii="Work Sans" w:eastAsia="DengXian Light" w:hAnsi="Work Sans" w:cs="Arial"/>
          <w:sz w:val="20"/>
          <w:szCs w:val="20"/>
          <w:lang w:bidi="ar-SA"/>
        </w:rPr>
        <w:t xml:space="preserve"> 2022 la Oficina de Regulación Económica del Ministerio de Transporte en cumplimiento del numeral 9</w:t>
      </w:r>
      <w:r>
        <w:rPr>
          <w:rFonts w:ascii="Work Sans" w:eastAsia="DengXian Light" w:hAnsi="Work Sans" w:cs="Arial"/>
          <w:sz w:val="20"/>
          <w:szCs w:val="20"/>
          <w:lang w:bidi="ar-SA"/>
        </w:rPr>
        <w:t xml:space="preserve">.8. del artículo 9 del Decreto 087 de 2011 analizó y viabilizó </w:t>
      </w:r>
      <w:r>
        <w:rPr>
          <w:rFonts w:ascii="Work Sans" w:hAnsi="Work Sans" w:cs="Calibri"/>
          <w:kern w:val="0"/>
          <w:sz w:val="20"/>
          <w:szCs w:val="20"/>
          <w:lang w:eastAsia="es-ES" w:bidi="ar-SA"/>
        </w:rPr>
        <w:t xml:space="preserve">la </w:t>
      </w:r>
      <w:r>
        <w:rPr>
          <w:rFonts w:ascii="Work Sans" w:eastAsia="DejaVu Sans" w:hAnsi="Work Sans" w:cs="Arial"/>
          <w:bCs/>
          <w:kern w:val="0"/>
          <w:sz w:val="20"/>
          <w:szCs w:val="20"/>
          <w:lang w:val="es" w:eastAsia="es-ES"/>
        </w:rPr>
        <w:t>modificación del artículo 2 de la Resolución 0213040018155 de 2021.</w:t>
      </w:r>
    </w:p>
    <w:p w14:paraId="658D2FFA" w14:textId="77777777" w:rsidR="00FB7BC4" w:rsidRDefault="00FB7BC4">
      <w:pPr>
        <w:tabs>
          <w:tab w:val="left" w:pos="0"/>
        </w:tabs>
        <w:jc w:val="both"/>
        <w:textAlignment w:val="auto"/>
        <w:rPr>
          <w:rFonts w:ascii="Work Sans" w:hAnsi="Work Sans" w:cs="Arial"/>
          <w:sz w:val="20"/>
          <w:szCs w:val="20"/>
          <w:lang w:eastAsia="es-ES"/>
        </w:rPr>
      </w:pPr>
    </w:p>
    <w:p w14:paraId="747676FD" w14:textId="77777777" w:rsidR="00FB7BC4" w:rsidRDefault="00C51BDF">
      <w:pPr>
        <w:tabs>
          <w:tab w:val="left" w:pos="0"/>
        </w:tabs>
        <w:jc w:val="both"/>
        <w:textAlignment w:val="auto"/>
        <w:rPr>
          <w:rFonts w:ascii="Work Sans" w:eastAsia="DejaVu Sans" w:hAnsi="Work Sans" w:cs="Arial"/>
          <w:sz w:val="20"/>
          <w:szCs w:val="20"/>
          <w:lang w:eastAsia="es-ES"/>
        </w:rPr>
      </w:pPr>
      <w:r>
        <w:rPr>
          <w:rFonts w:ascii="Work Sans" w:eastAsia="DejaVu Sans" w:hAnsi="Work Sans" w:cs="Arial"/>
          <w:sz w:val="20"/>
          <w:szCs w:val="20"/>
          <w:lang w:eastAsia="es-ES"/>
        </w:rPr>
        <w:t xml:space="preserve">Que conforme a las funciones y competencias de la Agencia Nacional de Infraestructura de conformidad con el Decreto 4165 </w:t>
      </w:r>
      <w:r>
        <w:rPr>
          <w:rFonts w:ascii="Work Sans" w:eastAsia="DejaVu Sans" w:hAnsi="Work Sans" w:cs="Arial"/>
          <w:sz w:val="20"/>
          <w:szCs w:val="20"/>
          <w:lang w:eastAsia="es-ES"/>
        </w:rPr>
        <w:t>de 2011, como entidad del sector descentralizado de la Rama Ejecutiva del Orden Nacional, con personería jurídica y autonomía administrativa, financiera y técnica, que tiene por objeto planear, coordinar, estructurar, contratar, ejecutar, administrar y eva</w:t>
      </w:r>
      <w:r>
        <w:rPr>
          <w:rFonts w:ascii="Work Sans" w:eastAsia="DejaVu Sans" w:hAnsi="Work Sans" w:cs="Arial"/>
          <w:sz w:val="20"/>
          <w:szCs w:val="20"/>
          <w:lang w:eastAsia="es-ES"/>
        </w:rPr>
        <w:t>luar proyectos de concesiones y otras formas de Asociación Público Privada (APP), para el diseño, construcción, mantenimiento, operación, administración y/o explotación de la infraestructura pública de transporte en todos sus modos y de los servicios conex</w:t>
      </w:r>
      <w:r>
        <w:rPr>
          <w:rFonts w:ascii="Work Sans" w:eastAsia="DejaVu Sans" w:hAnsi="Work Sans" w:cs="Arial"/>
          <w:sz w:val="20"/>
          <w:szCs w:val="20"/>
          <w:lang w:eastAsia="es-ES"/>
        </w:rPr>
        <w:t>os o relacionados, y en atención a su conocimiento y análisis técnico, reuniones de socialización, concertación y acuerdos con usuarios y comunidades, llevados a cabo en virtud de sus competencias funcionales, le corresponde a la Agencia fijar los requisit</w:t>
      </w:r>
      <w:r>
        <w:rPr>
          <w:rFonts w:ascii="Work Sans" w:eastAsia="DejaVu Sans" w:hAnsi="Work Sans" w:cs="Arial"/>
          <w:sz w:val="20"/>
          <w:szCs w:val="20"/>
          <w:lang w:eastAsia="es-ES"/>
        </w:rPr>
        <w:t xml:space="preserve">os para acreditar la calidad de beneficiario, el procedimiento para acceder al beneficio, los mecanismos de otorgamiento, reemplazo y control y las causales de pérdida del beneficio, de las tarifas especiales diferenciales de peajes. </w:t>
      </w:r>
    </w:p>
    <w:p w14:paraId="7FBFBAB2" w14:textId="77777777" w:rsidR="00FB7BC4" w:rsidRDefault="00FB7BC4">
      <w:pPr>
        <w:tabs>
          <w:tab w:val="left" w:pos="0"/>
        </w:tabs>
        <w:jc w:val="both"/>
        <w:textAlignment w:val="auto"/>
        <w:rPr>
          <w:rFonts w:ascii="Work Sans" w:hAnsi="Work Sans" w:cs="Arial"/>
          <w:sz w:val="20"/>
          <w:szCs w:val="20"/>
          <w:lang w:eastAsia="es-ES"/>
        </w:rPr>
      </w:pPr>
    </w:p>
    <w:p w14:paraId="796A495A" w14:textId="77777777" w:rsidR="00FB7BC4" w:rsidRDefault="00C51BDF">
      <w:pPr>
        <w:widowControl/>
        <w:jc w:val="both"/>
        <w:textAlignment w:val="auto"/>
        <w:rPr>
          <w:rFonts w:ascii="Work Sans" w:eastAsia="Calibri" w:hAnsi="Work Sans" w:cs="Times New Roman"/>
          <w:kern w:val="0"/>
          <w:sz w:val="20"/>
          <w:szCs w:val="20"/>
          <w:lang w:val="es-CO" w:eastAsia="en-US" w:bidi="ar-SA"/>
        </w:rPr>
      </w:pPr>
      <w:r>
        <w:rPr>
          <w:rFonts w:ascii="Work Sans" w:eastAsia="Calibri" w:hAnsi="Work Sans" w:cs="Times New Roman"/>
          <w:kern w:val="0"/>
          <w:sz w:val="20"/>
          <w:szCs w:val="20"/>
          <w:lang w:val="es-CO" w:eastAsia="en-US" w:bidi="ar-SA"/>
        </w:rPr>
        <w:t xml:space="preserve">Que el contenido de </w:t>
      </w:r>
      <w:r>
        <w:rPr>
          <w:rFonts w:ascii="Work Sans" w:eastAsia="Calibri" w:hAnsi="Work Sans" w:cs="Times New Roman"/>
          <w:kern w:val="0"/>
          <w:sz w:val="20"/>
          <w:szCs w:val="20"/>
          <w:lang w:val="es-CO" w:eastAsia="en-US" w:bidi="ar-SA"/>
        </w:rPr>
        <w:t xml:space="preserve">la presente resolución fue publicado del 7 de marzo al 21 de marzo de 2022, en la página web del Ministerio de Transporte y de la Agencia Nacional de Infraestructura, en cumplimiento de lo determinado en el numeral 8 del artículo 8° de </w:t>
      </w:r>
      <w:r>
        <w:rPr>
          <w:rFonts w:ascii="Work Sans" w:eastAsia="Calibri" w:hAnsi="Work Sans" w:cs="Times New Roman"/>
          <w:kern w:val="0"/>
          <w:sz w:val="20"/>
          <w:szCs w:val="20"/>
          <w:lang w:val="es-CO" w:eastAsia="en-US" w:bidi="ar-SA"/>
        </w:rPr>
        <w:lastRenderedPageBreak/>
        <w:t>la Ley 1437 de 2011,</w:t>
      </w:r>
      <w:r>
        <w:rPr>
          <w:rFonts w:ascii="Work Sans" w:eastAsia="Calibri" w:hAnsi="Work Sans" w:cs="Times New Roman"/>
          <w:kern w:val="0"/>
          <w:sz w:val="20"/>
          <w:szCs w:val="20"/>
          <w:lang w:val="es-CO" w:eastAsia="en-US" w:bidi="ar-SA"/>
        </w:rPr>
        <w:t xml:space="preserve"> artículo 2.1.2.1.14 del Decreto 1081 de 2015 modificado y adicionado por el Decreto 270 de 2017 y la Resolución 994 de 2017 del Ministerio de Transporte, quienes certificaron que durante el término de publicación no se recibieron opiniones sugerencias o p</w:t>
      </w:r>
      <w:r>
        <w:rPr>
          <w:rFonts w:ascii="Work Sans" w:eastAsia="Calibri" w:hAnsi="Work Sans" w:cs="Times New Roman"/>
          <w:kern w:val="0"/>
          <w:sz w:val="20"/>
          <w:szCs w:val="20"/>
          <w:lang w:val="es-CO" w:eastAsia="en-US" w:bidi="ar-SA"/>
        </w:rPr>
        <w:t>ropuestas alternativas.</w:t>
      </w:r>
    </w:p>
    <w:p w14:paraId="7D8D0A49" w14:textId="77777777" w:rsidR="00FB7BC4" w:rsidRDefault="00FB7BC4">
      <w:pPr>
        <w:tabs>
          <w:tab w:val="left" w:pos="0"/>
        </w:tabs>
        <w:jc w:val="both"/>
        <w:textAlignment w:val="auto"/>
        <w:rPr>
          <w:rFonts w:ascii="Work Sans" w:hAnsi="Work Sans" w:cs="Arial"/>
          <w:sz w:val="20"/>
          <w:szCs w:val="20"/>
          <w:lang w:eastAsia="es-ES"/>
        </w:rPr>
      </w:pPr>
    </w:p>
    <w:p w14:paraId="26D097D2" w14:textId="77777777" w:rsidR="00FB7BC4" w:rsidRDefault="00C51BDF">
      <w:pPr>
        <w:tabs>
          <w:tab w:val="left" w:pos="0"/>
        </w:tabs>
        <w:jc w:val="both"/>
        <w:textAlignment w:val="auto"/>
        <w:rPr>
          <w:rFonts w:ascii="Work Sans" w:eastAsia="DejaVu Sans" w:hAnsi="Work Sans" w:cs="Arial"/>
          <w:sz w:val="20"/>
          <w:szCs w:val="20"/>
          <w:lang w:eastAsia="es-ES"/>
        </w:rPr>
      </w:pPr>
      <w:r>
        <w:rPr>
          <w:rFonts w:ascii="Work Sans" w:eastAsia="DejaVu Sans" w:hAnsi="Work Sans" w:cs="Arial"/>
          <w:sz w:val="20"/>
          <w:szCs w:val="20"/>
          <w:lang w:eastAsia="es-ES"/>
        </w:rPr>
        <w:t>Que la Oficina Asesora Jurídica conservará los documentos asociados a la publicación del presente acto administrativo. Todo ello en concordancia con las políticas de gestión documental y de archivo de la entidad.</w:t>
      </w:r>
    </w:p>
    <w:p w14:paraId="2B5D0C29" w14:textId="77777777" w:rsidR="00FB7BC4" w:rsidRDefault="00FB7BC4">
      <w:pPr>
        <w:tabs>
          <w:tab w:val="left" w:pos="0"/>
        </w:tabs>
        <w:jc w:val="both"/>
        <w:textAlignment w:val="auto"/>
        <w:rPr>
          <w:rFonts w:ascii="Work Sans" w:hAnsi="Work Sans" w:cs="Arial"/>
          <w:sz w:val="20"/>
          <w:szCs w:val="20"/>
          <w:lang w:eastAsia="es-ES"/>
        </w:rPr>
      </w:pPr>
    </w:p>
    <w:p w14:paraId="2BA85591" w14:textId="77777777" w:rsidR="00FB7BC4" w:rsidRDefault="00C51BDF">
      <w:pPr>
        <w:textAlignment w:val="auto"/>
      </w:pPr>
      <w:r>
        <w:rPr>
          <w:rFonts w:ascii="Work Sans" w:hAnsi="Work Sans" w:cs="Arial"/>
          <w:sz w:val="20"/>
          <w:szCs w:val="20"/>
          <w:lang w:eastAsia="es-ES"/>
        </w:rPr>
        <w:t xml:space="preserve">En mérito de lo </w:t>
      </w:r>
      <w:r>
        <w:rPr>
          <w:rFonts w:ascii="Work Sans" w:hAnsi="Work Sans" w:cs="Arial"/>
          <w:sz w:val="20"/>
          <w:szCs w:val="20"/>
          <w:lang w:eastAsia="es-ES"/>
        </w:rPr>
        <w:t xml:space="preserve">expuesto, </w:t>
      </w:r>
    </w:p>
    <w:p w14:paraId="73E758E4" w14:textId="77777777" w:rsidR="00FB7BC4" w:rsidRDefault="00FB7BC4">
      <w:pPr>
        <w:jc w:val="center"/>
        <w:textAlignment w:val="auto"/>
        <w:rPr>
          <w:rFonts w:ascii="Work Sans" w:hAnsi="Work Sans" w:cs="Arial"/>
          <w:b/>
          <w:sz w:val="20"/>
          <w:szCs w:val="20"/>
          <w:lang w:eastAsia="es-ES"/>
        </w:rPr>
      </w:pPr>
    </w:p>
    <w:p w14:paraId="0D4A0C08" w14:textId="77777777" w:rsidR="00FB7BC4" w:rsidRDefault="00C51BDF">
      <w:pPr>
        <w:jc w:val="center"/>
        <w:textAlignment w:val="auto"/>
        <w:rPr>
          <w:rFonts w:ascii="Work Sans" w:hAnsi="Work Sans" w:cs="Arial"/>
          <w:b/>
          <w:sz w:val="20"/>
          <w:szCs w:val="20"/>
          <w:lang w:eastAsia="es-ES"/>
        </w:rPr>
      </w:pPr>
      <w:r>
        <w:rPr>
          <w:rFonts w:ascii="Work Sans" w:hAnsi="Work Sans" w:cs="Arial"/>
          <w:b/>
          <w:sz w:val="20"/>
          <w:szCs w:val="20"/>
          <w:lang w:eastAsia="es-ES"/>
        </w:rPr>
        <w:t>RESUELVE:</w:t>
      </w:r>
    </w:p>
    <w:p w14:paraId="6CBC4347" w14:textId="77777777" w:rsidR="00FB7BC4" w:rsidRDefault="00FB7BC4">
      <w:pPr>
        <w:widowControl/>
        <w:spacing w:after="160"/>
        <w:ind w:right="56"/>
        <w:jc w:val="both"/>
        <w:textAlignment w:val="auto"/>
        <w:rPr>
          <w:rFonts w:ascii="Work Sans" w:hAnsi="Work Sans" w:cs="Calibri"/>
          <w:color w:val="000000"/>
          <w:kern w:val="0"/>
          <w:sz w:val="18"/>
          <w:szCs w:val="18"/>
          <w:lang w:eastAsia="es-CO" w:bidi="ar-SA"/>
        </w:rPr>
      </w:pPr>
    </w:p>
    <w:p w14:paraId="0D6DF9BA" w14:textId="77777777" w:rsidR="00FB7BC4" w:rsidRDefault="00C51BDF">
      <w:pPr>
        <w:widowControl/>
        <w:autoSpaceDE w:val="0"/>
        <w:jc w:val="both"/>
        <w:textAlignment w:val="auto"/>
      </w:pPr>
      <w:r>
        <w:rPr>
          <w:rFonts w:ascii="Work Sans" w:eastAsia="DejaVu Sans" w:hAnsi="Work Sans" w:cs="Arial"/>
          <w:b/>
          <w:kern w:val="0"/>
          <w:sz w:val="20"/>
          <w:szCs w:val="20"/>
          <w:lang w:val="es" w:eastAsia="es-ES"/>
        </w:rPr>
        <w:t xml:space="preserve">Artículo 1.- </w:t>
      </w:r>
      <w:r>
        <w:rPr>
          <w:rFonts w:ascii="Work Sans" w:eastAsia="DejaVu Sans" w:hAnsi="Work Sans" w:cs="Arial"/>
          <w:bCs/>
          <w:kern w:val="0"/>
          <w:sz w:val="20"/>
          <w:szCs w:val="20"/>
          <w:lang w:val="es" w:eastAsia="es-ES"/>
        </w:rPr>
        <w:t>Modificar el artículo 2 de la Resolución 0213040018155 de 2021, el cual quedará así:</w:t>
      </w:r>
    </w:p>
    <w:p w14:paraId="4F11FCA8" w14:textId="77777777" w:rsidR="00FB7BC4" w:rsidRDefault="00FB7BC4">
      <w:pPr>
        <w:widowControl/>
        <w:autoSpaceDE w:val="0"/>
        <w:ind w:left="720"/>
        <w:jc w:val="both"/>
        <w:textAlignment w:val="auto"/>
        <w:rPr>
          <w:rFonts w:ascii="Work Sans" w:eastAsia="DejaVu Sans" w:hAnsi="Work Sans" w:cs="Arial"/>
          <w:b/>
          <w:kern w:val="0"/>
          <w:sz w:val="20"/>
          <w:szCs w:val="20"/>
          <w:lang w:val="es" w:eastAsia="es-ES"/>
        </w:rPr>
      </w:pPr>
    </w:p>
    <w:p w14:paraId="001699B1" w14:textId="77777777" w:rsidR="00FB7BC4" w:rsidRDefault="00C51BDF">
      <w:pPr>
        <w:widowControl/>
        <w:autoSpaceDE w:val="0"/>
        <w:ind w:left="567" w:right="481"/>
        <w:jc w:val="both"/>
        <w:textAlignment w:val="auto"/>
      </w:pPr>
      <w:r>
        <w:rPr>
          <w:rFonts w:ascii="Work Sans" w:eastAsia="DejaVu Sans" w:hAnsi="Work Sans" w:cs="Arial"/>
          <w:b/>
          <w:i/>
          <w:iCs/>
          <w:kern w:val="0"/>
          <w:sz w:val="20"/>
          <w:szCs w:val="20"/>
          <w:lang w:val="es" w:eastAsia="es-ES"/>
        </w:rPr>
        <w:t xml:space="preserve">“Artículo 2. </w:t>
      </w:r>
      <w:r>
        <w:rPr>
          <w:rFonts w:ascii="Work Sans" w:eastAsia="DejaVu Sans" w:hAnsi="Work Sans" w:cs="Segoe UI"/>
          <w:i/>
          <w:iCs/>
          <w:sz w:val="20"/>
          <w:szCs w:val="20"/>
          <w:shd w:val="clear" w:color="auto" w:fill="FFFFFF"/>
        </w:rPr>
        <w:t xml:space="preserve">Las tarifas diferenciales serán actualizadas a partir del 16 de enero de cada año, de conformidad con lo </w:t>
      </w:r>
      <w:r>
        <w:rPr>
          <w:rFonts w:ascii="Work Sans" w:eastAsia="DejaVu Sans" w:hAnsi="Work Sans" w:cs="Segoe UI"/>
          <w:i/>
          <w:iCs/>
          <w:sz w:val="20"/>
          <w:szCs w:val="20"/>
          <w:shd w:val="clear" w:color="auto" w:fill="FFFFFF"/>
        </w:rPr>
        <w:t>dispuesto en la Sección 4.2 de la Parte Especial del Contrato de Concesión No. 014 de 2015.</w:t>
      </w:r>
      <w:r>
        <w:rPr>
          <w:rFonts w:ascii="Work Sans" w:eastAsia="DejaVu Sans" w:hAnsi="Work Sans"/>
          <w:i/>
          <w:iCs/>
          <w:sz w:val="20"/>
          <w:szCs w:val="20"/>
          <w:shd w:val="clear" w:color="auto" w:fill="FFFFFF"/>
        </w:rPr>
        <w:t>”</w:t>
      </w:r>
    </w:p>
    <w:p w14:paraId="7E12DAE9" w14:textId="77777777" w:rsidR="00FB7BC4" w:rsidRDefault="00FB7BC4">
      <w:pPr>
        <w:widowControl/>
        <w:autoSpaceDE w:val="0"/>
        <w:ind w:left="720" w:right="1183"/>
        <w:jc w:val="both"/>
        <w:textAlignment w:val="auto"/>
        <w:rPr>
          <w:rFonts w:ascii="Work Sans" w:eastAsia="DejaVu Sans" w:hAnsi="Work Sans" w:cs="Arial"/>
          <w:i/>
          <w:iCs/>
          <w:sz w:val="20"/>
          <w:szCs w:val="20"/>
        </w:rPr>
      </w:pPr>
    </w:p>
    <w:p w14:paraId="34652504" w14:textId="77777777" w:rsidR="00FB7BC4" w:rsidRDefault="00C51BDF">
      <w:pPr>
        <w:widowControl/>
        <w:spacing w:after="160"/>
        <w:ind w:right="56"/>
        <w:jc w:val="both"/>
        <w:textAlignment w:val="auto"/>
      </w:pPr>
      <w:r>
        <w:rPr>
          <w:rFonts w:ascii="Work Sans" w:hAnsi="Work Sans" w:cs="Calibri"/>
          <w:b/>
          <w:color w:val="000000"/>
          <w:kern w:val="0"/>
          <w:sz w:val="20"/>
          <w:szCs w:val="20"/>
          <w:lang w:val="es-CO" w:eastAsia="es-CO" w:bidi="ar-SA"/>
        </w:rPr>
        <w:t>Artículo 2.-</w:t>
      </w:r>
      <w:r>
        <w:rPr>
          <w:rFonts w:ascii="Work Sans" w:hAnsi="Work Sans" w:cs="Calibri"/>
          <w:color w:val="000000"/>
          <w:kern w:val="0"/>
          <w:sz w:val="20"/>
          <w:szCs w:val="20"/>
          <w:lang w:val="es-CO" w:eastAsia="es-CO" w:bidi="ar-SA"/>
        </w:rPr>
        <w:t xml:space="preserve"> Los demás términos de la Resolución </w:t>
      </w:r>
      <w:r>
        <w:rPr>
          <w:rFonts w:ascii="Work Sans" w:eastAsia="Work Sans" w:hAnsi="Work Sans" w:cs="Work Sans"/>
          <w:sz w:val="20"/>
          <w:szCs w:val="20"/>
        </w:rPr>
        <w:t>20213040018155 del 30 de abril de 2021</w:t>
      </w:r>
      <w:r>
        <w:rPr>
          <w:rFonts w:ascii="Work Sans" w:hAnsi="Work Sans" w:cs="Calibri"/>
          <w:color w:val="000000"/>
          <w:kern w:val="0"/>
          <w:sz w:val="20"/>
          <w:szCs w:val="20"/>
          <w:lang w:val="es-CO" w:eastAsia="es-CO" w:bidi="ar-SA"/>
        </w:rPr>
        <w:t>, continúan vigentes.</w:t>
      </w:r>
    </w:p>
    <w:p w14:paraId="2749E232" w14:textId="77777777" w:rsidR="00FB7BC4" w:rsidRDefault="00C51BDF">
      <w:pPr>
        <w:widowControl/>
        <w:spacing w:after="160"/>
        <w:ind w:right="56"/>
        <w:jc w:val="both"/>
        <w:textAlignment w:val="auto"/>
      </w:pPr>
      <w:r>
        <w:rPr>
          <w:rFonts w:ascii="Work Sans" w:hAnsi="Work Sans" w:cs="Calibri"/>
          <w:b/>
          <w:color w:val="000000"/>
          <w:kern w:val="0"/>
          <w:sz w:val="20"/>
          <w:szCs w:val="20"/>
          <w:lang w:val="es-CO" w:eastAsia="es-CO" w:bidi="ar-SA"/>
        </w:rPr>
        <w:t>Artículo 3.-</w:t>
      </w:r>
      <w:r>
        <w:rPr>
          <w:rFonts w:ascii="Work Sans" w:hAnsi="Work Sans" w:cs="Calibri"/>
          <w:color w:val="000000"/>
          <w:kern w:val="0"/>
          <w:sz w:val="20"/>
          <w:szCs w:val="20"/>
          <w:lang w:val="es-CO" w:eastAsia="es-CO" w:bidi="ar-SA"/>
        </w:rPr>
        <w:t xml:space="preserve"> La presente resolución rige a partir de </w:t>
      </w:r>
      <w:r>
        <w:rPr>
          <w:rFonts w:ascii="Work Sans" w:hAnsi="Work Sans" w:cs="Calibri"/>
          <w:color w:val="000000"/>
          <w:kern w:val="0"/>
          <w:sz w:val="20"/>
          <w:szCs w:val="20"/>
          <w:lang w:val="es-CO" w:eastAsia="es-CO" w:bidi="ar-SA"/>
        </w:rPr>
        <w:t>la fecha de publicación en el Diario</w:t>
      </w:r>
    </w:p>
    <w:p w14:paraId="5877668A" w14:textId="77777777" w:rsidR="00FB7BC4" w:rsidRDefault="00FB7BC4">
      <w:pPr>
        <w:widowControl/>
        <w:spacing w:after="160"/>
        <w:ind w:right="56"/>
        <w:jc w:val="both"/>
        <w:textAlignment w:val="auto"/>
        <w:rPr>
          <w:rFonts w:ascii="Work Sans" w:hAnsi="Work Sans" w:cs="Calibri"/>
          <w:color w:val="000000"/>
          <w:kern w:val="0"/>
          <w:sz w:val="20"/>
          <w:szCs w:val="20"/>
          <w:lang w:val="es-CO" w:eastAsia="es-CO" w:bidi="ar-SA"/>
        </w:rPr>
      </w:pPr>
    </w:p>
    <w:p w14:paraId="77A595D2" w14:textId="77777777" w:rsidR="00FB7BC4" w:rsidRDefault="00C51BDF">
      <w:pPr>
        <w:pStyle w:val="Standard"/>
        <w:autoSpaceDE w:val="0"/>
        <w:jc w:val="center"/>
      </w:pPr>
      <w:r>
        <w:rPr>
          <w:rFonts w:ascii="Work Sans" w:hAnsi="Work Sans" w:cs="Times New Roman"/>
          <w:b/>
          <w:bCs/>
          <w:sz w:val="20"/>
        </w:rPr>
        <w:t>PUBLÍQUESE Y CÚMPLASE,</w:t>
      </w:r>
    </w:p>
    <w:p w14:paraId="26718364" w14:textId="77777777" w:rsidR="00FB7BC4" w:rsidRDefault="00FB7BC4">
      <w:pPr>
        <w:pStyle w:val="Standard"/>
        <w:autoSpaceDE w:val="0"/>
        <w:jc w:val="center"/>
        <w:rPr>
          <w:rFonts w:ascii="Work Sans" w:hAnsi="Work Sans" w:cs="Times New Roman"/>
          <w:sz w:val="20"/>
        </w:rPr>
      </w:pPr>
    </w:p>
    <w:p w14:paraId="6BCA4E98" w14:textId="77777777" w:rsidR="00FB7BC4" w:rsidRDefault="00FB7BC4">
      <w:pPr>
        <w:pStyle w:val="Standard"/>
        <w:autoSpaceDE w:val="0"/>
        <w:ind w:left="-142" w:right="-86"/>
        <w:jc w:val="center"/>
        <w:rPr>
          <w:rFonts w:ascii="Work Sans" w:hAnsi="Work Sans" w:cs="Arial"/>
          <w:sz w:val="21"/>
          <w:szCs w:val="21"/>
          <w:lang w:val="es-CO"/>
        </w:rPr>
      </w:pPr>
    </w:p>
    <w:p w14:paraId="4B36110F" w14:textId="77777777" w:rsidR="00FB7BC4" w:rsidRDefault="00C51BDF">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74393F64" w14:textId="77777777" w:rsidR="00FB7BC4" w:rsidRDefault="00FB7BC4">
      <w:pPr>
        <w:tabs>
          <w:tab w:val="left" w:pos="0"/>
        </w:tabs>
        <w:jc w:val="both"/>
        <w:rPr>
          <w:rFonts w:ascii="Work Sans" w:hAnsi="Work Sans" w:cs="Times New Roman"/>
          <w:sz w:val="20"/>
          <w:szCs w:val="20"/>
          <w:lang w:val="es" w:eastAsia="es-ES"/>
        </w:rPr>
      </w:pPr>
    </w:p>
    <w:p w14:paraId="5341E274" w14:textId="77777777" w:rsidR="00FB7BC4" w:rsidRDefault="00C51BDF">
      <w:pPr>
        <w:pStyle w:val="Standard"/>
        <w:jc w:val="center"/>
      </w:pPr>
      <w:r>
        <w:rPr>
          <w:rFonts w:ascii="Work Sans" w:hAnsi="Work Sans" w:cs="Times New Roman"/>
          <w:b/>
          <w:sz w:val="20"/>
          <w:lang w:val="es" w:eastAsia="es-ES"/>
        </w:rPr>
        <w:t>ÁNGELA MARÍA OROZCO GÓMEZ</w:t>
      </w:r>
    </w:p>
    <w:p w14:paraId="21995130" w14:textId="77777777" w:rsidR="00FB7BC4" w:rsidRDefault="00FB7BC4">
      <w:pPr>
        <w:pStyle w:val="Standard"/>
        <w:rPr>
          <w:rFonts w:ascii="Work Sans" w:hAnsi="Work Sans"/>
          <w:lang w:val="es-CO"/>
        </w:rPr>
      </w:pPr>
    </w:p>
    <w:p w14:paraId="11CC5823" w14:textId="77777777" w:rsidR="00FB7BC4" w:rsidRDefault="00FB7BC4">
      <w:pPr>
        <w:pStyle w:val="Standard"/>
        <w:rPr>
          <w:rFonts w:ascii="Work Sans" w:hAnsi="Work Sans"/>
          <w:lang w:val="es-CO"/>
        </w:rPr>
      </w:pPr>
    </w:p>
    <w:p w14:paraId="675DE4F2" w14:textId="77777777" w:rsidR="00FB7BC4" w:rsidRDefault="00FB7BC4">
      <w:pPr>
        <w:pStyle w:val="Standard"/>
        <w:rPr>
          <w:rFonts w:ascii="Work Sans" w:hAnsi="Work Sans"/>
          <w:lang w:val="es-CO"/>
        </w:rPr>
      </w:pPr>
    </w:p>
    <w:p w14:paraId="1824F487" w14:textId="77777777" w:rsidR="00FB7BC4" w:rsidRDefault="00C51BDF">
      <w:pPr>
        <w:jc w:val="both"/>
        <w:rPr>
          <w:rFonts w:ascii="Work Sans" w:hAnsi="Work Sans" w:cs="Arial"/>
          <w:sz w:val="12"/>
          <w:szCs w:val="12"/>
          <w:lang w:eastAsia="es-CO"/>
        </w:rPr>
      </w:pPr>
      <w:r>
        <w:rPr>
          <w:rFonts w:ascii="Work Sans" w:hAnsi="Work Sans" w:cs="Arial"/>
          <w:sz w:val="12"/>
          <w:szCs w:val="12"/>
          <w:lang w:eastAsia="es-CO"/>
        </w:rPr>
        <w:t>Manuel Felipe Gutiérrez Torres – Presidente Agencia Nacional de Infraestructura</w:t>
      </w:r>
    </w:p>
    <w:p w14:paraId="5CC5A600" w14:textId="77777777" w:rsidR="00FB7BC4" w:rsidRDefault="00C51BDF">
      <w:pPr>
        <w:jc w:val="both"/>
        <w:rPr>
          <w:rFonts w:ascii="Work Sans" w:hAnsi="Work Sans" w:cs="Arial"/>
          <w:sz w:val="12"/>
          <w:szCs w:val="12"/>
          <w:lang w:eastAsia="es-CO"/>
        </w:rPr>
      </w:pPr>
      <w:r>
        <w:rPr>
          <w:rFonts w:ascii="Work Sans" w:hAnsi="Work Sans" w:cs="Arial"/>
          <w:sz w:val="12"/>
          <w:szCs w:val="12"/>
          <w:lang w:eastAsia="es-CO"/>
        </w:rPr>
        <w:t xml:space="preserve">Fernando Ramírez Laguado- Vicepresidente Jurídico, Agencia </w:t>
      </w:r>
      <w:r>
        <w:rPr>
          <w:rFonts w:ascii="Work Sans" w:hAnsi="Work Sans" w:cs="Arial"/>
          <w:sz w:val="12"/>
          <w:szCs w:val="12"/>
          <w:lang w:eastAsia="es-CO"/>
        </w:rPr>
        <w:t xml:space="preserve">Nacional de Infraestructura </w:t>
      </w:r>
    </w:p>
    <w:p w14:paraId="257E285E" w14:textId="77777777" w:rsidR="00FB7BC4" w:rsidRDefault="00C51BDF">
      <w:pPr>
        <w:jc w:val="both"/>
        <w:rPr>
          <w:rFonts w:ascii="Work Sans" w:hAnsi="Work Sans" w:cs="Arial"/>
          <w:sz w:val="12"/>
          <w:szCs w:val="12"/>
          <w:lang w:eastAsia="es-CO"/>
        </w:rPr>
      </w:pPr>
      <w:bookmarkStart w:id="5" w:name="_Hlk512429908"/>
      <w:r>
        <w:rPr>
          <w:rFonts w:ascii="Work Sans" w:hAnsi="Work Sans" w:cs="Arial"/>
          <w:sz w:val="12"/>
          <w:szCs w:val="12"/>
          <w:lang w:eastAsia="es-CO"/>
        </w:rPr>
        <w:t>Sol Ángel Cala Acosta – Asesora Despacho de la Ministra, Ministerio de Transporte</w:t>
      </w:r>
    </w:p>
    <w:bookmarkEnd w:id="5"/>
    <w:p w14:paraId="73DF53DF" w14:textId="77777777" w:rsidR="00FB7BC4" w:rsidRDefault="00C51BDF">
      <w:pPr>
        <w:rPr>
          <w:rFonts w:ascii="Work Sans" w:hAnsi="Work Sans" w:cs="Arial"/>
          <w:sz w:val="12"/>
          <w:szCs w:val="12"/>
          <w:lang w:eastAsia="es-CO"/>
        </w:rPr>
      </w:pPr>
      <w:r>
        <w:rPr>
          <w:rFonts w:ascii="Work Sans" w:hAnsi="Work Sans" w:cs="Arial"/>
          <w:sz w:val="12"/>
          <w:szCs w:val="12"/>
          <w:lang w:eastAsia="es-CO"/>
        </w:rPr>
        <w:t>María del Pilar Uribe Pontón - Jefe Oficina Asesora de Jurídica, Ministerio de Transporte</w:t>
      </w:r>
    </w:p>
    <w:p w14:paraId="59A174EA" w14:textId="77777777" w:rsidR="00FB7BC4" w:rsidRDefault="00C51BDF">
      <w:pPr>
        <w:widowControl/>
        <w:rPr>
          <w:rFonts w:ascii="Work Sans" w:hAnsi="Work Sans" w:cs="Arial"/>
          <w:sz w:val="12"/>
          <w:szCs w:val="12"/>
          <w:lang w:eastAsia="es-CO"/>
        </w:rPr>
      </w:pPr>
      <w:r>
        <w:rPr>
          <w:rFonts w:ascii="Work Sans" w:hAnsi="Work Sans" w:cs="Arial"/>
          <w:sz w:val="12"/>
          <w:szCs w:val="12"/>
          <w:lang w:eastAsia="es-CO"/>
        </w:rPr>
        <w:t>Julián Soto Ocampo – Jefe de Oficina de Regulación Econ</w:t>
      </w:r>
      <w:r>
        <w:rPr>
          <w:rFonts w:ascii="Work Sans" w:hAnsi="Work Sans" w:cs="Arial"/>
          <w:sz w:val="12"/>
          <w:szCs w:val="12"/>
          <w:lang w:eastAsia="es-CO"/>
        </w:rPr>
        <w:t xml:space="preserve">ómica0, Ministerio de Transporte </w:t>
      </w:r>
    </w:p>
    <w:p w14:paraId="220F2C39" w14:textId="77777777" w:rsidR="00FB7BC4" w:rsidRDefault="00C51BDF">
      <w:pPr>
        <w:widowControl/>
        <w:spacing w:line="276" w:lineRule="auto"/>
        <w:textAlignment w:val="auto"/>
      </w:pPr>
      <w:r>
        <w:rPr>
          <w:rFonts w:ascii="Work Sans" w:hAnsi="Work Sans" w:cs="Arial"/>
          <w:sz w:val="12"/>
          <w:szCs w:val="12"/>
          <w:lang w:eastAsia="es-CO"/>
        </w:rPr>
        <w:t>Magda Paola Suárez Alejo – Abogada Grupo de Conceptos, Ministerio de Transporte</w:t>
      </w:r>
    </w:p>
    <w:p w14:paraId="3B2039CF" w14:textId="77777777" w:rsidR="00FB7BC4" w:rsidRDefault="00C51BDF">
      <w:pPr>
        <w:widowControl/>
        <w:spacing w:after="160"/>
        <w:jc w:val="both"/>
        <w:textAlignment w:val="auto"/>
      </w:pPr>
      <w:r>
        <w:rPr>
          <w:rFonts w:ascii="Verdana" w:hAnsi="Verdana" w:cs="Calibri"/>
          <w:color w:val="000000"/>
          <w:kern w:val="0"/>
          <w:sz w:val="22"/>
          <w:szCs w:val="22"/>
          <w:lang w:val="es-CO" w:eastAsia="es-CO" w:bidi="ar-SA"/>
        </w:rPr>
        <w:t> </w:t>
      </w:r>
    </w:p>
    <w:p w14:paraId="5E568F64" w14:textId="77777777" w:rsidR="00FB7BC4" w:rsidRDefault="00FB7BC4">
      <w:pPr>
        <w:widowControl/>
        <w:spacing w:after="160"/>
        <w:jc w:val="center"/>
        <w:textAlignment w:val="auto"/>
        <w:rPr>
          <w:rFonts w:ascii="Calibri" w:hAnsi="Calibri" w:cs="Calibri"/>
          <w:color w:val="000000"/>
          <w:kern w:val="0"/>
          <w:sz w:val="22"/>
          <w:szCs w:val="22"/>
          <w:lang w:val="es-CO" w:eastAsia="es-CO" w:bidi="ar-SA"/>
        </w:rPr>
      </w:pPr>
    </w:p>
    <w:p w14:paraId="39C7DD53" w14:textId="77777777" w:rsidR="00FB7BC4" w:rsidRDefault="00FB7BC4">
      <w:pPr>
        <w:pStyle w:val="Standard"/>
        <w:rPr>
          <w:lang w:val="es-CO"/>
        </w:rPr>
      </w:pPr>
    </w:p>
    <w:p w14:paraId="43828581" w14:textId="77777777" w:rsidR="00FB7BC4" w:rsidRDefault="00FB7BC4">
      <w:pPr>
        <w:pStyle w:val="Standard"/>
        <w:rPr>
          <w:lang w:val="es-CO"/>
        </w:rPr>
      </w:pPr>
    </w:p>
    <w:p w14:paraId="0148833A" w14:textId="77777777" w:rsidR="00FB7BC4" w:rsidRDefault="00FB7BC4">
      <w:pPr>
        <w:pStyle w:val="Standard"/>
        <w:rPr>
          <w:lang w:val="es-CO"/>
        </w:rPr>
      </w:pPr>
    </w:p>
    <w:p w14:paraId="55DF07FC" w14:textId="77777777" w:rsidR="00FB7BC4" w:rsidRDefault="00FB7BC4">
      <w:pPr>
        <w:pStyle w:val="Standard"/>
        <w:rPr>
          <w:lang w:val="es-CO"/>
        </w:rPr>
      </w:pPr>
    </w:p>
    <w:p w14:paraId="68422610" w14:textId="77777777" w:rsidR="00FB7BC4" w:rsidRDefault="00FB7BC4">
      <w:pPr>
        <w:pStyle w:val="Standard"/>
        <w:rPr>
          <w:lang w:val="es-CO"/>
        </w:rPr>
      </w:pPr>
    </w:p>
    <w:p w14:paraId="4CBB1F1C" w14:textId="77777777" w:rsidR="00FB7BC4" w:rsidRDefault="00FB7BC4">
      <w:pPr>
        <w:pStyle w:val="Standard"/>
        <w:rPr>
          <w:lang w:val="es-CO"/>
        </w:rPr>
      </w:pPr>
    </w:p>
    <w:p w14:paraId="41A55335" w14:textId="77777777" w:rsidR="00FB7BC4" w:rsidRDefault="00FB7BC4">
      <w:pPr>
        <w:pStyle w:val="Standard"/>
        <w:rPr>
          <w:lang w:val="es-CO"/>
        </w:rPr>
      </w:pPr>
    </w:p>
    <w:p w14:paraId="7E75F084" w14:textId="77777777" w:rsidR="00FB7BC4" w:rsidRDefault="00FB7BC4">
      <w:pPr>
        <w:pStyle w:val="Standard"/>
        <w:rPr>
          <w:lang w:val="es-CO"/>
        </w:rPr>
      </w:pPr>
    </w:p>
    <w:p w14:paraId="0D98F71C" w14:textId="77777777" w:rsidR="00FB7BC4" w:rsidRDefault="00FB7BC4">
      <w:pPr>
        <w:pStyle w:val="Standard"/>
        <w:rPr>
          <w:lang w:val="es-CO"/>
        </w:rPr>
      </w:pPr>
    </w:p>
    <w:p w14:paraId="404CAA17" w14:textId="77777777" w:rsidR="00FB7BC4" w:rsidRDefault="00FB7BC4">
      <w:pPr>
        <w:pStyle w:val="Standard"/>
        <w:rPr>
          <w:lang w:val="es-CO"/>
        </w:rPr>
      </w:pPr>
    </w:p>
    <w:p w14:paraId="582601AE" w14:textId="77777777" w:rsidR="00FB7BC4" w:rsidRDefault="00FB7BC4">
      <w:pPr>
        <w:pStyle w:val="Standard"/>
        <w:rPr>
          <w:lang w:val="es-CO"/>
        </w:rPr>
      </w:pPr>
    </w:p>
    <w:p w14:paraId="451B5B6F" w14:textId="77777777" w:rsidR="00FB7BC4" w:rsidRDefault="00FB7BC4">
      <w:pPr>
        <w:pStyle w:val="Standard"/>
        <w:rPr>
          <w:lang w:val="es-CO"/>
        </w:rPr>
      </w:pPr>
    </w:p>
    <w:p w14:paraId="458F8864" w14:textId="77777777" w:rsidR="00FB7BC4" w:rsidRDefault="00FB7BC4">
      <w:pPr>
        <w:pStyle w:val="Standard"/>
        <w:rPr>
          <w:lang w:val="es-CO"/>
        </w:rPr>
      </w:pPr>
    </w:p>
    <w:p w14:paraId="2E7040B7" w14:textId="77777777" w:rsidR="00FB7BC4" w:rsidRDefault="00FB7BC4">
      <w:pPr>
        <w:pStyle w:val="Standard"/>
        <w:rPr>
          <w:lang w:val="es-CO"/>
        </w:rPr>
      </w:pPr>
    </w:p>
    <w:p w14:paraId="236F84E6" w14:textId="77777777" w:rsidR="00FB7BC4" w:rsidRDefault="00FB7BC4">
      <w:pPr>
        <w:pStyle w:val="Standard"/>
        <w:rPr>
          <w:lang w:val="es-CO"/>
        </w:rPr>
      </w:pPr>
    </w:p>
    <w:p w14:paraId="084A2BEC" w14:textId="77777777" w:rsidR="00FB7BC4" w:rsidRDefault="00FB7BC4">
      <w:pPr>
        <w:pStyle w:val="Standard"/>
        <w:rPr>
          <w:lang w:val="es-CO"/>
        </w:rPr>
      </w:pPr>
    </w:p>
    <w:sectPr w:rsidR="00FB7BC4">
      <w:headerReference w:type="even" r:id="rId10"/>
      <w:headerReference w:type="default" r:id="rId11"/>
      <w:footerReference w:type="even" r:id="rId12"/>
      <w:footerReference w:type="default" r:id="rId13"/>
      <w:headerReference w:type="first" r:id="rId14"/>
      <w:footerReference w:type="first" r:id="rId15"/>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FD92" w14:textId="77777777" w:rsidR="00C51BDF" w:rsidRDefault="00C51BDF">
      <w:r>
        <w:separator/>
      </w:r>
    </w:p>
  </w:endnote>
  <w:endnote w:type="continuationSeparator" w:id="0">
    <w:p w14:paraId="0314CDEC" w14:textId="77777777" w:rsidR="00C51BDF" w:rsidRDefault="00C5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panose1 w:val="020B0604020202020204"/>
    <w:charset w:val="00"/>
    <w:family w:val="swiss"/>
    <w:pitch w:val="variable"/>
  </w:font>
  <w:font w:name="Work Sans">
    <w:panose1 w:val="00000800000000000000"/>
    <w:charset w:val="4D"/>
    <w:family w:val="auto"/>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SansNarrow-Bold">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Apple LiGothic Medium">
    <w:panose1 w:val="020B0604020202020204"/>
    <w:charset w:val="00"/>
    <w:family w:val="auto"/>
    <w:pitch w:val="variable"/>
  </w:font>
  <w:font w:name="DengXian Light">
    <w:panose1 w:val="02010600030101010101"/>
    <w:charset w:val="86"/>
    <w:family w:val="auto"/>
    <w:pitch w:val="variable"/>
    <w:sig w:usb0="A00002BF" w:usb1="38CF7CFA" w:usb2="00000016" w:usb3="00000000" w:csb0="0004000F" w:csb1="00000000"/>
  </w:font>
  <w:font w:name="Code3of9">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25EB" w14:textId="77777777" w:rsidR="00122733" w:rsidRDefault="001227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E01D" w14:textId="77777777" w:rsidR="00122733" w:rsidRDefault="001227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E7B7" w14:textId="77777777" w:rsidR="00122733" w:rsidRDefault="001227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9C09" w14:textId="77777777" w:rsidR="00C51BDF" w:rsidRDefault="00C51BDF">
      <w:r>
        <w:rPr>
          <w:color w:val="000000"/>
        </w:rPr>
        <w:separator/>
      </w:r>
    </w:p>
  </w:footnote>
  <w:footnote w:type="continuationSeparator" w:id="0">
    <w:p w14:paraId="79BE07C3" w14:textId="77777777" w:rsidR="00C51BDF" w:rsidRDefault="00C5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099F" w14:textId="77777777" w:rsidR="00122733" w:rsidRDefault="001227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1F8D" w14:textId="77777777" w:rsidR="00BF0C48" w:rsidRDefault="00C51BDF">
    <w:r>
      <w:rPr>
        <w:noProof/>
        <w:lang w:val="es-CO" w:eastAsia="es-CO" w:bidi="ar-SA"/>
      </w:rPr>
      <w:drawing>
        <wp:inline distT="0" distB="0" distL="0" distR="0" wp14:anchorId="51B3F8DE" wp14:editId="005F4062">
          <wp:extent cx="2164083" cy="320040"/>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70B9428E" w14:textId="77777777" w:rsidR="00BF0C48" w:rsidRDefault="00C51BDF">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0E3B35BA" w14:textId="77777777" w:rsidR="00BF0C48" w:rsidRDefault="00C51BDF">
    <w:pPr>
      <w:pStyle w:val="Encabezado"/>
      <w:jc w:val="center"/>
    </w:pPr>
    <w:r>
      <w:rPr>
        <w:rFonts w:ascii="Work Sans" w:hAnsi="Work Sans"/>
        <w:sz w:val="20"/>
      </w:rPr>
      <w:t xml:space="preserve">de </w:t>
    </w:r>
    <w:r>
      <w:rPr>
        <w:rFonts w:ascii="Work Sans" w:hAnsi="Work Sans" w:cs="Arial"/>
        <w:sz w:val="20"/>
        <w:lang w:val="es-CO"/>
      </w:rPr>
      <w:t>*F_RAD_S*</w:t>
    </w:r>
  </w:p>
  <w:p w14:paraId="1088E907" w14:textId="77777777" w:rsidR="00BF0C48" w:rsidRDefault="00C51BDF">
    <w:pPr>
      <w:pStyle w:val="Encabezado"/>
      <w:jc w:val="center"/>
      <w:rPr>
        <w:rFonts w:ascii="Code3of9" w:hAnsi="Code3of9" w:cs="Tahoma"/>
        <w:sz w:val="36"/>
        <w:szCs w:val="40"/>
      </w:rPr>
    </w:pPr>
    <w:r>
      <w:rPr>
        <w:rFonts w:ascii="Code3of9" w:hAnsi="Code3of9" w:cs="Tahoma"/>
        <w:sz w:val="36"/>
        <w:szCs w:val="40"/>
      </w:rPr>
      <w:t>**RAD_S**</w:t>
    </w:r>
  </w:p>
  <w:p w14:paraId="6F607DD1" w14:textId="77777777" w:rsidR="00BF0C48" w:rsidRDefault="00C51BDF">
    <w:pPr>
      <w:pStyle w:val="Encabezado"/>
      <w:jc w:val="center"/>
      <w:rPr>
        <w:rFonts w:ascii="Code3of9" w:hAnsi="Code3of9" w:cs="Tahoma"/>
        <w:sz w:val="36"/>
        <w:szCs w:val="40"/>
      </w:rPr>
    </w:pPr>
  </w:p>
  <w:p w14:paraId="63C7B7AE" w14:textId="77777777" w:rsidR="00BF0C48" w:rsidRDefault="00C51BDF">
    <w:pPr>
      <w:jc w:val="center"/>
    </w:pPr>
    <w:r>
      <w:rPr>
        <w:rFonts w:ascii="Work Sans" w:eastAsia="Work Sans" w:hAnsi="Work Sans" w:cs="Work Sans"/>
        <w:i/>
        <w:sz w:val="20"/>
        <w:szCs w:val="20"/>
      </w:rPr>
      <w:t xml:space="preserve">“Por la cual se modifica el artículo 2 de la Resolución 20213040018155 del 30 de abril de 2021, “por la cual se establecen tarifas diferenciales de manera </w:t>
    </w:r>
    <w:r>
      <w:rPr>
        <w:rFonts w:ascii="Work Sans" w:eastAsia="Work Sans" w:hAnsi="Work Sans" w:cs="Work Sans"/>
        <w:i/>
        <w:sz w:val="20"/>
        <w:szCs w:val="20"/>
      </w:rPr>
      <w:t>temporal para las categorías IE y IIE en la estación de peaje denominada</w:t>
    </w:r>
    <w:r>
      <w:rPr>
        <w:rFonts w:ascii="Work Sans" w:hAnsi="Work Sans"/>
        <w:i/>
        <w:sz w:val="20"/>
        <w:szCs w:val="20"/>
      </w:rPr>
      <w:t xml:space="preserve"> Aburrá</w:t>
    </w:r>
    <w:r>
      <w:rPr>
        <w:rFonts w:ascii="Work Sans" w:eastAsia="Work Sans" w:hAnsi="Work Sans" w:cs="Work Sans"/>
        <w:i/>
        <w:sz w:val="20"/>
        <w:szCs w:val="20"/>
      </w:rPr>
      <w:t xml:space="preserve"> del Proyecto </w:t>
    </w:r>
    <w:r>
      <w:rPr>
        <w:rFonts w:ascii="Work Sans" w:hAnsi="Work Sans" w:cs="Courier New"/>
        <w:i/>
        <w:iCs/>
        <w:sz w:val="20"/>
        <w:szCs w:val="20"/>
        <w:lang w:bidi="ar-SA"/>
      </w:rPr>
      <w:t>Autopista al Mar 1</w:t>
    </w:r>
    <w:r>
      <w:rPr>
        <w:rFonts w:ascii="Work Sans" w:eastAsia="Work Sans" w:hAnsi="Work Sans" w:cs="Work Sans"/>
        <w:i/>
        <w:sz w:val="20"/>
        <w:szCs w:val="20"/>
      </w:rPr>
      <w:t xml:space="preserve">”  </w:t>
    </w:r>
  </w:p>
  <w:p w14:paraId="7FDE78AE" w14:textId="77777777" w:rsidR="00BF0C48" w:rsidRDefault="00C51BDF">
    <w:pPr>
      <w:pStyle w:val="Standard"/>
      <w:autoSpaceDE w:val="0"/>
      <w:rPr>
        <w:rFonts w:ascii="Work Sans" w:hAnsi="Work San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49FD" w14:textId="77777777" w:rsidR="00122733" w:rsidRDefault="001227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387"/>
    <w:multiLevelType w:val="multilevel"/>
    <w:tmpl w:val="1B641A8E"/>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97C06F9"/>
    <w:multiLevelType w:val="multilevel"/>
    <w:tmpl w:val="70700160"/>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992575C"/>
    <w:multiLevelType w:val="multilevel"/>
    <w:tmpl w:val="5258837E"/>
    <w:styleLink w:val="WWOutlineListStyle1"/>
    <w:lvl w:ilvl="0">
      <w:start w:val="1"/>
      <w:numFmt w:val="upperRoman"/>
      <w:lvlText w:val="%1."/>
      <w:lvlJc w:val="left"/>
      <w:rPr>
        <w:b/>
      </w:rPr>
    </w:lvl>
    <w:lvl w:ilvl="1">
      <w:start w:val="1"/>
      <w:numFmt w:val="upperLetter"/>
      <w:lvlText w:val="%2."/>
      <w:lvlJc w:val="left"/>
      <w:pPr>
        <w:ind w:left="720" w:firstLine="0"/>
      </w:pPr>
      <w:rPr>
        <w:b/>
      </w:rPr>
    </w:lvl>
    <w:lvl w:ilvl="2">
      <w:start w:val="1"/>
      <w:numFmt w:val="decimal"/>
      <w:lvlText w:val="%3."/>
      <w:lvlJc w:val="left"/>
      <w:pPr>
        <w:ind w:left="1440" w:firstLine="0"/>
      </w:pPr>
      <w:rPr>
        <w:b/>
      </w:rPr>
    </w:lvl>
    <w:lvl w:ilvl="3">
      <w:start w:val="1"/>
      <w:numFmt w:val="lowerLetter"/>
      <w:lvlText w:val="%4)"/>
      <w:lvlJc w:val="left"/>
      <w:pPr>
        <w:ind w:left="2160" w:firstLine="0"/>
      </w:pPr>
      <w:rPr>
        <w:b/>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D6471D6"/>
    <w:multiLevelType w:val="multilevel"/>
    <w:tmpl w:val="C680CD2A"/>
    <w:styleLink w:val="WWOutlineListStyle"/>
    <w:lvl w:ilvl="0">
      <w:start w:val="1"/>
      <w:numFmt w:val="upperRoman"/>
      <w:lvlText w:val="%1."/>
      <w:lvlJc w:val="left"/>
      <w:rPr>
        <w:b/>
      </w:rPr>
    </w:lvl>
    <w:lvl w:ilvl="1">
      <w:start w:val="1"/>
      <w:numFmt w:val="upperLetter"/>
      <w:lvlText w:val="%2."/>
      <w:lvlJc w:val="left"/>
      <w:pPr>
        <w:ind w:left="720" w:firstLine="0"/>
      </w:pPr>
      <w:rPr>
        <w:b/>
      </w:rPr>
    </w:lvl>
    <w:lvl w:ilvl="2">
      <w:start w:val="1"/>
      <w:numFmt w:val="decimal"/>
      <w:lvlText w:val="%3."/>
      <w:lvlJc w:val="left"/>
      <w:pPr>
        <w:ind w:left="1440" w:firstLine="0"/>
      </w:pPr>
      <w:rPr>
        <w:b/>
      </w:rPr>
    </w:lvl>
    <w:lvl w:ilvl="3">
      <w:start w:val="1"/>
      <w:numFmt w:val="lowerLetter"/>
      <w:lvlText w:val="%4)"/>
      <w:lvlJc w:val="left"/>
      <w:pPr>
        <w:ind w:left="2160" w:firstLine="0"/>
      </w:pPr>
      <w:rPr>
        <w:b/>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0FB95C1A"/>
    <w:multiLevelType w:val="multilevel"/>
    <w:tmpl w:val="209C50EA"/>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00C5155"/>
    <w:multiLevelType w:val="multilevel"/>
    <w:tmpl w:val="D2E64582"/>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18FF1AC1"/>
    <w:multiLevelType w:val="multilevel"/>
    <w:tmpl w:val="0EA8BA7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092D33"/>
    <w:multiLevelType w:val="multilevel"/>
    <w:tmpl w:val="68AC18BE"/>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1A032A69"/>
    <w:multiLevelType w:val="multilevel"/>
    <w:tmpl w:val="755CAF64"/>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1A8518F3"/>
    <w:multiLevelType w:val="multilevel"/>
    <w:tmpl w:val="D2BACC88"/>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21545DEB"/>
    <w:multiLevelType w:val="multilevel"/>
    <w:tmpl w:val="8E7237F8"/>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2179639F"/>
    <w:multiLevelType w:val="multilevel"/>
    <w:tmpl w:val="3AB807E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3EF360C"/>
    <w:multiLevelType w:val="multilevel"/>
    <w:tmpl w:val="7264CA4C"/>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28185864"/>
    <w:multiLevelType w:val="multilevel"/>
    <w:tmpl w:val="7B5C07AA"/>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2DCE6FB6"/>
    <w:multiLevelType w:val="multilevel"/>
    <w:tmpl w:val="CED678F2"/>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33230958"/>
    <w:multiLevelType w:val="multilevel"/>
    <w:tmpl w:val="42AA0580"/>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337013DF"/>
    <w:multiLevelType w:val="multilevel"/>
    <w:tmpl w:val="2E0AB804"/>
    <w:styleLink w:val="WWOutlineListStyle2"/>
    <w:lvl w:ilvl="0">
      <w:start w:val="1"/>
      <w:numFmt w:val="upperRoman"/>
      <w:lvlText w:val="%1."/>
      <w:lvlJc w:val="left"/>
      <w:rPr>
        <w:b/>
      </w:rPr>
    </w:lvl>
    <w:lvl w:ilvl="1">
      <w:start w:val="1"/>
      <w:numFmt w:val="upperLetter"/>
      <w:lvlText w:val="%2."/>
      <w:lvlJc w:val="left"/>
      <w:pPr>
        <w:ind w:left="720" w:firstLine="0"/>
      </w:pPr>
      <w:rPr>
        <w:b/>
      </w:rPr>
    </w:lvl>
    <w:lvl w:ilvl="2">
      <w:start w:val="1"/>
      <w:numFmt w:val="decimal"/>
      <w:lvlText w:val="%3."/>
      <w:lvlJc w:val="left"/>
      <w:pPr>
        <w:ind w:left="1440" w:firstLine="0"/>
      </w:pPr>
      <w:rPr>
        <w:b/>
      </w:rPr>
    </w:lvl>
    <w:lvl w:ilvl="3">
      <w:start w:val="1"/>
      <w:numFmt w:val="lowerLetter"/>
      <w:lvlText w:val="%4)"/>
      <w:lvlJc w:val="left"/>
      <w:pPr>
        <w:ind w:left="2160" w:firstLine="0"/>
      </w:pPr>
      <w:rPr>
        <w:b/>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D325A2D"/>
    <w:multiLevelType w:val="multilevel"/>
    <w:tmpl w:val="8AF68B56"/>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52455AA5"/>
    <w:multiLevelType w:val="multilevel"/>
    <w:tmpl w:val="80FA830A"/>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63573E0A"/>
    <w:multiLevelType w:val="multilevel"/>
    <w:tmpl w:val="6EA416A4"/>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39A53B3"/>
    <w:multiLevelType w:val="multilevel"/>
    <w:tmpl w:val="97D8A91E"/>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6AF80B34"/>
    <w:multiLevelType w:val="multilevel"/>
    <w:tmpl w:val="FC76F410"/>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6E5C114A"/>
    <w:multiLevelType w:val="multilevel"/>
    <w:tmpl w:val="0E4E1BFE"/>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7C173F12"/>
    <w:multiLevelType w:val="multilevel"/>
    <w:tmpl w:val="B6D24A2E"/>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913471870">
    <w:abstractNumId w:val="3"/>
  </w:num>
  <w:num w:numId="2" w16cid:durableId="291642616">
    <w:abstractNumId w:val="16"/>
  </w:num>
  <w:num w:numId="3" w16cid:durableId="1860271546">
    <w:abstractNumId w:val="2"/>
  </w:num>
  <w:num w:numId="4" w16cid:durableId="65887415">
    <w:abstractNumId w:val="5"/>
  </w:num>
  <w:num w:numId="5" w16cid:durableId="1143737830">
    <w:abstractNumId w:val="13"/>
  </w:num>
  <w:num w:numId="6" w16cid:durableId="1385643971">
    <w:abstractNumId w:val="21"/>
  </w:num>
  <w:num w:numId="7" w16cid:durableId="99494568">
    <w:abstractNumId w:val="19"/>
  </w:num>
  <w:num w:numId="8" w16cid:durableId="813327644">
    <w:abstractNumId w:val="15"/>
  </w:num>
  <w:num w:numId="9" w16cid:durableId="3636912">
    <w:abstractNumId w:val="17"/>
  </w:num>
  <w:num w:numId="10" w16cid:durableId="516844477">
    <w:abstractNumId w:val="0"/>
  </w:num>
  <w:num w:numId="11" w16cid:durableId="858354169">
    <w:abstractNumId w:val="22"/>
  </w:num>
  <w:num w:numId="12" w16cid:durableId="878594109">
    <w:abstractNumId w:val="14"/>
  </w:num>
  <w:num w:numId="13" w16cid:durableId="305165833">
    <w:abstractNumId w:val="1"/>
  </w:num>
  <w:num w:numId="14" w16cid:durableId="255288947">
    <w:abstractNumId w:val="9"/>
  </w:num>
  <w:num w:numId="15" w16cid:durableId="1220288604">
    <w:abstractNumId w:val="10"/>
  </w:num>
  <w:num w:numId="16" w16cid:durableId="1181627375">
    <w:abstractNumId w:val="4"/>
  </w:num>
  <w:num w:numId="17" w16cid:durableId="727337427">
    <w:abstractNumId w:val="12"/>
  </w:num>
  <w:num w:numId="18" w16cid:durableId="680820347">
    <w:abstractNumId w:val="20"/>
  </w:num>
  <w:num w:numId="19" w16cid:durableId="566919110">
    <w:abstractNumId w:val="23"/>
  </w:num>
  <w:num w:numId="20" w16cid:durableId="442849891">
    <w:abstractNumId w:val="8"/>
  </w:num>
  <w:num w:numId="21" w16cid:durableId="1367951945">
    <w:abstractNumId w:val="18"/>
  </w:num>
  <w:num w:numId="22" w16cid:durableId="1136607224">
    <w:abstractNumId w:val="7"/>
  </w:num>
  <w:num w:numId="23" w16cid:durableId="739325902">
    <w:abstractNumId w:val="11"/>
  </w:num>
  <w:num w:numId="24" w16cid:durableId="2106149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B7BC4"/>
    <w:rsid w:val="00122733"/>
    <w:rsid w:val="00C51BDF"/>
    <w:rsid w:val="00FB7B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0623796"/>
  <w15:docId w15:val="{D82764A9-E071-6D48-B062-798B6D1B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5"/>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customStyle="1" w:styleId="pa25">
    <w:name w:val="pa25"/>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Mencinsinresolver1">
    <w:name w:val="Mención sin resolver1"/>
    <w:rPr>
      <w:color w:val="808080"/>
      <w:shd w:val="clear" w:color="auto" w:fill="E6E6E6"/>
    </w:rPr>
  </w:style>
  <w:style w:type="character" w:customStyle="1" w:styleId="PrrafodelistaCar">
    <w:name w:val="Párrafo de lista Car"/>
    <w:basedOn w:val="Fuentedeprrafopredeter"/>
    <w:rPr>
      <w:rFonts w:ascii="Courier New" w:hAnsi="Courier New" w:cs="Courier New"/>
      <w:kern w:val="3"/>
      <w:sz w:val="24"/>
      <w:lang w:val="es-ES" w:eastAsia="zh-CN"/>
    </w:rPr>
  </w:style>
  <w:style w:type="paragraph" w:customStyle="1" w:styleId="Normal1">
    <w:name w:val="Normal 1"/>
    <w:basedOn w:val="Normal"/>
    <w:pPr>
      <w:widowControl/>
      <w:ind w:left="708"/>
      <w:jc w:val="both"/>
      <w:textAlignment w:val="auto"/>
    </w:pPr>
    <w:rPr>
      <w:rFonts w:ascii="Times New Roman" w:eastAsia="Calibri" w:hAnsi="Times New Roman" w:cs="Times New Roman"/>
      <w:kern w:val="0"/>
      <w:lang w:val="es-CO" w:eastAsia="es-ES" w:bidi="ar-SA"/>
    </w:rPr>
  </w:style>
  <w:style w:type="character" w:customStyle="1" w:styleId="leidos">
    <w:name w:val="leidos"/>
    <w:basedOn w:val="Fuentedeprrafopredeter"/>
  </w:style>
  <w:style w:type="character" w:customStyle="1" w:styleId="noleidos">
    <w:name w:val="no_leidos"/>
    <w:basedOn w:val="Fuentedeprrafopredete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normaltextrun">
    <w:name w:val="normaltextrun"/>
    <w:basedOn w:val="Fuentedeprrafopredeter"/>
  </w:style>
  <w:style w:type="character" w:customStyle="1" w:styleId="eop">
    <w:name w:val="eop"/>
    <w:basedOn w:val="Fuentedeprrafopredeter"/>
  </w:style>
  <w:style w:type="character" w:customStyle="1" w:styleId="findhit">
    <w:name w:val="findhit"/>
    <w:basedOn w:val="Fuentedeprrafopredeter"/>
  </w:style>
  <w:style w:type="character" w:customStyle="1" w:styleId="spellingerror">
    <w:name w:val="spellingerror"/>
    <w:basedOn w:val="Fuentedeprrafopredeter"/>
  </w:style>
  <w:style w:type="paragraph" w:customStyle="1" w:styleId="Default">
    <w:name w:val="Default"/>
    <w:pPr>
      <w:suppressAutoHyphens/>
      <w:autoSpaceDE w:val="0"/>
      <w:textAlignment w:val="auto"/>
    </w:pPr>
    <w:rPr>
      <w:rFonts w:ascii="Times New Roman" w:hAnsi="Times New Roman" w:cs="Times New Roman"/>
      <w:color w:val="000000"/>
      <w:sz w:val="24"/>
      <w:szCs w:val="24"/>
    </w:rPr>
  </w:style>
  <w:style w:type="character" w:styleId="Hipervnculovisitado">
    <w:name w:val="FollowedHyperlink"/>
    <w:basedOn w:val="Fuentedeprrafopredeter"/>
    <w:rPr>
      <w:color w:val="954F72"/>
      <w:u w:val="single"/>
    </w:rPr>
  </w:style>
  <w:style w:type="character" w:styleId="Mencionar">
    <w:name w:val="Mention"/>
    <w:basedOn w:val="Fuentedeprrafopredeter"/>
    <w:rPr>
      <w:color w:val="2B579A"/>
      <w:shd w:val="clear" w:color="auto" w:fill="E6E6E6"/>
    </w:rPr>
  </w:style>
  <w:style w:type="paragraph" w:customStyle="1" w:styleId="Descripcin1">
    <w:name w:val="Descripción1"/>
    <w:basedOn w:val="Standard"/>
    <w:pPr>
      <w:suppressLineNumbers/>
      <w:spacing w:before="120" w:after="120"/>
    </w:pPr>
    <w:rPr>
      <w:rFonts w:cs="Lohit Devanagari"/>
      <w:i/>
      <w:iCs/>
      <w:szCs w:val="24"/>
    </w:rPr>
  </w:style>
  <w:style w:type="paragraph" w:styleId="Textoindependiente">
    <w:name w:val="Body Text"/>
    <w:basedOn w:val="Normal"/>
    <w:pPr>
      <w:spacing w:after="120"/>
    </w:pPr>
    <w:rPr>
      <w:rFonts w:eastAsia="DejaVu Sans" w:cs="Mangal"/>
      <w:szCs w:val="21"/>
    </w:rPr>
  </w:style>
  <w:style w:type="character" w:customStyle="1" w:styleId="TextoindependienteCar">
    <w:name w:val="Texto independiente Car"/>
    <w:basedOn w:val="Fuentedeprrafopredeter"/>
    <w:rPr>
      <w:rFonts w:eastAsia="DejaVu Sans" w:cs="Mangal"/>
      <w:kern w:val="3"/>
      <w:sz w:val="24"/>
      <w:szCs w:val="21"/>
      <w:lang w:val="es-ES" w:eastAsia="zh-CN" w:bidi="hi-IN"/>
    </w:rPr>
  </w:style>
  <w:style w:type="character" w:customStyle="1" w:styleId="CuerpodeltextoNegrita">
    <w:name w:val="Cuerpo del texto + Negrita"/>
    <w:rPr>
      <w:rFonts w:ascii="Arial" w:eastAsia="Arial" w:hAnsi="Arial" w:cs="Arial"/>
      <w:b/>
      <w:bCs/>
      <w:sz w:val="17"/>
      <w:szCs w:val="17"/>
      <w:shd w:val="clear" w:color="auto" w:fill="FFFFFF"/>
    </w:rPr>
  </w:style>
  <w:style w:type="numbering" w:customStyle="1" w:styleId="WWOutlineListStyle">
    <w:name w:val="WW_OutlineListStyle"/>
    <w:basedOn w:val="Sinlista"/>
    <w:pPr>
      <w:numPr>
        <w:numId w:val="1"/>
      </w:numPr>
    </w:pPr>
  </w:style>
  <w:style w:type="numbering" w:customStyle="1" w:styleId="WWOutlineListStyle2">
    <w:name w:val="WW_OutlineListStyle_2"/>
    <w:basedOn w:val="Sinlista"/>
    <w:pPr>
      <w:numPr>
        <w:numId w:val="2"/>
      </w:numPr>
    </w:pPr>
  </w:style>
  <w:style w:type="numbering" w:customStyle="1" w:styleId="WWOutlineListStyle1">
    <w:name w:val="WW_OutlineListStyle_1"/>
    <w:basedOn w:val="Sinlista"/>
    <w:pPr>
      <w:numPr>
        <w:numId w:val="3"/>
      </w:numPr>
    </w:pPr>
  </w:style>
  <w:style w:type="numbering" w:customStyle="1" w:styleId="WW8Num2">
    <w:name w:val="WW8Num2"/>
    <w:basedOn w:val="Sinlista"/>
    <w:pPr>
      <w:numPr>
        <w:numId w:val="4"/>
      </w:numPr>
    </w:pPr>
  </w:style>
  <w:style w:type="numbering" w:customStyle="1" w:styleId="WW8Num14">
    <w:name w:val="WW8Num14"/>
    <w:basedOn w:val="Sinlista"/>
    <w:pPr>
      <w:numPr>
        <w:numId w:val="5"/>
      </w:numPr>
    </w:pPr>
  </w:style>
  <w:style w:type="numbering" w:customStyle="1" w:styleId="WW8Num1">
    <w:name w:val="WW8Num1"/>
    <w:basedOn w:val="Sinlista"/>
    <w:pPr>
      <w:numPr>
        <w:numId w:val="6"/>
      </w:numPr>
    </w:pPr>
  </w:style>
  <w:style w:type="numbering" w:customStyle="1" w:styleId="WW8Num10">
    <w:name w:val="WW8Num10"/>
    <w:basedOn w:val="Sinlista"/>
    <w:pPr>
      <w:numPr>
        <w:numId w:val="7"/>
      </w:numPr>
    </w:pPr>
  </w:style>
  <w:style w:type="numbering" w:customStyle="1" w:styleId="WW8Num18">
    <w:name w:val="WW8Num18"/>
    <w:basedOn w:val="Sinlista"/>
    <w:pPr>
      <w:numPr>
        <w:numId w:val="8"/>
      </w:numPr>
    </w:pPr>
  </w:style>
  <w:style w:type="numbering" w:customStyle="1" w:styleId="WW8Num8">
    <w:name w:val="WW8Num8"/>
    <w:basedOn w:val="Sinlista"/>
    <w:pPr>
      <w:numPr>
        <w:numId w:val="9"/>
      </w:numPr>
    </w:pPr>
  </w:style>
  <w:style w:type="numbering" w:customStyle="1" w:styleId="WW8Num3">
    <w:name w:val="WW8Num3"/>
    <w:basedOn w:val="Sinlista"/>
    <w:pPr>
      <w:numPr>
        <w:numId w:val="10"/>
      </w:numPr>
    </w:pPr>
  </w:style>
  <w:style w:type="numbering" w:customStyle="1" w:styleId="WW8Num4">
    <w:name w:val="WW8Num4"/>
    <w:basedOn w:val="Sinlista"/>
    <w:pPr>
      <w:numPr>
        <w:numId w:val="11"/>
      </w:numPr>
    </w:pPr>
  </w:style>
  <w:style w:type="numbering" w:customStyle="1" w:styleId="WW8Num7">
    <w:name w:val="WW8Num7"/>
    <w:basedOn w:val="Sinlista"/>
    <w:pPr>
      <w:numPr>
        <w:numId w:val="12"/>
      </w:numPr>
    </w:pPr>
  </w:style>
  <w:style w:type="numbering" w:customStyle="1" w:styleId="WW8Num5">
    <w:name w:val="WW8Num5"/>
    <w:basedOn w:val="Sinlista"/>
    <w:pPr>
      <w:numPr>
        <w:numId w:val="13"/>
      </w:numPr>
    </w:pPr>
  </w:style>
  <w:style w:type="numbering" w:customStyle="1" w:styleId="WW8Num13">
    <w:name w:val="WW8Num13"/>
    <w:basedOn w:val="Sinlista"/>
    <w:pPr>
      <w:numPr>
        <w:numId w:val="14"/>
      </w:numPr>
    </w:pPr>
  </w:style>
  <w:style w:type="numbering" w:customStyle="1" w:styleId="WW8Num6">
    <w:name w:val="WW8Num6"/>
    <w:basedOn w:val="Sinlista"/>
    <w:pPr>
      <w:numPr>
        <w:numId w:val="15"/>
      </w:numPr>
    </w:pPr>
  </w:style>
  <w:style w:type="numbering" w:customStyle="1" w:styleId="WW8Num12">
    <w:name w:val="WW8Num12"/>
    <w:basedOn w:val="Sinlista"/>
    <w:pPr>
      <w:numPr>
        <w:numId w:val="16"/>
      </w:numPr>
    </w:pPr>
  </w:style>
  <w:style w:type="numbering" w:customStyle="1" w:styleId="WW8Num11">
    <w:name w:val="WW8Num11"/>
    <w:basedOn w:val="Sinlista"/>
    <w:pPr>
      <w:numPr>
        <w:numId w:val="17"/>
      </w:numPr>
    </w:pPr>
  </w:style>
  <w:style w:type="numbering" w:customStyle="1" w:styleId="WW8Num15">
    <w:name w:val="WW8Num15"/>
    <w:basedOn w:val="Sinlista"/>
    <w:pPr>
      <w:numPr>
        <w:numId w:val="18"/>
      </w:numPr>
    </w:pPr>
  </w:style>
  <w:style w:type="numbering" w:customStyle="1" w:styleId="WW8Num16">
    <w:name w:val="WW8Num16"/>
    <w:basedOn w:val="Sinlista"/>
    <w:pPr>
      <w:numPr>
        <w:numId w:val="19"/>
      </w:numPr>
    </w:pPr>
  </w:style>
  <w:style w:type="numbering" w:customStyle="1" w:styleId="WW8Num19">
    <w:name w:val="WW8Num19"/>
    <w:basedOn w:val="Sinlista"/>
    <w:pPr>
      <w:numPr>
        <w:numId w:val="20"/>
      </w:numPr>
    </w:pPr>
  </w:style>
  <w:style w:type="numbering" w:customStyle="1" w:styleId="WW8Num9">
    <w:name w:val="WW8Num9"/>
    <w:basedOn w:val="Sinlista"/>
    <w:pPr>
      <w:numPr>
        <w:numId w:val="21"/>
      </w:numPr>
    </w:pPr>
  </w:style>
  <w:style w:type="numbering" w:customStyle="1" w:styleId="WW8Num17">
    <w:name w:val="WW8Num17"/>
    <w:basedOn w:val="Sinlist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5594</Words>
  <Characters>30773</Characters>
  <Application>Microsoft Office Word</Application>
  <DocSecurity>0</DocSecurity>
  <Lines>256</Lines>
  <Paragraphs>72</Paragraphs>
  <ScaleCrop>false</ScaleCrop>
  <Company/>
  <LinksUpToDate>false</LinksUpToDate>
  <CharactersWithSpaces>36295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Microsoft Office User</cp:lastModifiedBy>
  <cp:revision>2</cp:revision>
  <cp:lastPrinted>2020-04-03T23:17:00Z</cp:lastPrinted>
  <dcterms:created xsi:type="dcterms:W3CDTF">2022-06-07T01:39:00Z</dcterms:created>
  <dcterms:modified xsi:type="dcterms:W3CDTF">2022-06-07T01:39:00Z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