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6486" w14:textId="77777777" w:rsidR="00B52A58" w:rsidRDefault="00B52A58">
      <w:pPr>
        <w:pStyle w:val="Standard"/>
        <w:jc w:val="center"/>
      </w:pPr>
      <w:bookmarkStart w:id="0" w:name="_GoBack"/>
      <w:bookmarkEnd w:id="0"/>
    </w:p>
    <w:p w14:paraId="6DBD3C13" w14:textId="77777777" w:rsidR="00B52A58" w:rsidRDefault="00B52A58">
      <w:pPr>
        <w:pStyle w:val="Ttulo21"/>
        <w:tabs>
          <w:tab w:val="left" w:pos="4253"/>
        </w:tabs>
        <w:rPr>
          <w:rFonts w:ascii="Work Sans" w:hAnsi="Work Sans"/>
          <w:sz w:val="20"/>
        </w:rPr>
      </w:pPr>
    </w:p>
    <w:p w14:paraId="0FB6851D" w14:textId="77777777" w:rsidR="00B52A58" w:rsidRDefault="00287751">
      <w:pPr>
        <w:pStyle w:val="Ttulo21"/>
        <w:tabs>
          <w:tab w:val="left" w:pos="4253"/>
        </w:tabs>
        <w:rPr>
          <w:rFonts w:ascii="Work Sans" w:hAnsi="Work Sans"/>
          <w:sz w:val="20"/>
        </w:rPr>
      </w:pPr>
      <w:r>
        <w:rPr>
          <w:rFonts w:ascii="Work Sans" w:hAnsi="Work Sans"/>
          <w:sz w:val="20"/>
        </w:rPr>
        <w:t>RESOLUCIÓN NÚMERO                                          DE 2019</w:t>
      </w:r>
    </w:p>
    <w:p w14:paraId="681D65B3" w14:textId="77777777" w:rsidR="00B52A58" w:rsidRDefault="00B52A58">
      <w:pPr>
        <w:pStyle w:val="toa"/>
        <w:tabs>
          <w:tab w:val="clear" w:pos="9000"/>
          <w:tab w:val="clear" w:pos="9360"/>
        </w:tabs>
        <w:jc w:val="center"/>
        <w:rPr>
          <w:rFonts w:ascii="Work Sans" w:eastAsia="Arial" w:hAnsi="Work Sans" w:cs="Arial"/>
          <w:sz w:val="20"/>
          <w:lang w:val="es-ES"/>
        </w:rPr>
      </w:pPr>
    </w:p>
    <w:p w14:paraId="4AD37EC2" w14:textId="77777777" w:rsidR="00B52A58" w:rsidRDefault="00287751">
      <w:pPr>
        <w:pStyle w:val="toa"/>
        <w:tabs>
          <w:tab w:val="clear" w:pos="9000"/>
          <w:tab w:val="clear" w:pos="9360"/>
        </w:tabs>
        <w:jc w:val="center"/>
      </w:pPr>
      <w:r>
        <w:rPr>
          <w:rStyle w:val="Fuentedeprrafopredeter1"/>
          <w:rFonts w:ascii="Work Sans" w:eastAsia="Arial" w:hAnsi="Work Sans" w:cs="Arial"/>
          <w:b/>
          <w:bCs/>
          <w:sz w:val="20"/>
          <w:lang w:val="es-ES"/>
        </w:rPr>
        <w:t xml:space="preserve">(                                             </w:t>
      </w:r>
      <w:r>
        <w:rPr>
          <w:rStyle w:val="Fuentedeprrafopredeter1"/>
          <w:rFonts w:ascii="Work Sans" w:eastAsia="Arial" w:hAnsi="Work Sans" w:cs="Arial"/>
          <w:sz w:val="20"/>
          <w:lang w:val="es-ES"/>
        </w:rPr>
        <w:t>)</w:t>
      </w:r>
    </w:p>
    <w:p w14:paraId="2EB2C68C" w14:textId="77777777" w:rsidR="00B52A58" w:rsidRDefault="00B52A58">
      <w:pPr>
        <w:pStyle w:val="Standard"/>
        <w:rPr>
          <w:rFonts w:ascii="Work Sans" w:eastAsia="Arial" w:hAnsi="Work Sans" w:cs="Arial"/>
          <w:sz w:val="20"/>
        </w:rPr>
      </w:pPr>
    </w:p>
    <w:p w14:paraId="1B77BC2F" w14:textId="77777777" w:rsidR="00B52A58" w:rsidRDefault="00287751">
      <w:pPr>
        <w:pStyle w:val="Standard"/>
        <w:autoSpaceDE w:val="0"/>
        <w:jc w:val="center"/>
      </w:pPr>
      <w:r>
        <w:rPr>
          <w:rStyle w:val="Fuentedeprrafopredeter1"/>
          <w:rFonts w:ascii="Work Sans" w:eastAsia="Arial" w:hAnsi="Work Sans" w:cs="Arial"/>
          <w:sz w:val="20"/>
        </w:rPr>
        <w:t>“Por</w:t>
      </w:r>
      <w:r>
        <w:rPr>
          <w:rStyle w:val="Fuentedeprrafopredeter1"/>
          <w:rFonts w:ascii="Work Sans" w:hAnsi="Work Sans" w:cs="Arial"/>
          <w:color w:val="000000"/>
          <w:kern w:val="0"/>
          <w:sz w:val="20"/>
          <w:lang w:val="es-CO" w:eastAsia="es-CO"/>
        </w:rPr>
        <w:t xml:space="preserve"> la cual se modifica el artículo 3 de la Resolución Nº 0000092 de 2014 “Por la cual establece tarifa especial diferencial para la estación de peaje de Paraguachón” y se dictan otras disposiciones</w:t>
      </w:r>
      <w:r>
        <w:rPr>
          <w:rStyle w:val="Fuentedeprrafopredeter1"/>
          <w:rFonts w:ascii="Work Sans" w:eastAsia="Arial" w:hAnsi="Work Sans" w:cs="Arial"/>
          <w:sz w:val="20"/>
        </w:rPr>
        <w:t xml:space="preserve"> "</w:t>
      </w:r>
    </w:p>
    <w:p w14:paraId="5B7B09F3" w14:textId="77777777" w:rsidR="00B52A58" w:rsidRDefault="00B52A58">
      <w:pPr>
        <w:pStyle w:val="Standard"/>
        <w:autoSpaceDE w:val="0"/>
        <w:jc w:val="both"/>
        <w:rPr>
          <w:rFonts w:ascii="Work Sans" w:eastAsia="Arial" w:hAnsi="Work Sans" w:cs="Arial"/>
          <w:sz w:val="20"/>
        </w:rPr>
      </w:pPr>
    </w:p>
    <w:p w14:paraId="1A3995EF" w14:textId="77777777" w:rsidR="00B52A58" w:rsidRDefault="00B52A58">
      <w:pPr>
        <w:pStyle w:val="Standard"/>
        <w:autoSpaceDE w:val="0"/>
        <w:rPr>
          <w:rFonts w:ascii="Work Sans" w:eastAsia="Arial" w:hAnsi="Work Sans" w:cs="Arial"/>
          <w:b/>
          <w:bCs/>
          <w:sz w:val="20"/>
        </w:rPr>
      </w:pPr>
    </w:p>
    <w:p w14:paraId="2E399F75" w14:textId="77777777" w:rsidR="00B52A58" w:rsidRDefault="00287751">
      <w:pPr>
        <w:pStyle w:val="Standard"/>
        <w:autoSpaceDE w:val="0"/>
        <w:jc w:val="center"/>
        <w:rPr>
          <w:rFonts w:ascii="Work Sans" w:eastAsia="Arial" w:hAnsi="Work Sans" w:cs="Arial"/>
          <w:b/>
          <w:bCs/>
          <w:sz w:val="20"/>
        </w:rPr>
      </w:pPr>
      <w:r>
        <w:rPr>
          <w:rFonts w:ascii="Work Sans" w:eastAsia="Arial" w:hAnsi="Work Sans" w:cs="Arial"/>
          <w:b/>
          <w:bCs/>
          <w:sz w:val="20"/>
        </w:rPr>
        <w:t>LA MINISTRA DE TRANSPORTE</w:t>
      </w:r>
    </w:p>
    <w:p w14:paraId="73A716BB" w14:textId="77777777" w:rsidR="00B52A58" w:rsidRDefault="00B52A58">
      <w:pPr>
        <w:pStyle w:val="Standard"/>
        <w:autoSpaceDE w:val="0"/>
        <w:jc w:val="center"/>
        <w:rPr>
          <w:rFonts w:ascii="Work Sans" w:eastAsia="Arial" w:hAnsi="Work Sans" w:cs="Arial"/>
          <w:b/>
          <w:bCs/>
          <w:sz w:val="20"/>
        </w:rPr>
      </w:pPr>
    </w:p>
    <w:p w14:paraId="6C1FEBDB" w14:textId="77777777" w:rsidR="00B52A58" w:rsidRDefault="00287751">
      <w:pPr>
        <w:widowControl/>
        <w:ind w:right="40"/>
        <w:jc w:val="both"/>
        <w:textAlignment w:val="auto"/>
        <w:rPr>
          <w:rFonts w:ascii="Work Sans" w:eastAsia="Times New Roman" w:hAnsi="Work Sans" w:cs="Courier New"/>
          <w:sz w:val="20"/>
          <w:szCs w:val="20"/>
          <w:lang w:bidi="ar-SA"/>
        </w:rPr>
      </w:pPr>
      <w:r>
        <w:rPr>
          <w:rFonts w:ascii="Work Sans" w:eastAsia="Times New Roman" w:hAnsi="Work Sans" w:cs="Courier New"/>
          <w:sz w:val="20"/>
          <w:szCs w:val="20"/>
          <w:lang w:bidi="ar-SA"/>
        </w:rPr>
        <w:t>En ejercicio de las facultades legales y en especial las conferidas por el artículo 21 de la Ley 105 de 1993 modificado parcialmente por el artículo 1 de la Ley 787 de 2002, el numeral 6.15 del artículo 6 del Decreto 087 de 2011, y</w:t>
      </w:r>
    </w:p>
    <w:p w14:paraId="1FA82E5E" w14:textId="77777777" w:rsidR="00B52A58" w:rsidRDefault="00B52A58">
      <w:pPr>
        <w:widowControl/>
        <w:jc w:val="both"/>
        <w:textAlignment w:val="auto"/>
        <w:rPr>
          <w:rFonts w:ascii="Work Sans" w:eastAsia="Times New Roman" w:hAnsi="Work Sans" w:cs="Arial"/>
          <w:color w:val="000000"/>
          <w:kern w:val="0"/>
          <w:sz w:val="20"/>
          <w:szCs w:val="20"/>
          <w:lang w:eastAsia="es-CO" w:bidi="ar-SA"/>
        </w:rPr>
      </w:pPr>
    </w:p>
    <w:p w14:paraId="12077EBA" w14:textId="77777777" w:rsidR="00B52A58" w:rsidRDefault="00287751">
      <w:pPr>
        <w:pStyle w:val="Standard"/>
        <w:autoSpaceDE w:val="0"/>
        <w:jc w:val="center"/>
        <w:rPr>
          <w:rFonts w:ascii="Work Sans" w:eastAsia="Arial" w:hAnsi="Work Sans" w:cs="Arial"/>
          <w:b/>
          <w:bCs/>
          <w:sz w:val="20"/>
        </w:rPr>
      </w:pPr>
      <w:r>
        <w:rPr>
          <w:rFonts w:ascii="Work Sans" w:eastAsia="Arial" w:hAnsi="Work Sans" w:cs="Arial"/>
          <w:b/>
          <w:bCs/>
          <w:sz w:val="20"/>
        </w:rPr>
        <w:t>CONSIDERANDO:</w:t>
      </w:r>
    </w:p>
    <w:p w14:paraId="44957059" w14:textId="77777777" w:rsidR="00B52A58" w:rsidRDefault="00B52A58">
      <w:pPr>
        <w:pStyle w:val="Standard"/>
        <w:autoSpaceDE w:val="0"/>
        <w:jc w:val="center"/>
        <w:rPr>
          <w:rFonts w:ascii="Work Sans" w:eastAsia="Arial" w:hAnsi="Work Sans" w:cs="Arial"/>
          <w:b/>
          <w:bCs/>
          <w:sz w:val="20"/>
        </w:rPr>
      </w:pPr>
    </w:p>
    <w:p w14:paraId="3403EAD0" w14:textId="77777777" w:rsidR="00B52A58" w:rsidRDefault="00287751">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Que la </w:t>
      </w:r>
      <w:hyperlink r:id="rId7" w:tooltip="Haga clic para abrir TODA la Ley 105 de 1993" w:history="1">
        <w:r>
          <w:rPr>
            <w:rStyle w:val="Fuentedeprrafopredeter1"/>
            <w:rFonts w:ascii="Work Sans" w:eastAsia="Times New Roman" w:hAnsi="Work Sans" w:cs="Arial"/>
            <w:color w:val="000000"/>
            <w:kern w:val="0"/>
            <w:sz w:val="20"/>
            <w:szCs w:val="20"/>
            <w:lang w:val="es-CO" w:eastAsia="es-CO" w:bidi="ar-SA"/>
          </w:rPr>
          <w:t>Ley 105 de 1993</w:t>
        </w:r>
      </w:hyperlink>
      <w:r>
        <w:rPr>
          <w:rStyle w:val="Fuentedeprrafopredeter1"/>
          <w:rFonts w:ascii="Work Sans" w:eastAsia="Times New Roman" w:hAnsi="Work Sans" w:cs="Arial"/>
          <w:color w:val="000000"/>
          <w:kern w:val="0"/>
          <w:sz w:val="20"/>
          <w:szCs w:val="20"/>
          <w:lang w:val="es-CO" w:eastAsia="es-CO" w:bidi="ar-SA"/>
        </w:rPr>
        <w:t>, “por la cual se dictan disposiciones básicas sobre el transporte, se redistribuyen competencias y recursos entre la Nación y las Entidades Territoriales, se reglamenta la planeación en el sector transporte y se dictan otras disposiciones”, en su artículo 21 modificado por el artículo 1° de la </w:t>
      </w:r>
      <w:hyperlink r:id="rId8" w:tooltip="Haga clic para abrir TODA la Ley 787 de 2002" w:history="1">
        <w:r>
          <w:rPr>
            <w:rStyle w:val="Fuentedeprrafopredeter1"/>
            <w:rFonts w:ascii="Work Sans" w:eastAsia="Times New Roman" w:hAnsi="Work Sans" w:cs="Arial"/>
            <w:color w:val="000000"/>
            <w:kern w:val="0"/>
            <w:sz w:val="20"/>
            <w:szCs w:val="20"/>
            <w:lang w:val="es-CO" w:eastAsia="es-CO" w:bidi="ar-SA"/>
          </w:rPr>
          <w:t>Ley 787 de 2002</w:t>
        </w:r>
      </w:hyperlink>
      <w:r>
        <w:rPr>
          <w:rStyle w:val="Fuentedeprrafopredeter1"/>
          <w:rFonts w:ascii="Work Sans" w:eastAsia="Times New Roman" w:hAnsi="Work Sans" w:cs="Arial"/>
          <w:color w:val="000000"/>
          <w:kern w:val="0"/>
          <w:sz w:val="20"/>
          <w:szCs w:val="20"/>
          <w:lang w:val="es-CO" w:eastAsia="es-CO" w:bidi="ar-SA"/>
        </w:rPr>
        <w:t xml:space="preserve">, establece la fijación y cobro de tasas, tarifas y peajes, y tasas de peajes diferenciales </w:t>
      </w:r>
      <w:r>
        <w:rPr>
          <w:rStyle w:val="Fuentedeprrafopredeter1"/>
          <w:rFonts w:ascii="Work Sans" w:hAnsi="Work Sans" w:cs="Arial"/>
          <w:color w:val="000000"/>
          <w:sz w:val="20"/>
          <w:szCs w:val="20"/>
          <w:shd w:val="clear" w:color="auto" w:fill="FFFFFF"/>
        </w:rPr>
        <w:t> sobre el uso de la infraestructura nacional de transporte</w:t>
      </w:r>
      <w:r>
        <w:rPr>
          <w:rStyle w:val="Fuentedeprrafopredeter1"/>
          <w:rFonts w:ascii="Work Sans" w:eastAsia="Times New Roman" w:hAnsi="Work Sans" w:cs="Arial"/>
          <w:color w:val="000000"/>
          <w:kern w:val="0"/>
          <w:sz w:val="20"/>
          <w:szCs w:val="20"/>
          <w:lang w:val="es-CO" w:eastAsia="es-CO" w:bidi="ar-SA"/>
        </w:rPr>
        <w:t xml:space="preserve">. </w:t>
      </w:r>
    </w:p>
    <w:p w14:paraId="1553F74B" w14:textId="77777777" w:rsidR="00B52A58" w:rsidRDefault="00B52A58">
      <w:pPr>
        <w:widowControl/>
        <w:tabs>
          <w:tab w:val="left" w:pos="0"/>
        </w:tabs>
        <w:ind w:right="49"/>
        <w:jc w:val="both"/>
        <w:textAlignment w:val="auto"/>
        <w:rPr>
          <w:rFonts w:ascii="Work Sans" w:eastAsia="DengXian Light" w:hAnsi="Work Sans" w:cs="Times New Roman" w:hint="eastAsia"/>
          <w:kern w:val="0"/>
          <w:sz w:val="20"/>
          <w:szCs w:val="20"/>
          <w:lang w:val="es" w:eastAsia="es-ES" w:bidi="ar-SA"/>
        </w:rPr>
      </w:pPr>
    </w:p>
    <w:p w14:paraId="5142C7E5" w14:textId="77777777" w:rsidR="00B52A58" w:rsidRDefault="00287751">
      <w:pPr>
        <w:widowControl/>
        <w:tabs>
          <w:tab w:val="left" w:pos="0"/>
        </w:tabs>
        <w:ind w:right="49"/>
        <w:jc w:val="both"/>
        <w:textAlignment w:val="auto"/>
      </w:pPr>
      <w:r>
        <w:rPr>
          <w:rStyle w:val="Fuentedeprrafopredeter1"/>
          <w:rFonts w:ascii="Work Sans" w:eastAsia="DengXian Light" w:hAnsi="Work Sans" w:cs="Times New Roman"/>
          <w:kern w:val="0"/>
          <w:sz w:val="20"/>
          <w:szCs w:val="20"/>
          <w:lang w:val="es" w:eastAsia="es-ES" w:bidi="ar-SA"/>
        </w:rPr>
        <w:t>Que el Decreto 087 de 2011 “</w:t>
      </w:r>
      <w:r>
        <w:rPr>
          <w:rStyle w:val="Fuentedeprrafopredeter1"/>
          <w:rFonts w:ascii="Work Sans" w:eastAsia="DengXian Light" w:hAnsi="Work Sans" w:cs="Times New Roman"/>
          <w:i/>
          <w:kern w:val="0"/>
          <w:sz w:val="20"/>
          <w:szCs w:val="20"/>
          <w:lang w:val="es" w:eastAsia="es-ES" w:bidi="ar-SA"/>
        </w:rPr>
        <w:t>Por el cual se modifica la estructura del Ministerio de Transporte, y se determinan las funciones de sus dependencias</w:t>
      </w:r>
      <w:r>
        <w:rPr>
          <w:rStyle w:val="Fuentedeprrafopredeter1"/>
          <w:rFonts w:ascii="Work Sans" w:eastAsia="DengXian Light" w:hAnsi="Work Sans" w:cs="Times New Roman"/>
          <w:kern w:val="0"/>
          <w:sz w:val="20"/>
          <w:szCs w:val="20"/>
          <w:lang w:val="es" w:eastAsia="es-ES" w:bidi="ar-SA"/>
        </w:rPr>
        <w:t>.” establece:</w:t>
      </w:r>
    </w:p>
    <w:p w14:paraId="09FB7942" w14:textId="77777777" w:rsidR="00B52A58" w:rsidRDefault="00B52A58">
      <w:pPr>
        <w:widowControl/>
        <w:tabs>
          <w:tab w:val="left" w:pos="0"/>
        </w:tabs>
        <w:ind w:left="709" w:right="709"/>
        <w:jc w:val="both"/>
        <w:textAlignment w:val="auto"/>
        <w:rPr>
          <w:rFonts w:ascii="Work Sans" w:eastAsia="DengXian Light" w:hAnsi="Work Sans" w:cs="Times New Roman" w:hint="eastAsia"/>
          <w:i/>
          <w:kern w:val="0"/>
          <w:sz w:val="20"/>
          <w:szCs w:val="20"/>
          <w:lang w:val="es" w:eastAsia="es-ES" w:bidi="ar-SA"/>
        </w:rPr>
      </w:pPr>
    </w:p>
    <w:p w14:paraId="0F677D05" w14:textId="77777777" w:rsidR="00B52A58" w:rsidRDefault="00287751">
      <w:pPr>
        <w:tabs>
          <w:tab w:val="left" w:pos="7655"/>
        </w:tabs>
        <w:ind w:left="567" w:right="566"/>
        <w:jc w:val="both"/>
        <w:rPr>
          <w:rFonts w:ascii="Work Sans" w:eastAsia="DengXian Light" w:hAnsi="Work Sans" w:cs="Times New Roman" w:hint="eastAsia"/>
          <w:i/>
          <w:kern w:val="0"/>
          <w:sz w:val="18"/>
          <w:szCs w:val="18"/>
          <w:lang w:val="es" w:eastAsia="es-ES" w:bidi="ar-SA"/>
        </w:rPr>
      </w:pPr>
      <w:r>
        <w:rPr>
          <w:rFonts w:ascii="Work Sans" w:eastAsia="DengXian Light" w:hAnsi="Work Sans" w:cs="Times New Roman"/>
          <w:i/>
          <w:kern w:val="0"/>
          <w:sz w:val="18"/>
          <w:szCs w:val="18"/>
          <w:lang w:val="es" w:eastAsia="es-ES" w:bidi="ar-SA"/>
        </w:rPr>
        <w:t>“Artículo 6°. Funciones del Despacho del Ministro de Transporte. Son funciones del Despacho del Ministro de Transporte, además de las señaladas por la Constitución Política y la ley, las siguientes:</w:t>
      </w:r>
    </w:p>
    <w:p w14:paraId="1033EA75" w14:textId="77777777" w:rsidR="00B52A58" w:rsidRDefault="00287751">
      <w:pPr>
        <w:widowControl/>
        <w:tabs>
          <w:tab w:val="left" w:pos="0"/>
          <w:tab w:val="left" w:pos="7655"/>
        </w:tabs>
        <w:ind w:left="567" w:right="566"/>
        <w:jc w:val="both"/>
        <w:textAlignment w:val="auto"/>
        <w:rPr>
          <w:rFonts w:ascii="Work Sans" w:eastAsia="DengXian Light" w:hAnsi="Work Sans" w:cs="Times New Roman" w:hint="eastAsia"/>
          <w:i/>
          <w:kern w:val="0"/>
          <w:sz w:val="18"/>
          <w:szCs w:val="18"/>
          <w:lang w:val="es" w:eastAsia="es-ES" w:bidi="ar-SA"/>
        </w:rPr>
      </w:pPr>
      <w:r>
        <w:rPr>
          <w:rFonts w:ascii="Work Sans" w:eastAsia="DengXian Light" w:hAnsi="Work Sans" w:cs="Times New Roman"/>
          <w:i/>
          <w:kern w:val="0"/>
          <w:sz w:val="18"/>
          <w:szCs w:val="18"/>
          <w:lang w:val="es" w:eastAsia="es-ES" w:bidi="ar-SA"/>
        </w:rPr>
        <w:t xml:space="preserve"> </w:t>
      </w:r>
    </w:p>
    <w:p w14:paraId="32B6427A" w14:textId="77777777" w:rsidR="00B52A58" w:rsidRDefault="00287751">
      <w:pPr>
        <w:widowControl/>
        <w:tabs>
          <w:tab w:val="left" w:pos="7655"/>
        </w:tabs>
        <w:ind w:left="567" w:right="566"/>
        <w:jc w:val="both"/>
        <w:textAlignment w:val="auto"/>
        <w:rPr>
          <w:rFonts w:ascii="Work Sans" w:eastAsia="DengXian Light" w:hAnsi="Work Sans" w:cs="Times New Roman" w:hint="eastAsia"/>
          <w:i/>
          <w:kern w:val="0"/>
          <w:sz w:val="18"/>
          <w:szCs w:val="18"/>
          <w:lang w:val="es" w:eastAsia="es-ES" w:bidi="ar-SA"/>
        </w:rPr>
      </w:pPr>
      <w:r>
        <w:rPr>
          <w:rFonts w:ascii="Work Sans" w:eastAsia="DengXian Light" w:hAnsi="Work Sans" w:cs="Times New Roman"/>
          <w:i/>
          <w:kern w:val="0"/>
          <w:sz w:val="18"/>
          <w:szCs w:val="18"/>
          <w:lang w:val="es" w:eastAsia="es-ES" w:bidi="ar-SA"/>
        </w:rPr>
        <w:t>6.15. Establecer los peajes, tarifas, tasas y derechos a cobrar por el uso de la infraestructura de los modos de transporte, excepto el aéreo. (…)”</w:t>
      </w:r>
    </w:p>
    <w:p w14:paraId="15211019" w14:textId="77777777" w:rsidR="00B52A58" w:rsidRDefault="00B52A58">
      <w:pPr>
        <w:widowControl/>
        <w:tabs>
          <w:tab w:val="left" w:pos="0"/>
        </w:tabs>
        <w:ind w:left="567" w:right="566"/>
        <w:jc w:val="both"/>
        <w:textAlignment w:val="auto"/>
        <w:rPr>
          <w:rFonts w:ascii="Work Sans" w:eastAsia="DengXian Light" w:hAnsi="Work Sans" w:cs="Times New Roman" w:hint="eastAsia"/>
          <w:i/>
          <w:kern w:val="0"/>
          <w:sz w:val="20"/>
          <w:szCs w:val="20"/>
          <w:lang w:val="es" w:eastAsia="es-ES" w:bidi="ar-SA"/>
        </w:rPr>
      </w:pPr>
    </w:p>
    <w:p w14:paraId="30735764" w14:textId="77777777" w:rsidR="00B52A58" w:rsidRDefault="00287751">
      <w:pPr>
        <w:ind w:right="49"/>
        <w:jc w:val="both"/>
      </w:pPr>
      <w:r>
        <w:rPr>
          <w:rStyle w:val="Fuentedeprrafopredeter1"/>
          <w:rFonts w:ascii="Work Sans" w:eastAsia="DengXian Light" w:hAnsi="Work Sans" w:cs="Arial"/>
          <w:color w:val="000000"/>
          <w:sz w:val="20"/>
          <w:szCs w:val="20"/>
          <w:lang w:val="es" w:eastAsia="es-ES"/>
        </w:rPr>
        <w:t xml:space="preserve">Que </w:t>
      </w:r>
      <w:r>
        <w:rPr>
          <w:rStyle w:val="Fuentedeprrafopredeter1"/>
          <w:rFonts w:ascii="Work Sans" w:eastAsia="DengXian Light" w:hAnsi="Work Sans" w:cs="Arial"/>
          <w:color w:val="000000"/>
          <w:kern w:val="0"/>
          <w:sz w:val="20"/>
          <w:szCs w:val="20"/>
          <w:lang w:val="es" w:eastAsia="es-ES" w:bidi="ar-SA"/>
        </w:rPr>
        <w:t xml:space="preserve">los numerales 1 y 5 del artículo 4 del Decreto 4165 de 2011 </w:t>
      </w:r>
      <w:r>
        <w:rPr>
          <w:rStyle w:val="Fuentedeprrafopredeter1"/>
          <w:rFonts w:ascii="Work Sans" w:eastAsia="DengXian Light" w:hAnsi="Work Sans" w:cs="Arial"/>
          <w:i/>
          <w:color w:val="000000"/>
          <w:sz w:val="20"/>
          <w:szCs w:val="20"/>
          <w:lang w:val="es" w:eastAsia="es-ES"/>
        </w:rPr>
        <w:t xml:space="preserve">“Por el cual por el cual se cambia la naturaleza jurídica, cambia de denominación y se fijan otras disposiciones del Instituto Nacional de Concesiones (INCO)” </w:t>
      </w:r>
      <w:r>
        <w:rPr>
          <w:rStyle w:val="Fuentedeprrafopredeter1"/>
          <w:rFonts w:ascii="Work Sans" w:eastAsia="DengXian Light" w:hAnsi="Work Sans" w:cs="Arial"/>
          <w:color w:val="000000"/>
          <w:kern w:val="0"/>
          <w:sz w:val="20"/>
          <w:szCs w:val="20"/>
          <w:lang w:val="es" w:eastAsia="es-ES" w:bidi="ar-SA"/>
        </w:rPr>
        <w:t>establece dentro de las funciones de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53EC55AB" w14:textId="77777777" w:rsidR="00B52A58" w:rsidRDefault="00B52A58">
      <w:pPr>
        <w:ind w:right="49"/>
        <w:jc w:val="both"/>
        <w:rPr>
          <w:rFonts w:ascii="Work Sans" w:eastAsia="DengXian Light" w:hAnsi="Work Sans" w:cs="Arial" w:hint="eastAsia"/>
          <w:color w:val="000000"/>
          <w:sz w:val="20"/>
          <w:szCs w:val="20"/>
          <w:lang w:val="es" w:eastAsia="es-ES"/>
        </w:rPr>
      </w:pPr>
    </w:p>
    <w:p w14:paraId="2C9F5FC2" w14:textId="77777777" w:rsidR="00B52A58" w:rsidRDefault="00287751">
      <w:pPr>
        <w:ind w:right="49"/>
        <w:jc w:val="both"/>
      </w:pPr>
      <w:r>
        <w:rPr>
          <w:rStyle w:val="Fuentedeprrafopredeter1"/>
          <w:rFonts w:ascii="Work Sans" w:eastAsia="DengXian Light" w:hAnsi="Work Sans" w:cs="Times New Roman"/>
          <w:sz w:val="20"/>
          <w:szCs w:val="20"/>
          <w:lang w:val="es" w:eastAsia="es-ES"/>
        </w:rPr>
        <w:t xml:space="preserve">Que </w:t>
      </w:r>
      <w:r>
        <w:rPr>
          <w:rStyle w:val="Fuentedeprrafopredeter1"/>
          <w:rFonts w:ascii="Work Sans" w:eastAsia="DengXian Light" w:hAnsi="Work Sans" w:cs="Arial"/>
          <w:color w:val="000000"/>
          <w:sz w:val="20"/>
          <w:szCs w:val="20"/>
          <w:lang w:val="es" w:eastAsia="es-ES"/>
        </w:rPr>
        <w:t>en este sentido, el numeral 14 del artículo 11 del Decreto 4165 de 2011 establece como función del Presidente de la Agencia Nacional de Infraestructura, la siguiente:</w:t>
      </w:r>
    </w:p>
    <w:p w14:paraId="792958C2" w14:textId="77777777" w:rsidR="00B52A58" w:rsidRDefault="00B52A58">
      <w:pPr>
        <w:ind w:right="49"/>
        <w:jc w:val="both"/>
        <w:rPr>
          <w:rFonts w:ascii="Work Sans" w:eastAsia="DengXian Light" w:hAnsi="Work Sans" w:cs="Times New Roman" w:hint="eastAsia"/>
          <w:sz w:val="20"/>
          <w:szCs w:val="20"/>
          <w:shd w:val="clear" w:color="auto" w:fill="FFFF00"/>
        </w:rPr>
      </w:pPr>
    </w:p>
    <w:p w14:paraId="423F0F06" w14:textId="77777777" w:rsidR="00B52A58" w:rsidRDefault="00287751">
      <w:pPr>
        <w:ind w:left="567" w:right="567"/>
        <w:jc w:val="both"/>
        <w:rPr>
          <w:rFonts w:ascii="Work Sans" w:eastAsia="DengXian Light" w:hAnsi="Work Sans" w:cs="Times New Roman" w:hint="eastAsia"/>
          <w:i/>
          <w:sz w:val="18"/>
          <w:szCs w:val="18"/>
        </w:rPr>
      </w:pPr>
      <w:r>
        <w:rPr>
          <w:rFonts w:ascii="Work Sans" w:eastAsia="DengXian Light" w:hAnsi="Work Sans" w:cs="Times New Roman"/>
          <w:i/>
          <w:sz w:val="18"/>
          <w:szCs w:val="18"/>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08303F76" w14:textId="77777777" w:rsidR="00B52A58" w:rsidRDefault="00B52A58">
      <w:pPr>
        <w:jc w:val="both"/>
        <w:rPr>
          <w:rFonts w:ascii="Work Sans" w:eastAsia="Arial" w:hAnsi="Work Sans" w:cs="Arial"/>
          <w:color w:val="000000"/>
          <w:sz w:val="20"/>
          <w:szCs w:val="20"/>
          <w:lang w:val="es-CO" w:eastAsia="es-CO" w:bidi="ar-SA"/>
        </w:rPr>
      </w:pPr>
    </w:p>
    <w:p w14:paraId="3DFF4305" w14:textId="77777777" w:rsidR="00B52A58" w:rsidRDefault="00287751">
      <w:pPr>
        <w:jc w:val="both"/>
      </w:pPr>
      <w:bookmarkStart w:id="1" w:name="_Hlk9950741"/>
      <w:r>
        <w:rPr>
          <w:rStyle w:val="Fuentedeprrafopredeter1"/>
          <w:rFonts w:ascii="Work Sans" w:eastAsia="Arial" w:hAnsi="Work Sans" w:cs="Arial"/>
          <w:sz w:val="20"/>
          <w:szCs w:val="20"/>
        </w:rPr>
        <w:t xml:space="preserve">Que el Instituto Nacional de Vías suscribió el Contrato de Concesión No. 445 de 1994, el cual fue subrogado al Instituto Nacional de Concesiones (hoy Agencia Nacional de Infraestructura) con la CONCESIÓN SANTA MARTA PARAGUACHÓN S.A., el 2 de Agosto de 1994, cuyo objeto es: </w:t>
      </w:r>
      <w:r>
        <w:rPr>
          <w:rStyle w:val="Fuentedeprrafopredeter1"/>
          <w:rFonts w:ascii="Work Sans" w:eastAsia="Arial" w:hAnsi="Work Sans" w:cs="Arial"/>
          <w:i/>
          <w:iCs/>
          <w:sz w:val="20"/>
          <w:szCs w:val="20"/>
        </w:rPr>
        <w:t xml:space="preserve">“…realizar por el sistema de concesión los estudios, diseños definitivos, las obras de rehabilitación de construcción, la operación y el mantenimiento de los sectores Rio Palomino – Riohacha y Riohacha – Paraguachón y el mantenimiento y la operación del sector Santa Marta – Rio Palomino, Ruta 90 en los Departamentos del Magdalena y La Guajira. Las actividades incluidas para cumplir el objeto del contrato </w:t>
      </w:r>
      <w:r>
        <w:rPr>
          <w:rStyle w:val="Fuentedeprrafopredeter1"/>
          <w:rFonts w:ascii="Work Sans" w:eastAsia="Arial" w:hAnsi="Work Sans" w:cs="Arial"/>
          <w:i/>
          <w:iCs/>
          <w:sz w:val="20"/>
          <w:szCs w:val="20"/>
        </w:rPr>
        <w:lastRenderedPageBreak/>
        <w:t>son: Estudios y Diseños finales, financiación, construcción, suministro, instalación, montaje y prueba de los equipos, puesta en funcionamiento y operación del proyecto, las cuales deben hacerse en un todo de acuerdo con las condiciones, términos, alcances y obligaciones establecidas en este documento, en la oferta del CONCESIONARIO negociada y aceptada por Instituto Nacional de Vías, en el pliego de condiciones anexo a la invitación a presentar ofertas dentro del proceso de contratación directa, y en los pliegos de la licitación pública No. 095-93”.</w:t>
      </w:r>
      <w:bookmarkEnd w:id="1"/>
    </w:p>
    <w:p w14:paraId="04BAF6A7" w14:textId="77777777" w:rsidR="00B52A58" w:rsidRDefault="00287751">
      <w:pPr>
        <w:widowControl/>
        <w:jc w:val="both"/>
        <w:textAlignment w:val="auto"/>
      </w:pPr>
      <w:r>
        <w:rPr>
          <w:rStyle w:val="Fuentedeprrafopredeter1"/>
          <w:rFonts w:ascii="Work Sans" w:eastAsia="Arial" w:hAnsi="Work Sans" w:cs="Arial"/>
          <w:color w:val="000000"/>
          <w:kern w:val="0"/>
          <w:sz w:val="20"/>
          <w:szCs w:val="20"/>
          <w:lang w:val="es-CO" w:eastAsia="es-CO" w:bidi="ar-SA"/>
        </w:rPr>
        <w:t> </w:t>
      </w:r>
    </w:p>
    <w:p w14:paraId="1395245C" w14:textId="77777777" w:rsidR="00B52A58" w:rsidRDefault="00287751">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Que en consecuencia, el Ministerio de Transporte expidió la Resolución Nº 001444 del 17 de marzo de 1995 </w:t>
      </w:r>
      <w:r>
        <w:rPr>
          <w:rStyle w:val="Fuentedeprrafopredeter1"/>
          <w:rFonts w:ascii="Work Sans" w:eastAsia="Times New Roman" w:hAnsi="Work Sans" w:cs="Arial"/>
          <w:i/>
          <w:color w:val="000000"/>
          <w:kern w:val="0"/>
          <w:sz w:val="20"/>
          <w:szCs w:val="20"/>
          <w:lang w:val="es-CO" w:eastAsia="es-CO" w:bidi="ar-SA"/>
        </w:rPr>
        <w:t xml:space="preserve">“Por la cual se aprueban las tarifas de peaje y procedimientos de ajuste para la concesión de los tramos de carretera: Santa Marta – Río Palomino – Riohacha – Paraguachón, de la ruta 90”, </w:t>
      </w:r>
      <w:r>
        <w:rPr>
          <w:rStyle w:val="Fuentedeprrafopredeter1"/>
          <w:rFonts w:ascii="Work Sans" w:eastAsia="Times New Roman" w:hAnsi="Work Sans" w:cs="Arial"/>
          <w:color w:val="000000"/>
          <w:kern w:val="0"/>
          <w:sz w:val="20"/>
          <w:szCs w:val="20"/>
          <w:lang w:val="es-CO" w:eastAsia="es-CO" w:bidi="ar-SA"/>
        </w:rPr>
        <w:t xml:space="preserve">en la cual se encuentra la caseta de peaje denominada Paraguachón. </w:t>
      </w:r>
    </w:p>
    <w:p w14:paraId="5BA0A008" w14:textId="77777777" w:rsidR="00B52A58" w:rsidRDefault="00B52A58">
      <w:pPr>
        <w:widowControl/>
        <w:jc w:val="both"/>
        <w:textAlignment w:val="auto"/>
        <w:rPr>
          <w:rFonts w:ascii="Work Sans" w:eastAsia="Arial" w:hAnsi="Work Sans" w:cs="Arial"/>
          <w:color w:val="000000"/>
          <w:kern w:val="0"/>
          <w:sz w:val="20"/>
          <w:szCs w:val="20"/>
          <w:lang w:eastAsia="es-CO" w:bidi="ar-SA"/>
        </w:rPr>
      </w:pPr>
    </w:p>
    <w:p w14:paraId="3C283F1A" w14:textId="77777777" w:rsidR="00B52A58" w:rsidRDefault="00287751">
      <w:pPr>
        <w:pStyle w:val="pa6"/>
        <w:spacing w:before="0" w:after="0"/>
        <w:jc w:val="both"/>
      </w:pPr>
      <w:r>
        <w:rPr>
          <w:rStyle w:val="Fuentedeprrafopredeter1"/>
          <w:rFonts w:ascii="Work Sans" w:hAnsi="Work Sans"/>
          <w:sz w:val="20"/>
          <w:szCs w:val="20"/>
        </w:rPr>
        <w:t>Que mediante </w:t>
      </w:r>
      <w:hyperlink r:id="rId9" w:tooltip="Haga clic para abrir TODO el Resolución número 000146 del 21 de enero de 2010" w:history="1">
        <w:r>
          <w:rPr>
            <w:rStyle w:val="Hipervnculo1"/>
            <w:rFonts w:ascii="Work Sans" w:hAnsi="Work Sans"/>
            <w:color w:val="auto"/>
            <w:sz w:val="20"/>
            <w:szCs w:val="20"/>
            <w:u w:val="none"/>
          </w:rPr>
          <w:t>Resolución No. 000146 del 21 de enero de 2010</w:t>
        </w:r>
      </w:hyperlink>
      <w:r>
        <w:rPr>
          <w:rStyle w:val="Fuentedeprrafopredeter1"/>
          <w:rFonts w:ascii="Work Sans" w:hAnsi="Work Sans"/>
          <w:sz w:val="20"/>
          <w:szCs w:val="20"/>
        </w:rPr>
        <w:t>, se modificó la </w:t>
      </w:r>
      <w:hyperlink r:id="rId10" w:tooltip="Haga clic para abrir TODO el Resolución número 001444 del 17 de marzo de 1995" w:history="1">
        <w:r>
          <w:rPr>
            <w:rStyle w:val="Hipervnculo1"/>
            <w:rFonts w:ascii="Work Sans" w:hAnsi="Work Sans"/>
            <w:color w:val="auto"/>
            <w:sz w:val="20"/>
            <w:szCs w:val="20"/>
            <w:u w:val="none"/>
          </w:rPr>
          <w:t>Resolución No. 001444 del 17 de marzo de 1995</w:t>
        </w:r>
      </w:hyperlink>
      <w:r>
        <w:rPr>
          <w:rStyle w:val="Fuentedeprrafopredeter1"/>
          <w:rFonts w:ascii="Work Sans" w:hAnsi="Work Sans"/>
          <w:sz w:val="20"/>
          <w:szCs w:val="20"/>
        </w:rPr>
        <w:t>, se confirió tarifa diferencial a las empresas transportadoras </w:t>
      </w:r>
      <w:r>
        <w:rPr>
          <w:rStyle w:val="spelle"/>
          <w:rFonts w:ascii="Work Sans" w:hAnsi="Work Sans"/>
          <w:sz w:val="20"/>
          <w:szCs w:val="20"/>
        </w:rPr>
        <w:t>Colven</w:t>
      </w:r>
      <w:r>
        <w:rPr>
          <w:rStyle w:val="Fuentedeprrafopredeter1"/>
          <w:rFonts w:ascii="Work Sans" w:hAnsi="Work Sans"/>
          <w:sz w:val="20"/>
          <w:szCs w:val="20"/>
        </w:rPr>
        <w:t> y ACCC, durante un (1) año, en la estación de Peaje de </w:t>
      </w:r>
      <w:r>
        <w:rPr>
          <w:rStyle w:val="spelle"/>
          <w:rFonts w:ascii="Work Sans" w:hAnsi="Work Sans"/>
          <w:sz w:val="20"/>
          <w:szCs w:val="20"/>
        </w:rPr>
        <w:t>Paraguachón</w:t>
      </w:r>
      <w:r>
        <w:rPr>
          <w:rStyle w:val="Fuentedeprrafopredeter1"/>
          <w:rFonts w:ascii="Work Sans" w:hAnsi="Work Sans"/>
          <w:sz w:val="20"/>
          <w:szCs w:val="20"/>
        </w:rPr>
        <w:t>, tarifa diferencial en la categoría “I Especial” para los veintiséis (26) cupos que hacen falta para completar su parque automotor, los cuales cancelarán el 50% del valor de la tarifa contractual plena; así como tarifas en la categoría “I Especial I”, a las empresas </w:t>
      </w:r>
      <w:r>
        <w:rPr>
          <w:rStyle w:val="spelle"/>
          <w:rFonts w:ascii="Work Sans" w:hAnsi="Work Sans"/>
          <w:sz w:val="20"/>
          <w:szCs w:val="20"/>
        </w:rPr>
        <w:t>Cootrapar</w:t>
      </w:r>
      <w:r>
        <w:rPr>
          <w:rStyle w:val="Fuentedeprrafopredeter1"/>
          <w:rFonts w:ascii="Work Sans" w:hAnsi="Work Sans"/>
          <w:sz w:val="20"/>
          <w:szCs w:val="20"/>
        </w:rPr>
        <w:t>, </w:t>
      </w:r>
      <w:r>
        <w:rPr>
          <w:rStyle w:val="spelle"/>
          <w:rFonts w:ascii="Work Sans" w:hAnsi="Work Sans"/>
          <w:sz w:val="20"/>
          <w:szCs w:val="20"/>
        </w:rPr>
        <w:t>Cootrafron</w:t>
      </w:r>
      <w:r>
        <w:rPr>
          <w:rStyle w:val="Fuentedeprrafopredeter1"/>
          <w:rFonts w:ascii="Work Sans" w:hAnsi="Work Sans"/>
          <w:sz w:val="20"/>
          <w:szCs w:val="20"/>
        </w:rPr>
        <w:t> y Transportes el Sol para los cupos aprobados hasta la fecha y 38 vehículos de propiedad de los residentes del corregimiento de </w:t>
      </w:r>
      <w:r>
        <w:rPr>
          <w:rStyle w:val="spelle"/>
          <w:rFonts w:ascii="Work Sans" w:hAnsi="Work Sans"/>
          <w:sz w:val="20"/>
          <w:szCs w:val="20"/>
        </w:rPr>
        <w:t>Paraguachón</w:t>
      </w:r>
      <w:r>
        <w:rPr>
          <w:rStyle w:val="Fuentedeprrafopredeter1"/>
          <w:rFonts w:ascii="Work Sans" w:hAnsi="Work Sans"/>
          <w:sz w:val="20"/>
          <w:szCs w:val="20"/>
        </w:rPr>
        <w:t>.</w:t>
      </w:r>
    </w:p>
    <w:p w14:paraId="6F09AD5F" w14:textId="77777777" w:rsidR="00B52A58" w:rsidRDefault="00287751">
      <w:pPr>
        <w:pStyle w:val="pa6"/>
        <w:spacing w:before="0" w:after="0"/>
        <w:jc w:val="both"/>
      </w:pPr>
      <w:r>
        <w:rPr>
          <w:rStyle w:val="Fuentedeprrafopredeter1"/>
          <w:rFonts w:ascii="Verdana" w:hAnsi="Verdana"/>
          <w:color w:val="000000"/>
          <w:sz w:val="22"/>
          <w:szCs w:val="22"/>
        </w:rPr>
        <w:t> </w:t>
      </w:r>
    </w:p>
    <w:p w14:paraId="614D090D" w14:textId="77777777" w:rsidR="00B52A58" w:rsidRDefault="00287751">
      <w:pPr>
        <w:widowControl/>
        <w:jc w:val="both"/>
        <w:textAlignment w:val="auto"/>
      </w:pPr>
      <w:r>
        <w:rPr>
          <w:rStyle w:val="Fuentedeprrafopredeter1"/>
          <w:rFonts w:ascii="Work Sans" w:eastAsia="Arial" w:hAnsi="Work Sans" w:cs="Arial"/>
          <w:sz w:val="20"/>
        </w:rPr>
        <w:t xml:space="preserve">Que mediante la Resolución No. 0000092 del 17 de enero 2014, </w:t>
      </w:r>
      <w:r>
        <w:rPr>
          <w:rStyle w:val="Fuentedeprrafopredeter1"/>
          <w:rFonts w:ascii="Work Sans" w:eastAsia="Times New Roman" w:hAnsi="Work Sans" w:cs="Arial"/>
          <w:color w:val="000000"/>
          <w:kern w:val="0"/>
          <w:sz w:val="20"/>
          <w:szCs w:val="20"/>
          <w:lang w:val="es-CO" w:eastAsia="es-CO" w:bidi="ar-SA"/>
        </w:rPr>
        <w:t xml:space="preserve">se establecieron tarifas diferenciales para las categorías IE, IEI,IIE, IIIE Y IVE para el peaje Paraguachón, entre otros, con fundamento en lo siguiente: </w:t>
      </w:r>
    </w:p>
    <w:p w14:paraId="63611528" w14:textId="77777777" w:rsidR="00B52A58" w:rsidRDefault="00B52A58">
      <w:pPr>
        <w:pStyle w:val="Standard"/>
        <w:autoSpaceDE w:val="0"/>
        <w:jc w:val="both"/>
        <w:rPr>
          <w:rFonts w:ascii="Work Sans" w:eastAsia="Arial" w:hAnsi="Work Sans" w:cs="Arial"/>
          <w:sz w:val="20"/>
        </w:rPr>
      </w:pPr>
    </w:p>
    <w:p w14:paraId="1E758CC7" w14:textId="77777777" w:rsidR="00B52A58" w:rsidRDefault="00287751">
      <w:pPr>
        <w:pStyle w:val="Standard"/>
        <w:autoSpaceDE w:val="0"/>
        <w:ind w:left="567" w:right="567"/>
        <w:jc w:val="both"/>
      </w:pPr>
      <w:r>
        <w:rPr>
          <w:rStyle w:val="Fuentedeprrafopredeter1"/>
          <w:rFonts w:ascii="Work Sans" w:eastAsia="Arial" w:hAnsi="Work Sans" w:cs="Arial"/>
          <w:sz w:val="20"/>
        </w:rPr>
        <w:t>“</w:t>
      </w:r>
      <w:r>
        <w:rPr>
          <w:rStyle w:val="Fuentedeprrafopredeter1"/>
          <w:rFonts w:ascii="Work Sans" w:eastAsia="Arial" w:hAnsi="Work Sans" w:cs="Arial"/>
          <w:i/>
          <w:sz w:val="18"/>
          <w:szCs w:val="18"/>
        </w:rPr>
        <w:t>Que el 17 de marzo de 2011, por convocatoria del Ministerio de Relaciones Exteriores se reunieron los representantes de los residentes del Corregimiento de Paraguachón, de las Cooperativas de Transporte de pasajeros y del Instituto Nacional de Concesiones - INCO (hoy Agencia Nacional de Infraestructura), con el objeto de solicitar al INCO continuar con el beneficio, en consideración a las condiciones especiales de esta zona de frontera.</w:t>
      </w:r>
    </w:p>
    <w:p w14:paraId="1EA681B1" w14:textId="77777777" w:rsidR="00B52A58" w:rsidRDefault="00B52A58">
      <w:pPr>
        <w:pStyle w:val="Standard"/>
        <w:autoSpaceDE w:val="0"/>
        <w:ind w:left="567" w:right="567"/>
        <w:jc w:val="both"/>
        <w:rPr>
          <w:rFonts w:ascii="Work Sans" w:eastAsia="Arial" w:hAnsi="Work Sans" w:cs="Arial"/>
          <w:i/>
          <w:sz w:val="18"/>
          <w:szCs w:val="18"/>
        </w:rPr>
      </w:pPr>
    </w:p>
    <w:p w14:paraId="74CA1D24" w14:textId="77777777" w:rsidR="00B52A58" w:rsidRDefault="00287751">
      <w:pPr>
        <w:pStyle w:val="Standard"/>
        <w:autoSpaceDE w:val="0"/>
        <w:ind w:left="567" w:right="567"/>
        <w:jc w:val="both"/>
        <w:rPr>
          <w:rFonts w:ascii="Work Sans" w:eastAsia="Arial" w:hAnsi="Work Sans" w:cs="Arial"/>
          <w:i/>
          <w:sz w:val="18"/>
          <w:szCs w:val="18"/>
        </w:rPr>
      </w:pPr>
      <w:r>
        <w:rPr>
          <w:rFonts w:ascii="Work Sans" w:eastAsia="Arial" w:hAnsi="Work Sans" w:cs="Arial"/>
          <w:i/>
          <w:sz w:val="18"/>
          <w:szCs w:val="18"/>
        </w:rPr>
        <w:t>Que en la mencionada reunión llevada a cabo el 17 de marzo de 2011, se levantó un acta de compromiso mediante la cual, se acordó tramitar ante el Ministerio de Transporte una nueva resolución de tarifa especial diferencial, que conservara los esquemas de tarifa especial para la población del Corregimiento de Paraguachón, establecidos en la Resolución No. 000146 del 21 de enero de 2010, así como la inclusión de treinta y ocho (38) nuevos usuarios, excluyendo a aquellos que no utilizaran el beneficio.</w:t>
      </w:r>
    </w:p>
    <w:p w14:paraId="08CCF6FA" w14:textId="77777777" w:rsidR="00B52A58" w:rsidRDefault="00B52A58">
      <w:pPr>
        <w:pStyle w:val="Standard"/>
        <w:autoSpaceDE w:val="0"/>
        <w:ind w:left="567" w:right="567"/>
        <w:jc w:val="both"/>
        <w:rPr>
          <w:rFonts w:ascii="Work Sans" w:eastAsia="Arial" w:hAnsi="Work Sans" w:cs="Arial"/>
          <w:i/>
          <w:sz w:val="18"/>
          <w:szCs w:val="18"/>
        </w:rPr>
      </w:pPr>
    </w:p>
    <w:p w14:paraId="3A2B82E7" w14:textId="77777777" w:rsidR="00B52A58" w:rsidRDefault="00287751">
      <w:pPr>
        <w:pStyle w:val="Standard"/>
        <w:autoSpaceDE w:val="0"/>
        <w:ind w:left="567" w:right="567"/>
        <w:jc w:val="both"/>
        <w:rPr>
          <w:rFonts w:ascii="Work Sans" w:eastAsia="Arial" w:hAnsi="Work Sans" w:cs="Arial"/>
          <w:i/>
          <w:sz w:val="18"/>
          <w:szCs w:val="18"/>
        </w:rPr>
      </w:pPr>
      <w:r>
        <w:rPr>
          <w:rFonts w:ascii="Work Sans" w:eastAsia="Arial" w:hAnsi="Work Sans" w:cs="Arial"/>
          <w:i/>
          <w:sz w:val="18"/>
          <w:szCs w:val="18"/>
        </w:rPr>
        <w:t>Que en la citada acta de compromiso, se pactaron adicionalmente beneficios tarifarios para la nueva empresa Cooperativa COOTRANSCOP, para los vehículos de transporte escolar, para los del transporte de recolección de basura y para los del transporte de suministro de agua potable”</w:t>
      </w:r>
    </w:p>
    <w:p w14:paraId="3249A698" w14:textId="77777777" w:rsidR="00B52A58" w:rsidRDefault="00B52A58">
      <w:pPr>
        <w:pStyle w:val="Standard"/>
        <w:autoSpaceDE w:val="0"/>
        <w:ind w:left="567" w:right="567"/>
        <w:jc w:val="both"/>
        <w:rPr>
          <w:rFonts w:ascii="Work Sans" w:eastAsia="Arial" w:hAnsi="Work Sans" w:cs="Arial"/>
          <w:i/>
          <w:sz w:val="18"/>
          <w:szCs w:val="18"/>
        </w:rPr>
      </w:pPr>
    </w:p>
    <w:p w14:paraId="4E88E46B" w14:textId="77777777" w:rsidR="00B52A58" w:rsidRDefault="00287751">
      <w:pPr>
        <w:pStyle w:val="Standard"/>
        <w:autoSpaceDE w:val="0"/>
        <w:jc w:val="both"/>
        <w:rPr>
          <w:rFonts w:ascii="Work Sans" w:eastAsia="Arial" w:hAnsi="Work Sans" w:cs="Arial"/>
          <w:sz w:val="20"/>
        </w:rPr>
      </w:pPr>
      <w:r>
        <w:rPr>
          <w:rFonts w:ascii="Work Sans" w:eastAsia="Arial" w:hAnsi="Work Sans" w:cs="Arial"/>
          <w:sz w:val="20"/>
        </w:rPr>
        <w:t xml:space="preserve">   </w:t>
      </w:r>
    </w:p>
    <w:p w14:paraId="74AFB67C" w14:textId="77777777" w:rsidR="00B52A58" w:rsidRDefault="00287751">
      <w:pPr>
        <w:widowControl/>
        <w:jc w:val="both"/>
        <w:textAlignment w:val="auto"/>
      </w:pPr>
      <w:r>
        <w:rPr>
          <w:rStyle w:val="Fuentedeprrafopredeter1"/>
          <w:rFonts w:ascii="Work Sans" w:eastAsia="Arial" w:hAnsi="Work Sans" w:cs="Arial"/>
          <w:sz w:val="20"/>
        </w:rPr>
        <w:t xml:space="preserve">Que mediante resoluciones 0000444 de 2014, No. 0002418 de 2014, No. 0000196 de 2015, 0003024 de 2015, 0002764 de 2016, 0002174 de 2017 y 0002513 de 2018, </w:t>
      </w:r>
      <w:r>
        <w:rPr>
          <w:rStyle w:val="Fuentedeprrafopredeter1"/>
          <w:rFonts w:ascii="Work Sans" w:eastAsia="Times New Roman" w:hAnsi="Work Sans" w:cs="Arial"/>
          <w:color w:val="000000"/>
          <w:kern w:val="0"/>
          <w:sz w:val="20"/>
          <w:szCs w:val="20"/>
          <w:lang w:val="es-CO" w:eastAsia="es-CO" w:bidi="ar-SA"/>
        </w:rPr>
        <w:t xml:space="preserve">se prorrogó el término previsto para remitir documentos para mantener el beneficio. </w:t>
      </w:r>
    </w:p>
    <w:p w14:paraId="13F8962E" w14:textId="77777777" w:rsidR="00B52A58" w:rsidRDefault="00B52A58">
      <w:pPr>
        <w:widowControl/>
        <w:jc w:val="both"/>
        <w:textAlignment w:val="auto"/>
      </w:pPr>
    </w:p>
    <w:p w14:paraId="42A6222D" w14:textId="77777777" w:rsidR="00B52A58" w:rsidRDefault="00287751">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Que la Agencia Nacional de Infraestructura mediante oficios ANI No. 20183000406781 del 6 de diciembre de 2018, 20195000091031 del 22 de marzo de 2019 y 20195000141731 del 8 de mayo de 2019, solicita al Ministerio de Transporte pronunciamiento sobre la modificación de requisitos de cumplimiento por parte de los beneficiarios de la tarifa diferencial establecidos en la Resolución 0000092 de 2014.</w:t>
      </w:r>
    </w:p>
    <w:p w14:paraId="7A79EC6A" w14:textId="77777777" w:rsidR="00B52A58" w:rsidRDefault="00B52A58">
      <w:pPr>
        <w:pStyle w:val="Standard"/>
        <w:autoSpaceDE w:val="0"/>
        <w:jc w:val="both"/>
        <w:rPr>
          <w:lang w:val="es-CO"/>
        </w:rPr>
      </w:pPr>
    </w:p>
    <w:p w14:paraId="326F9712" w14:textId="77777777" w:rsidR="00B52A58" w:rsidRDefault="00287751">
      <w:pPr>
        <w:ind w:right="-1"/>
        <w:jc w:val="both"/>
      </w:pPr>
      <w:r>
        <w:rPr>
          <w:rStyle w:val="Fuentedeprrafopredeter1"/>
          <w:rFonts w:ascii="Work Sans" w:eastAsia="DengXian Light" w:hAnsi="Work Sans" w:cs="Arial"/>
          <w:color w:val="000000"/>
          <w:kern w:val="0"/>
          <w:sz w:val="20"/>
          <w:szCs w:val="20"/>
          <w:lang w:val="es" w:eastAsia="es-ES" w:bidi="ar-SA"/>
        </w:rPr>
        <w:t xml:space="preserve">Que conforme a las </w:t>
      </w:r>
      <w:r>
        <w:rPr>
          <w:rStyle w:val="Fuentedeprrafopredeter1"/>
          <w:rFonts w:ascii="Work Sans" w:eastAsia="Times New Roman" w:hAnsi="Work Sans" w:cs="Arial"/>
          <w:color w:val="000000"/>
          <w:kern w:val="0"/>
          <w:sz w:val="20"/>
          <w:szCs w:val="20"/>
          <w:lang w:val="es-CO" w:eastAsia="es-CO" w:bidi="ar-SA"/>
        </w:rPr>
        <w:t>funciones y competencias de la</w:t>
      </w:r>
      <w:r>
        <w:rPr>
          <w:rStyle w:val="Fuentedeprrafopredeter1"/>
          <w:rFonts w:ascii="Work Sans" w:eastAsia="DengXian Light" w:hAnsi="Work Sans" w:cs="Arial"/>
          <w:color w:val="000000"/>
          <w:kern w:val="0"/>
          <w:sz w:val="20"/>
          <w:szCs w:val="20"/>
          <w:lang w:val="es" w:eastAsia="es-ES" w:bidi="ar-SA"/>
        </w:rPr>
        <w:t xml:space="preserve"> Agencia Nacional de Infraestructura de conformidad con el Decreto 4165 de 2011 como entidad </w:t>
      </w:r>
      <w:r>
        <w:rPr>
          <w:rStyle w:val="Fuentedeprrafopredeter1"/>
          <w:rFonts w:ascii="Work Sans" w:eastAsia="Times New Roman" w:hAnsi="Work Sans" w:cs="Arial"/>
          <w:color w:val="000000"/>
          <w:kern w:val="0"/>
          <w:sz w:val="20"/>
          <w:szCs w:val="20"/>
          <w:lang w:val="es-CO" w:eastAsia="es-CO" w:bidi="ar-SA"/>
        </w:rPr>
        <w:t xml:space="preserve">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w:t>
      </w:r>
      <w:r>
        <w:rPr>
          <w:rStyle w:val="Fuentedeprrafopredeter1"/>
          <w:rFonts w:ascii="Work Sans" w:eastAsia="Times New Roman" w:hAnsi="Work Sans" w:cs="Arial"/>
          <w:color w:val="000000"/>
          <w:kern w:val="0"/>
          <w:sz w:val="20"/>
          <w:szCs w:val="20"/>
          <w:lang w:val="es-CO" w:eastAsia="es-CO" w:bidi="ar-SA"/>
        </w:rPr>
        <w:lastRenderedPageBreak/>
        <w:t xml:space="preserve">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w:t>
      </w:r>
      <w:r>
        <w:rPr>
          <w:rStyle w:val="Fuentedeprrafopredeter1"/>
          <w:rFonts w:ascii="Work Sans" w:hAnsi="Work Sans" w:cs="Arial"/>
          <w:color w:val="000000"/>
          <w:sz w:val="20"/>
          <w:szCs w:val="20"/>
        </w:rPr>
        <w:t xml:space="preserve">fijar los requisitos para acreditar la calidad de beneficiario, el procedimiento para acceder al beneficio, los mecanismos de otorgamiento, reemplazo y control y las causales de pérdida del beneficio, de las tasas diferenciales de peajes. </w:t>
      </w:r>
    </w:p>
    <w:p w14:paraId="7E034B0D" w14:textId="77777777" w:rsidR="00B52A58" w:rsidRDefault="00B52A58">
      <w:pPr>
        <w:pStyle w:val="Standard"/>
        <w:autoSpaceDE w:val="0"/>
        <w:jc w:val="both"/>
      </w:pPr>
    </w:p>
    <w:p w14:paraId="5F6336CB" w14:textId="77777777" w:rsidR="00B52A58" w:rsidRDefault="00287751">
      <w:pPr>
        <w:ind w:right="-1"/>
        <w:jc w:val="both"/>
      </w:pPr>
      <w:r>
        <w:rPr>
          <w:rStyle w:val="Fuentedeprrafopredeter1"/>
          <w:rFonts w:ascii="Work Sans" w:hAnsi="Work Sans" w:cs="Arial"/>
          <w:color w:val="000000"/>
          <w:sz w:val="20"/>
          <w:szCs w:val="20"/>
        </w:rPr>
        <w:t xml:space="preserve">Que en consecuencia, se estima pertinente modificar el artículo 3 de la </w:t>
      </w:r>
      <w:r>
        <w:rPr>
          <w:rStyle w:val="Fuentedeprrafopredeter1"/>
          <w:rFonts w:ascii="Work Sans" w:eastAsia="Times New Roman" w:hAnsi="Work Sans" w:cs="Arial"/>
          <w:color w:val="000000"/>
          <w:kern w:val="0"/>
          <w:sz w:val="20"/>
          <w:szCs w:val="20"/>
          <w:lang w:val="es-CO" w:eastAsia="es-CO" w:bidi="ar-SA"/>
        </w:rPr>
        <w:t>Resolución No. 0000092 del 17 de enero de 2014 del Ministerio de Transporte, en el sentido de establecer que la</w:t>
      </w:r>
      <w:r>
        <w:rPr>
          <w:rStyle w:val="Fuentedeprrafopredeter1"/>
          <w:rFonts w:ascii="Work Sans" w:hAnsi="Work Sans" w:cs="Arial"/>
          <w:color w:val="000000"/>
          <w:sz w:val="20"/>
          <w:szCs w:val="20"/>
        </w:rPr>
        <w:t xml:space="preserve"> Agencia Nacional de Infraestructura fijará los requisitos para acreditar la calidad de beneficiario, el procedimiento para acceder al beneficio, los mecanismos de otorgamiento, reemplazo y control y las causales de pérdida del beneficio, de las tarifas diferenciales </w:t>
      </w:r>
      <w:r>
        <w:rPr>
          <w:rStyle w:val="Fuentedeprrafopredeter1"/>
          <w:rFonts w:ascii="Work Sans" w:eastAsia="Times New Roman" w:hAnsi="Work Sans" w:cs="Arial"/>
          <w:color w:val="000000"/>
          <w:kern w:val="0"/>
          <w:sz w:val="20"/>
          <w:szCs w:val="20"/>
          <w:lang w:val="es-CO" w:eastAsia="es-CO" w:bidi="ar-SA"/>
        </w:rPr>
        <w:t>IE, IEI,IIE, IIIE Y IVE</w:t>
      </w:r>
      <w:r>
        <w:rPr>
          <w:rStyle w:val="Fuentedeprrafopredeter1"/>
          <w:rFonts w:ascii="Work Sans" w:hAnsi="Work Sans" w:cs="Arial"/>
          <w:color w:val="000000"/>
          <w:sz w:val="20"/>
          <w:szCs w:val="20"/>
        </w:rPr>
        <w:t xml:space="preserve"> en la estación de Peaje Paraguachon, y en consecuencia derogar los artículos 4 y 5 de la citada resolución.</w:t>
      </w:r>
    </w:p>
    <w:p w14:paraId="7C39FA5C" w14:textId="77777777" w:rsidR="00B52A58" w:rsidRDefault="00B52A58">
      <w:pPr>
        <w:pStyle w:val="Standard"/>
        <w:autoSpaceDE w:val="0"/>
        <w:jc w:val="center"/>
        <w:rPr>
          <w:rFonts w:ascii="Work Sans" w:eastAsia="Arial" w:hAnsi="Work Sans" w:cs="Arial"/>
          <w:color w:val="000000"/>
          <w:sz w:val="20"/>
          <w:lang w:eastAsia="es-CO"/>
        </w:rPr>
      </w:pPr>
    </w:p>
    <w:p w14:paraId="57469BD9" w14:textId="77777777" w:rsidR="00B52A58" w:rsidRDefault="00287751">
      <w:pPr>
        <w:widowControl/>
        <w:autoSpaceDE w:val="0"/>
        <w:jc w:val="both"/>
        <w:rPr>
          <w:rFonts w:ascii="Work Sans" w:eastAsia="DengXian Light" w:hAnsi="Work Sans" w:cs="Courier New" w:hint="eastAsia"/>
          <w:sz w:val="20"/>
          <w:szCs w:val="20"/>
          <w:lang w:bidi="ar-SA"/>
        </w:rPr>
      </w:pPr>
      <w:r>
        <w:rPr>
          <w:rFonts w:ascii="Work Sans" w:eastAsia="DengXian Light" w:hAnsi="Work Sans" w:cs="Courier New"/>
          <w:sz w:val="20"/>
          <w:szCs w:val="20"/>
          <w:lang w:bidi="ar-SA"/>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sugerencias o propuestas alternativas y mediante certificaciones  del Ministerio de Transporte y la Agencia Nacional de Infraestructura se informó que no se recibieron observaciones dentro del término establecido para tal fin.</w:t>
      </w:r>
    </w:p>
    <w:p w14:paraId="4AD5BA8F" w14:textId="77777777" w:rsidR="00B52A58" w:rsidRDefault="00B52A58">
      <w:pPr>
        <w:pStyle w:val="Standard"/>
        <w:autoSpaceDE w:val="0"/>
        <w:jc w:val="both"/>
        <w:rPr>
          <w:rFonts w:ascii="Work Sans" w:eastAsia="DengXian Light" w:hAnsi="Work Sans" w:hint="eastAsia"/>
          <w:sz w:val="20"/>
        </w:rPr>
      </w:pPr>
    </w:p>
    <w:p w14:paraId="0462DAEB" w14:textId="77777777" w:rsidR="00B52A58" w:rsidRDefault="00287751">
      <w:pPr>
        <w:pStyle w:val="Standard"/>
        <w:autoSpaceDE w:val="0"/>
        <w:jc w:val="both"/>
        <w:rPr>
          <w:rFonts w:ascii="Work Sans" w:eastAsia="DengXian Light" w:hAnsi="Work Sans" w:hint="eastAsia"/>
          <w:sz w:val="20"/>
        </w:rPr>
      </w:pPr>
      <w:r>
        <w:rPr>
          <w:rFonts w:ascii="Work Sans" w:eastAsia="DengXian Light" w:hAnsi="Work Sans"/>
          <w:sz w:val="20"/>
        </w:rPr>
        <w:t>Que la Oficina Asesora de Jurídica conservará los documentos asociados al proceso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14:paraId="5F750A1D" w14:textId="77777777" w:rsidR="00B52A58" w:rsidRDefault="00B52A58">
      <w:pPr>
        <w:pStyle w:val="Standard"/>
        <w:autoSpaceDE w:val="0"/>
        <w:jc w:val="both"/>
        <w:rPr>
          <w:rFonts w:ascii="Work Sans" w:eastAsia="Arial" w:hAnsi="Work Sans" w:cs="Arial"/>
          <w:sz w:val="20"/>
        </w:rPr>
      </w:pPr>
    </w:p>
    <w:p w14:paraId="2811E2D6" w14:textId="77777777" w:rsidR="00B52A58" w:rsidRDefault="00B52A58">
      <w:pPr>
        <w:pStyle w:val="Standard"/>
        <w:autoSpaceDE w:val="0"/>
        <w:jc w:val="both"/>
        <w:rPr>
          <w:rFonts w:ascii="Work Sans" w:eastAsia="Arial" w:hAnsi="Work Sans" w:cs="Arial"/>
          <w:sz w:val="20"/>
        </w:rPr>
      </w:pPr>
    </w:p>
    <w:p w14:paraId="5137FF96" w14:textId="77777777" w:rsidR="00B52A58" w:rsidRDefault="00287751">
      <w:pPr>
        <w:pStyle w:val="Standard"/>
        <w:autoSpaceDE w:val="0"/>
        <w:jc w:val="both"/>
        <w:rPr>
          <w:rFonts w:ascii="Work Sans" w:eastAsia="Arial" w:hAnsi="Work Sans" w:cs="Arial"/>
          <w:sz w:val="20"/>
        </w:rPr>
      </w:pPr>
      <w:r>
        <w:rPr>
          <w:rFonts w:ascii="Work Sans" w:eastAsia="Arial" w:hAnsi="Work Sans" w:cs="Arial"/>
          <w:sz w:val="20"/>
        </w:rPr>
        <w:t>En mérito de lo expuesto,</w:t>
      </w:r>
    </w:p>
    <w:p w14:paraId="6C550125" w14:textId="77777777" w:rsidR="00B52A58" w:rsidRDefault="00B52A58">
      <w:pPr>
        <w:pStyle w:val="Standard"/>
        <w:autoSpaceDE w:val="0"/>
        <w:jc w:val="both"/>
        <w:rPr>
          <w:rFonts w:ascii="Work Sans" w:eastAsia="Arial" w:hAnsi="Work Sans" w:cs="Arial"/>
          <w:sz w:val="20"/>
        </w:rPr>
      </w:pPr>
    </w:p>
    <w:p w14:paraId="1419D89D" w14:textId="77777777" w:rsidR="00B52A58" w:rsidRDefault="00287751">
      <w:pPr>
        <w:pStyle w:val="Standard"/>
        <w:autoSpaceDE w:val="0"/>
        <w:jc w:val="center"/>
        <w:rPr>
          <w:rFonts w:ascii="Work Sans" w:eastAsia="Arial" w:hAnsi="Work Sans" w:cs="Arial"/>
          <w:b/>
          <w:bCs/>
          <w:sz w:val="20"/>
        </w:rPr>
      </w:pPr>
      <w:r>
        <w:rPr>
          <w:rFonts w:ascii="Work Sans" w:eastAsia="Arial" w:hAnsi="Work Sans" w:cs="Arial"/>
          <w:b/>
          <w:bCs/>
          <w:sz w:val="20"/>
        </w:rPr>
        <w:t>RESUELVE:</w:t>
      </w:r>
    </w:p>
    <w:p w14:paraId="3E97AF5D" w14:textId="77777777" w:rsidR="00B52A58" w:rsidRDefault="00B52A58">
      <w:pPr>
        <w:pStyle w:val="Standard"/>
        <w:autoSpaceDE w:val="0"/>
        <w:jc w:val="center"/>
        <w:rPr>
          <w:rFonts w:ascii="Work Sans" w:eastAsia="Arial" w:hAnsi="Work Sans" w:cs="Arial"/>
          <w:b/>
          <w:bCs/>
          <w:sz w:val="20"/>
        </w:rPr>
      </w:pPr>
    </w:p>
    <w:p w14:paraId="5C2F62B1" w14:textId="77777777" w:rsidR="00B52A58" w:rsidRDefault="00287751">
      <w:pPr>
        <w:widowControl/>
        <w:jc w:val="both"/>
        <w:textAlignment w:val="auto"/>
      </w:pPr>
      <w:r>
        <w:rPr>
          <w:rStyle w:val="Fuentedeprrafopredeter1"/>
          <w:rFonts w:ascii="Work Sans" w:eastAsia="Times New Roman" w:hAnsi="Work Sans" w:cs="Arial"/>
          <w:b/>
          <w:color w:val="000000"/>
          <w:kern w:val="0"/>
          <w:sz w:val="20"/>
          <w:szCs w:val="20"/>
          <w:lang w:val="es-CO" w:eastAsia="es-CO" w:bidi="ar-SA"/>
        </w:rPr>
        <w:t>ARTÍCULO 1.-</w:t>
      </w:r>
      <w:r>
        <w:rPr>
          <w:rStyle w:val="Fuentedeprrafopredeter1"/>
          <w:rFonts w:ascii="Work Sans" w:eastAsia="Times New Roman" w:hAnsi="Work Sans" w:cs="Arial"/>
          <w:color w:val="000000"/>
          <w:kern w:val="0"/>
          <w:sz w:val="20"/>
          <w:szCs w:val="20"/>
          <w:lang w:val="es-CO" w:eastAsia="es-CO" w:bidi="ar-SA"/>
        </w:rPr>
        <w:t xml:space="preserve"> Modificar el artículo 3 de la Resolución No. 0000092 del 17 de enero de 2014 del Ministerio de Transporte, el cual queda así:</w:t>
      </w:r>
    </w:p>
    <w:p w14:paraId="20EA0D53" w14:textId="77777777" w:rsidR="00B52A58" w:rsidRDefault="00B52A58">
      <w:pPr>
        <w:widowControl/>
        <w:jc w:val="both"/>
        <w:textAlignment w:val="auto"/>
        <w:rPr>
          <w:rFonts w:ascii="Work Sans" w:eastAsia="Times New Roman" w:hAnsi="Work Sans" w:cs="Arial"/>
          <w:color w:val="000000"/>
          <w:kern w:val="0"/>
          <w:sz w:val="20"/>
          <w:szCs w:val="20"/>
          <w:lang w:val="es-CO" w:eastAsia="es-CO" w:bidi="ar-SA"/>
        </w:rPr>
      </w:pPr>
    </w:p>
    <w:p w14:paraId="4E0DE7A4" w14:textId="77777777" w:rsidR="00B52A58" w:rsidRDefault="00287751">
      <w:pPr>
        <w:widowControl/>
        <w:ind w:left="284" w:right="282"/>
        <w:jc w:val="both"/>
        <w:textAlignment w:val="auto"/>
      </w:pPr>
      <w:r>
        <w:rPr>
          <w:rStyle w:val="Fuentedeprrafopredeter1"/>
          <w:rFonts w:ascii="Work Sans" w:hAnsi="Work Sans" w:cs="Arial"/>
          <w:b/>
          <w:i/>
          <w:color w:val="000000"/>
          <w:sz w:val="20"/>
          <w:szCs w:val="20"/>
        </w:rPr>
        <w:t>“Artículo 3:</w:t>
      </w:r>
      <w:r>
        <w:rPr>
          <w:rStyle w:val="Fuentedeprrafopredeter1"/>
          <w:rFonts w:ascii="Work Sans" w:hAnsi="Work Sans" w:cs="Arial"/>
          <w:i/>
          <w:color w:val="000000"/>
          <w:sz w:val="20"/>
          <w:szCs w:val="20"/>
        </w:rPr>
        <w:t xml:space="preserve"> La Agencia Nacional de Infraestructura fijará los requisitos para acreditar la calidad de beneficiario, el procedimiento para acceder al beneficio, los mecanismos de otorgamiento, reemplazo y control y las causales de pérdida del beneficio, de las tarifas diferenciales</w:t>
      </w:r>
      <w:r>
        <w:rPr>
          <w:rStyle w:val="Fuentedeprrafopredeter1"/>
          <w:rFonts w:ascii="Work Sans" w:eastAsia="Times New Roman" w:hAnsi="Work Sans" w:cs="Arial"/>
          <w:color w:val="000000"/>
          <w:kern w:val="0"/>
          <w:sz w:val="20"/>
          <w:szCs w:val="20"/>
          <w:lang w:val="es-CO" w:eastAsia="es-CO" w:bidi="ar-SA"/>
        </w:rPr>
        <w:t xml:space="preserve"> IE, IEI,IIE, IIIE Y IVE</w:t>
      </w:r>
      <w:r>
        <w:rPr>
          <w:rStyle w:val="Fuentedeprrafopredeter1"/>
          <w:rFonts w:ascii="Work Sans" w:hAnsi="Work Sans" w:cs="Arial"/>
          <w:i/>
          <w:color w:val="000000"/>
          <w:sz w:val="20"/>
          <w:szCs w:val="20"/>
        </w:rPr>
        <w:t xml:space="preserve"> en la estación de Peaje Alto Pino.”</w:t>
      </w:r>
    </w:p>
    <w:p w14:paraId="067C6B27" w14:textId="77777777" w:rsidR="00B52A58" w:rsidRDefault="00B52A58">
      <w:pPr>
        <w:widowControl/>
        <w:ind w:left="284" w:right="282"/>
        <w:jc w:val="both"/>
        <w:textAlignment w:val="auto"/>
        <w:rPr>
          <w:rFonts w:ascii="Work Sans" w:hAnsi="Work Sans" w:cs="Arial"/>
          <w:color w:val="000000"/>
          <w:sz w:val="20"/>
          <w:szCs w:val="20"/>
        </w:rPr>
      </w:pPr>
    </w:p>
    <w:p w14:paraId="6E277235" w14:textId="77777777" w:rsidR="00B52A58" w:rsidRDefault="00287751">
      <w:pPr>
        <w:widowControl/>
        <w:jc w:val="both"/>
        <w:textAlignment w:val="auto"/>
      </w:pPr>
      <w:r>
        <w:rPr>
          <w:rStyle w:val="Fuentedeprrafopredeter1"/>
          <w:rFonts w:ascii="Work Sans" w:eastAsia="Times New Roman" w:hAnsi="Work Sans" w:cs="Arial"/>
          <w:b/>
          <w:color w:val="000000"/>
          <w:kern w:val="0"/>
          <w:sz w:val="20"/>
          <w:szCs w:val="20"/>
          <w:lang w:val="es-CO" w:eastAsia="es-CO" w:bidi="ar-SA"/>
        </w:rPr>
        <w:t>ARTÍCULO 2</w:t>
      </w:r>
      <w:r>
        <w:rPr>
          <w:rStyle w:val="Fuentedeprrafopredeter1"/>
          <w:rFonts w:ascii="Work Sans" w:eastAsia="Times New Roman" w:hAnsi="Work Sans" w:cs="Arial"/>
          <w:color w:val="000000"/>
          <w:kern w:val="0"/>
          <w:sz w:val="20"/>
          <w:szCs w:val="20"/>
          <w:lang w:val="es-CO" w:eastAsia="es-CO" w:bidi="ar-SA"/>
        </w:rPr>
        <w:t>.- Los demás aspectos de la</w:t>
      </w:r>
      <w:r>
        <w:rPr>
          <w:rStyle w:val="Fuentedeprrafopredeter1"/>
          <w:rFonts w:ascii="Work Sans" w:eastAsia="Times New Roman" w:hAnsi="Work Sans" w:cs="Arial"/>
          <w:b/>
          <w:color w:val="000000"/>
          <w:kern w:val="0"/>
          <w:sz w:val="20"/>
          <w:szCs w:val="20"/>
          <w:lang w:val="es-CO" w:eastAsia="es-CO" w:bidi="ar-SA"/>
        </w:rPr>
        <w:t xml:space="preserve"> </w:t>
      </w:r>
      <w:r>
        <w:rPr>
          <w:rStyle w:val="Fuentedeprrafopredeter1"/>
          <w:rFonts w:ascii="Work Sans" w:eastAsia="Times New Roman" w:hAnsi="Work Sans" w:cs="Arial"/>
          <w:color w:val="000000"/>
          <w:kern w:val="0"/>
          <w:sz w:val="20"/>
          <w:szCs w:val="20"/>
          <w:lang w:val="es-CO" w:eastAsia="es-CO" w:bidi="ar-SA"/>
        </w:rPr>
        <w:t xml:space="preserve">Resolución No. 0000092 del 20 de enero de 2014 del Ministerio de Transporte no modificadas se mantienen vigentes. </w:t>
      </w:r>
    </w:p>
    <w:p w14:paraId="7A55608C" w14:textId="77777777" w:rsidR="00B52A58" w:rsidRDefault="00287751">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3865E075" w14:textId="77777777" w:rsidR="00B52A58" w:rsidRDefault="00287751">
      <w:pPr>
        <w:pStyle w:val="Standard"/>
        <w:autoSpaceDE w:val="0"/>
        <w:jc w:val="both"/>
      </w:pPr>
      <w:r>
        <w:rPr>
          <w:rStyle w:val="Fuentedeprrafopredeter1"/>
          <w:rFonts w:ascii="Work Sans" w:eastAsia="Arial" w:hAnsi="Work Sans" w:cs="Arial"/>
          <w:b/>
          <w:bCs/>
          <w:color w:val="000000"/>
          <w:kern w:val="0"/>
          <w:sz w:val="20"/>
          <w:lang w:val="es-CO" w:eastAsia="es-CO"/>
        </w:rPr>
        <w:t xml:space="preserve">Artículo 3.- </w:t>
      </w:r>
      <w:r>
        <w:rPr>
          <w:rStyle w:val="Fuentedeprrafopredeter1"/>
          <w:rFonts w:ascii="Work Sans" w:eastAsia="Arial" w:hAnsi="Work Sans" w:cs="Arial"/>
          <w:color w:val="000000"/>
          <w:kern w:val="0"/>
          <w:sz w:val="20"/>
          <w:lang w:val="es-CO" w:eastAsia="es-CO"/>
        </w:rPr>
        <w:t xml:space="preserve">La presente resolución rige o partir de la fecha de su publicación y deroga los artículos 4 y 5 de la Resolución 0000092 de 2014 </w:t>
      </w:r>
      <w:r>
        <w:rPr>
          <w:rStyle w:val="Fuentedeprrafopredeter1"/>
          <w:rFonts w:ascii="Work Sans" w:eastAsia="Arial" w:hAnsi="Work Sans" w:cs="Arial"/>
          <w:sz w:val="20"/>
        </w:rPr>
        <w:t>y las Resoluciones 0000444 de 2014, 0002418 de 2014, 0000196 de 2015, 0003024 de 2015, 0002764 de 2016, 0002174 de 2017 y 0002513 de 2018, todas del Ministerio de Transporte.</w:t>
      </w:r>
    </w:p>
    <w:p w14:paraId="3760BD40" w14:textId="77777777" w:rsidR="00B52A58" w:rsidRDefault="00B52A58">
      <w:pPr>
        <w:pStyle w:val="Standard"/>
        <w:autoSpaceDE w:val="0"/>
        <w:jc w:val="both"/>
        <w:rPr>
          <w:rFonts w:ascii="Work Sans" w:eastAsia="Arial" w:hAnsi="Work Sans" w:cs="Arial"/>
          <w:sz w:val="20"/>
        </w:rPr>
      </w:pPr>
    </w:p>
    <w:p w14:paraId="15490470" w14:textId="77777777" w:rsidR="00B52A58" w:rsidRDefault="00B52A58">
      <w:pPr>
        <w:pStyle w:val="Standard"/>
        <w:autoSpaceDE w:val="0"/>
        <w:rPr>
          <w:rFonts w:ascii="Work Sans" w:eastAsia="Arial" w:hAnsi="Work Sans" w:cs="Arial"/>
          <w:b/>
          <w:bCs/>
          <w:sz w:val="20"/>
        </w:rPr>
      </w:pPr>
    </w:p>
    <w:p w14:paraId="2D3BFB67" w14:textId="77777777" w:rsidR="00B52A58" w:rsidRDefault="00287751">
      <w:pPr>
        <w:pStyle w:val="Standard"/>
        <w:autoSpaceDE w:val="0"/>
        <w:jc w:val="both"/>
        <w:rPr>
          <w:rFonts w:ascii="Work Sans" w:eastAsia="Arial" w:hAnsi="Work Sans" w:cs="Arial"/>
          <w:b/>
          <w:bCs/>
          <w:sz w:val="20"/>
        </w:rPr>
      </w:pPr>
      <w:r>
        <w:rPr>
          <w:rFonts w:ascii="Work Sans" w:eastAsia="Arial" w:hAnsi="Work Sans" w:cs="Arial"/>
          <w:b/>
          <w:bCs/>
          <w:sz w:val="20"/>
        </w:rPr>
        <w:t>PUBLÍQUESE Y CÚMPLASE,</w:t>
      </w:r>
    </w:p>
    <w:p w14:paraId="71287987" w14:textId="77777777" w:rsidR="00B52A58" w:rsidRDefault="00B52A58">
      <w:pPr>
        <w:pStyle w:val="Standard"/>
        <w:autoSpaceDE w:val="0"/>
        <w:rPr>
          <w:rFonts w:ascii="Work Sans" w:eastAsia="Arial" w:hAnsi="Work Sans" w:cs="Arial"/>
          <w:sz w:val="20"/>
        </w:rPr>
      </w:pPr>
    </w:p>
    <w:p w14:paraId="38CB2B73" w14:textId="77777777" w:rsidR="00B52A58" w:rsidRDefault="00287751">
      <w:pPr>
        <w:pStyle w:val="Standard"/>
        <w:autoSpaceDE w:val="0"/>
        <w:rPr>
          <w:rFonts w:ascii="Work Sans" w:eastAsia="Arial" w:hAnsi="Work Sans" w:cs="Arial"/>
          <w:sz w:val="20"/>
        </w:rPr>
      </w:pPr>
      <w:r>
        <w:rPr>
          <w:rFonts w:ascii="Work Sans" w:eastAsia="Arial" w:hAnsi="Work Sans" w:cs="Arial"/>
          <w:sz w:val="20"/>
        </w:rPr>
        <w:t>Dada en Bogotá, D. C a los</w:t>
      </w:r>
    </w:p>
    <w:p w14:paraId="654EBAE9" w14:textId="77777777" w:rsidR="00B52A58" w:rsidRDefault="00B52A58">
      <w:pPr>
        <w:pStyle w:val="Textocomentario1"/>
        <w:spacing w:line="204" w:lineRule="auto"/>
        <w:jc w:val="center"/>
        <w:rPr>
          <w:rFonts w:ascii="Work Sans" w:hAnsi="Work Sans"/>
          <w:b/>
          <w:bCs/>
        </w:rPr>
      </w:pPr>
    </w:p>
    <w:p w14:paraId="18655836" w14:textId="77777777" w:rsidR="00B52A58" w:rsidRDefault="00B52A58">
      <w:pPr>
        <w:pStyle w:val="Textocomentario1"/>
        <w:spacing w:line="204" w:lineRule="auto"/>
        <w:jc w:val="center"/>
        <w:rPr>
          <w:rFonts w:ascii="Work Sans" w:hAnsi="Work Sans"/>
          <w:b/>
          <w:bCs/>
          <w:lang w:val="es-MX"/>
        </w:rPr>
      </w:pPr>
    </w:p>
    <w:p w14:paraId="02F5C1C0" w14:textId="77777777" w:rsidR="00B52A58" w:rsidRDefault="00B52A58">
      <w:pPr>
        <w:pStyle w:val="Textocomentario1"/>
        <w:spacing w:line="204" w:lineRule="auto"/>
        <w:jc w:val="center"/>
        <w:rPr>
          <w:rFonts w:ascii="Work Sans" w:hAnsi="Work Sans"/>
          <w:b/>
          <w:bCs/>
          <w:lang w:val="es-MX"/>
        </w:rPr>
      </w:pPr>
    </w:p>
    <w:p w14:paraId="291683B8" w14:textId="77777777" w:rsidR="00B52A58" w:rsidRDefault="00B52A58">
      <w:pPr>
        <w:pStyle w:val="Textocomentario1"/>
        <w:spacing w:line="204" w:lineRule="auto"/>
        <w:jc w:val="center"/>
        <w:rPr>
          <w:rFonts w:ascii="Work Sans" w:hAnsi="Work Sans"/>
          <w:b/>
          <w:bCs/>
          <w:lang w:val="es-MX"/>
        </w:rPr>
      </w:pPr>
    </w:p>
    <w:p w14:paraId="5FC800B0" w14:textId="77777777" w:rsidR="00B52A58" w:rsidRDefault="00B52A58">
      <w:pPr>
        <w:pStyle w:val="Textocomentario1"/>
        <w:spacing w:line="204" w:lineRule="auto"/>
        <w:jc w:val="center"/>
        <w:rPr>
          <w:rFonts w:ascii="Work Sans" w:hAnsi="Work Sans"/>
          <w:b/>
          <w:bCs/>
          <w:lang w:val="es-MX"/>
        </w:rPr>
      </w:pPr>
    </w:p>
    <w:p w14:paraId="16CF3E6D" w14:textId="77777777" w:rsidR="00B52A58" w:rsidRDefault="00B52A58">
      <w:pPr>
        <w:pStyle w:val="Textocomentario1"/>
        <w:spacing w:line="204" w:lineRule="auto"/>
        <w:jc w:val="center"/>
        <w:rPr>
          <w:rFonts w:ascii="Work Sans" w:hAnsi="Work Sans"/>
          <w:b/>
          <w:bCs/>
          <w:lang w:val="es-MX"/>
        </w:rPr>
      </w:pPr>
    </w:p>
    <w:p w14:paraId="279A90F3" w14:textId="77777777" w:rsidR="00B52A58" w:rsidRDefault="00B52A58">
      <w:pPr>
        <w:pStyle w:val="Textocomentario1"/>
        <w:spacing w:line="204" w:lineRule="auto"/>
        <w:jc w:val="center"/>
        <w:rPr>
          <w:rFonts w:ascii="Work Sans" w:hAnsi="Work Sans"/>
          <w:b/>
          <w:bCs/>
          <w:lang w:val="es-MX"/>
        </w:rPr>
      </w:pPr>
    </w:p>
    <w:p w14:paraId="6FB77A57" w14:textId="77777777" w:rsidR="00B52A58" w:rsidRDefault="00287751">
      <w:pPr>
        <w:pStyle w:val="Sangradetextonormal1"/>
        <w:spacing w:after="0"/>
        <w:ind w:left="0" w:right="193"/>
        <w:jc w:val="center"/>
        <w:rPr>
          <w:rFonts w:ascii="Work Sans" w:hAnsi="Work Sans" w:cs="Arial"/>
          <w:b/>
          <w:sz w:val="20"/>
          <w:szCs w:val="20"/>
          <w:lang w:val="es"/>
        </w:rPr>
      </w:pPr>
      <w:bookmarkStart w:id="2" w:name="_Hlk9850558"/>
      <w:r>
        <w:rPr>
          <w:rFonts w:ascii="Work Sans" w:hAnsi="Work Sans" w:cs="Arial"/>
          <w:b/>
          <w:sz w:val="20"/>
          <w:szCs w:val="20"/>
          <w:lang w:val="es"/>
        </w:rPr>
        <w:t>ÁNGELA MARÍA OROZCO GÓMEZ</w:t>
      </w:r>
    </w:p>
    <w:p w14:paraId="6CDD410E" w14:textId="77777777" w:rsidR="00B52A58" w:rsidRDefault="00287751">
      <w:pPr>
        <w:pStyle w:val="Sangradetextonormal1"/>
        <w:spacing w:after="0"/>
        <w:ind w:left="0" w:right="193"/>
        <w:jc w:val="center"/>
        <w:rPr>
          <w:rFonts w:ascii="Work Sans" w:hAnsi="Work Sans" w:cs="Arial"/>
          <w:b/>
          <w:sz w:val="20"/>
          <w:szCs w:val="20"/>
          <w:lang w:val="es"/>
        </w:rPr>
      </w:pPr>
      <w:r>
        <w:rPr>
          <w:rFonts w:ascii="Work Sans" w:hAnsi="Work Sans" w:cs="Arial"/>
          <w:b/>
          <w:sz w:val="20"/>
          <w:szCs w:val="20"/>
          <w:lang w:val="es"/>
        </w:rPr>
        <w:t>MINISTRA DE TRANSPORTE</w:t>
      </w:r>
    </w:p>
    <w:bookmarkEnd w:id="2"/>
    <w:p w14:paraId="7F15B430" w14:textId="77777777" w:rsidR="00B52A58" w:rsidRDefault="00B52A58">
      <w:pPr>
        <w:pStyle w:val="Standard"/>
        <w:rPr>
          <w:lang w:val="es"/>
        </w:rPr>
      </w:pPr>
    </w:p>
    <w:p w14:paraId="7EAE8A3F" w14:textId="77777777" w:rsidR="00B52A58" w:rsidRDefault="00B52A58">
      <w:pPr>
        <w:widowControl/>
        <w:shd w:val="clear" w:color="auto" w:fill="FFFFFF"/>
        <w:autoSpaceDE w:val="0"/>
        <w:ind w:hanging="11"/>
        <w:jc w:val="both"/>
        <w:textAlignment w:val="auto"/>
        <w:rPr>
          <w:rFonts w:ascii="Work Sans" w:hAnsi="Work Sans" w:cs="Arial"/>
          <w:sz w:val="22"/>
          <w:szCs w:val="22"/>
          <w:lang w:val="es-MX"/>
        </w:rPr>
      </w:pPr>
    </w:p>
    <w:p w14:paraId="08FA99FC" w14:textId="77777777" w:rsidR="00B52A58" w:rsidRDefault="00287751">
      <w:pPr>
        <w:widowControl/>
        <w:shd w:val="clear" w:color="auto" w:fill="FFFFFF"/>
        <w:autoSpaceDE w:val="0"/>
        <w:ind w:hanging="11"/>
        <w:jc w:val="both"/>
        <w:textAlignment w:val="auto"/>
      </w:pPr>
      <w:bookmarkStart w:id="3" w:name="_Hlk9952244"/>
      <w:r>
        <w:rPr>
          <w:rStyle w:val="Fuentedeprrafopredeter1"/>
          <w:rFonts w:ascii="Work Sans" w:eastAsia="Times New Roman" w:hAnsi="Work Sans" w:cs="Arial"/>
          <w:color w:val="000000"/>
          <w:kern w:val="0"/>
          <w:sz w:val="12"/>
          <w:szCs w:val="12"/>
          <w:lang w:val="es" w:eastAsia="es-ES" w:bidi="he-IL"/>
        </w:rPr>
        <w:t>Manuel Felipe Gutiérrez Torres – Viceministro de Infraestructura – Ministerio de Transporte</w:t>
      </w:r>
    </w:p>
    <w:p w14:paraId="10F21F35" w14:textId="77777777" w:rsidR="00B52A58" w:rsidRDefault="00287751">
      <w:pPr>
        <w:widowControl/>
        <w:shd w:val="clear" w:color="auto" w:fill="FFFFFF"/>
        <w:autoSpaceDE w:val="0"/>
        <w:ind w:hanging="11"/>
        <w:jc w:val="both"/>
        <w:textAlignment w:val="auto"/>
        <w:rPr>
          <w:rFonts w:ascii="Work Sans" w:eastAsia="Times New Roman" w:hAnsi="Work Sans" w:cs="Arial"/>
          <w:color w:val="000000"/>
          <w:kern w:val="0"/>
          <w:sz w:val="12"/>
          <w:szCs w:val="12"/>
          <w:lang w:val="es" w:eastAsia="es-ES" w:bidi="he-IL"/>
        </w:rPr>
      </w:pPr>
      <w:r>
        <w:rPr>
          <w:rFonts w:ascii="Work Sans" w:eastAsia="Times New Roman" w:hAnsi="Work Sans" w:cs="Arial"/>
          <w:color w:val="000000"/>
          <w:kern w:val="0"/>
          <w:sz w:val="12"/>
          <w:szCs w:val="12"/>
          <w:lang w:val="es" w:eastAsia="es-ES" w:bidi="he-IL"/>
        </w:rPr>
        <w:t>Louis Francois Kleyn Lopez – Presidente Agencia Nacional de Infraestructura</w:t>
      </w:r>
    </w:p>
    <w:p w14:paraId="33A3F2BF" w14:textId="77777777" w:rsidR="00B52A58" w:rsidRDefault="00287751">
      <w:pPr>
        <w:widowControl/>
        <w:shd w:val="clear" w:color="auto" w:fill="FFFFFF"/>
        <w:autoSpaceDE w:val="0"/>
        <w:jc w:val="both"/>
        <w:textAlignment w:val="auto"/>
        <w:rPr>
          <w:rFonts w:ascii="Work Sans" w:eastAsia="Times New Roman" w:hAnsi="Work Sans" w:cs="Arial"/>
          <w:color w:val="000000"/>
          <w:kern w:val="0"/>
          <w:sz w:val="12"/>
          <w:szCs w:val="12"/>
          <w:lang w:val="es" w:eastAsia="es-ES" w:bidi="he-IL"/>
        </w:rPr>
      </w:pPr>
      <w:r>
        <w:rPr>
          <w:rFonts w:ascii="Work Sans" w:eastAsia="Times New Roman" w:hAnsi="Work Sans" w:cs="Arial"/>
          <w:color w:val="000000"/>
          <w:kern w:val="0"/>
          <w:sz w:val="12"/>
          <w:szCs w:val="12"/>
          <w:lang w:val="es" w:eastAsia="es-ES" w:bidi="he-IL"/>
        </w:rPr>
        <w:t xml:space="preserve">Carlos Alberto García Montes – Vicepresidente Ejecutivo - Agencia Nacional de Infraestructura </w:t>
      </w:r>
    </w:p>
    <w:p w14:paraId="33A44F98" w14:textId="77777777" w:rsidR="00B52A58" w:rsidRDefault="00287751">
      <w:pPr>
        <w:widowControl/>
        <w:shd w:val="clear" w:color="auto" w:fill="FFFFFF"/>
        <w:autoSpaceDE w:val="0"/>
        <w:jc w:val="both"/>
        <w:textAlignment w:val="auto"/>
        <w:rPr>
          <w:rFonts w:ascii="Work Sans" w:eastAsia="Times New Roman" w:hAnsi="Work Sans" w:cs="Arial"/>
          <w:color w:val="000000"/>
          <w:kern w:val="0"/>
          <w:sz w:val="12"/>
          <w:szCs w:val="12"/>
          <w:lang w:val="es" w:eastAsia="es-ES" w:bidi="he-IL"/>
        </w:rPr>
      </w:pPr>
      <w:r>
        <w:rPr>
          <w:rFonts w:ascii="Work Sans" w:eastAsia="Times New Roman" w:hAnsi="Work Sans" w:cs="Arial"/>
          <w:color w:val="000000"/>
          <w:kern w:val="0"/>
          <w:sz w:val="12"/>
          <w:szCs w:val="12"/>
          <w:lang w:val="es" w:eastAsia="es-ES" w:bidi="he-IL"/>
        </w:rPr>
        <w:t>Claudia Judith Mendoza Cerquera – Experto G3-08 - Agencia Nacional de Infraestructura</w:t>
      </w:r>
    </w:p>
    <w:p w14:paraId="418E5BA0" w14:textId="77777777" w:rsidR="00B52A58" w:rsidRDefault="00287751">
      <w:pPr>
        <w:widowControl/>
        <w:shd w:val="clear" w:color="auto" w:fill="FFFFFF"/>
        <w:autoSpaceDE w:val="0"/>
        <w:ind w:hanging="11"/>
        <w:jc w:val="both"/>
        <w:textAlignment w:val="auto"/>
      </w:pPr>
      <w:r>
        <w:rPr>
          <w:rStyle w:val="Fuentedeprrafopredeter1"/>
          <w:rFonts w:ascii="Work Sans" w:eastAsia="Times New Roman" w:hAnsi="Work Sans" w:cs="Arial"/>
          <w:color w:val="000000"/>
          <w:kern w:val="0"/>
          <w:sz w:val="12"/>
          <w:szCs w:val="12"/>
          <w:lang w:val="es" w:eastAsia="es-ES" w:bidi="he-IL"/>
        </w:rPr>
        <w:tab/>
      </w:r>
      <w:r>
        <w:rPr>
          <w:rStyle w:val="Fuentedeprrafopredeter1"/>
          <w:rFonts w:ascii="Work Sans" w:hAnsi="Work Sans" w:cs="Arial"/>
          <w:color w:val="000000"/>
          <w:kern w:val="0"/>
          <w:sz w:val="12"/>
          <w:szCs w:val="12"/>
          <w:lang w:val="es" w:eastAsia="es-ES" w:bidi="he-IL"/>
        </w:rPr>
        <w:t>Mario Franco Morales – Jefe de la oficina de Regulación Económica (E) - Ministerio de Transporte</w:t>
      </w:r>
    </w:p>
    <w:p w14:paraId="0D5DE810" w14:textId="77777777" w:rsidR="00B52A58" w:rsidRDefault="00287751">
      <w:pPr>
        <w:widowControl/>
        <w:shd w:val="clear" w:color="auto" w:fill="FFFFFF"/>
        <w:autoSpaceDE w:val="0"/>
        <w:jc w:val="both"/>
        <w:textAlignment w:val="auto"/>
      </w:pPr>
      <w:r>
        <w:rPr>
          <w:rStyle w:val="Fuentedeprrafopredeter1"/>
          <w:rFonts w:ascii="Work Sans" w:hAnsi="Work Sans" w:cs="Arial"/>
          <w:color w:val="000000"/>
          <w:kern w:val="0"/>
          <w:sz w:val="12"/>
          <w:szCs w:val="12"/>
          <w:lang w:val="es" w:eastAsia="es-ES" w:bidi="he-IL"/>
        </w:rPr>
        <w:t>Sol Angel Cala Acosta – Jefe Oficina Asesora Jurídica (E) - Ministerio de Transporte</w:t>
      </w:r>
    </w:p>
    <w:bookmarkEnd w:id="3"/>
    <w:p w14:paraId="669C669B" w14:textId="77777777" w:rsidR="00B52A58" w:rsidRDefault="00287751">
      <w:pPr>
        <w:pStyle w:val="Standard"/>
        <w:autoSpaceDE w:val="0"/>
        <w:jc w:val="both"/>
      </w:pPr>
      <w:r>
        <w:rPr>
          <w:rStyle w:val="Fuentedeprrafopredeter1"/>
          <w:rFonts w:ascii="Work Sans" w:hAnsi="Work Sans" w:cs="Arial"/>
          <w:color w:val="000000"/>
          <w:sz w:val="12"/>
          <w:szCs w:val="12"/>
        </w:rPr>
        <w:t>María Angélica Cruz.- Asesora Jurídica Despacho Ministra de Transporte</w:t>
      </w:r>
    </w:p>
    <w:p w14:paraId="19193C60" w14:textId="77777777" w:rsidR="00B52A58" w:rsidRDefault="00B52A58">
      <w:pPr>
        <w:widowControl/>
        <w:shd w:val="clear" w:color="auto" w:fill="FFFFFF"/>
        <w:autoSpaceDE w:val="0"/>
        <w:ind w:hanging="11"/>
        <w:jc w:val="both"/>
        <w:textAlignment w:val="auto"/>
        <w:rPr>
          <w:rFonts w:ascii="Work Sans" w:hAnsi="Work Sans" w:cs="Arial"/>
          <w:sz w:val="12"/>
          <w:szCs w:val="12"/>
        </w:rPr>
      </w:pPr>
    </w:p>
    <w:p w14:paraId="782DF036" w14:textId="77777777" w:rsidR="00B52A58" w:rsidRDefault="00B52A58">
      <w:pPr>
        <w:pStyle w:val="Standard"/>
        <w:rPr>
          <w:rFonts w:ascii="Work Sans" w:hAnsi="Work Sans" w:cs="Arial"/>
          <w:sz w:val="12"/>
          <w:szCs w:val="12"/>
          <w:lang w:val="es-MX"/>
        </w:rPr>
      </w:pPr>
    </w:p>
    <w:sectPr w:rsidR="00B52A58">
      <w:headerReference w:type="default" r:id="rId11"/>
      <w:headerReference w:type="first" r:id="rId12"/>
      <w:pgSz w:w="11906"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0B68F" w14:textId="77777777" w:rsidR="005900AC" w:rsidRDefault="005900AC">
      <w:r>
        <w:separator/>
      </w:r>
    </w:p>
  </w:endnote>
  <w:endnote w:type="continuationSeparator" w:id="0">
    <w:p w14:paraId="2F09E100" w14:textId="77777777" w:rsidR="005900AC" w:rsidRDefault="0059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charset w:val="00"/>
    <w:family w:val="swiss"/>
    <w:pitch w:val="variable"/>
  </w:font>
  <w:font w:name="Lohit Devanagari">
    <w:altName w:val="Times New Roman"/>
    <w:charset w:val="00"/>
    <w:family w:val="auto"/>
    <w:pitch w:val="variable"/>
  </w:font>
  <w:font w:name="Mangal">
    <w:panose1 w:val="02040503050203030202"/>
    <w:charset w:val="00"/>
    <w:family w:val="auto"/>
    <w:pitch w:val="variable"/>
    <w:sig w:usb0="00008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Work Sans">
    <w:panose1 w:val="00000500000000000000"/>
    <w:charset w:val="00"/>
    <w:family w:val="auto"/>
    <w:pitch w:val="variable"/>
    <w:sig w:usb0="00000007" w:usb1="00000001"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Garamond">
    <w:panose1 w:val="02020404030301010803"/>
    <w:charset w:val="00"/>
    <w:family w:val="auto"/>
    <w:pitch w:val="variable"/>
    <w:sig w:usb0="00000287" w:usb1="00000000"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BB36A" w14:textId="77777777" w:rsidR="005900AC" w:rsidRDefault="005900AC">
      <w:r>
        <w:rPr>
          <w:color w:val="000000"/>
        </w:rPr>
        <w:separator/>
      </w:r>
    </w:p>
  </w:footnote>
  <w:footnote w:type="continuationSeparator" w:id="0">
    <w:p w14:paraId="43F70253" w14:textId="77777777" w:rsidR="005900AC" w:rsidRDefault="005900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57B4F" w14:textId="77777777" w:rsidR="004455CB" w:rsidRDefault="00287751">
    <w:pPr>
      <w:pStyle w:val="Standard"/>
      <w:tabs>
        <w:tab w:val="left" w:pos="-720"/>
      </w:tabs>
      <w:jc w:val="both"/>
    </w:pPr>
    <w:r>
      <w:rPr>
        <w:rStyle w:val="Fuentedeprrafopredeter1"/>
        <w:rFonts w:ascii="Garamond" w:hAnsi="Garamond" w:cs="Garamond"/>
        <w:b/>
        <w:spacing w:val="-3"/>
        <w:sz w:val="22"/>
        <w:szCs w:val="22"/>
      </w:rPr>
      <w:t>RESOLUCIÓN</w:t>
    </w:r>
    <w:r>
      <w:rPr>
        <w:rStyle w:val="Fuentedeprrafopredeter1"/>
        <w:rFonts w:ascii="Garamond" w:eastAsia="Garamond" w:hAnsi="Garamond" w:cs="Garamond"/>
        <w:b/>
        <w:spacing w:val="-3"/>
        <w:sz w:val="22"/>
        <w:szCs w:val="22"/>
      </w:rPr>
      <w:t xml:space="preserve"> </w:t>
    </w:r>
    <w:r>
      <w:rPr>
        <w:rStyle w:val="Fuentedeprrafopredeter1"/>
        <w:rFonts w:ascii="Garamond" w:hAnsi="Garamond" w:cs="Garamond"/>
        <w:b/>
        <w:spacing w:val="-3"/>
        <w:sz w:val="22"/>
        <w:szCs w:val="22"/>
      </w:rPr>
      <w:t>NÚMERO</w:t>
    </w:r>
    <w:r>
      <w:rPr>
        <w:rStyle w:val="Fuentedeprrafopredeter1"/>
        <w:rFonts w:ascii="Garamond" w:eastAsia="Garamond" w:hAnsi="Garamond" w:cs="Garamond"/>
        <w:b/>
        <w:spacing w:val="-3"/>
        <w:sz w:val="22"/>
        <w:szCs w:val="22"/>
      </w:rPr>
      <w:t xml:space="preserve"> </w:t>
    </w:r>
    <w:r>
      <w:rPr>
        <w:rStyle w:val="Fuentedeprrafopredeter1"/>
        <w:rFonts w:ascii="Garamond" w:hAnsi="Garamond" w:cs="Garamond"/>
        <w:b/>
        <w:spacing w:val="-3"/>
        <w:sz w:val="22"/>
        <w:szCs w:val="22"/>
      </w:rPr>
      <w:t>_</w:t>
    </w:r>
    <w:r>
      <w:rPr>
        <w:rStyle w:val="Fuentedeprrafopredeter1"/>
        <w:rFonts w:ascii="Garamond" w:eastAsia="Garamond" w:hAnsi="Garamond" w:cs="Garamond"/>
        <w:b/>
        <w:spacing w:val="-3"/>
        <w:sz w:val="22"/>
        <w:szCs w:val="22"/>
      </w:rPr>
      <w:t xml:space="preserve">                        </w:t>
    </w:r>
    <w:r>
      <w:rPr>
        <w:rStyle w:val="Fuentedeprrafopredeter1"/>
        <w:rFonts w:ascii="Garamond" w:hAnsi="Garamond" w:cs="Garamond"/>
        <w:b/>
        <w:spacing w:val="-3"/>
        <w:sz w:val="22"/>
        <w:szCs w:val="22"/>
      </w:rPr>
      <w:t>DEL</w:t>
    </w:r>
    <w:r>
      <w:rPr>
        <w:rStyle w:val="Fuentedeprrafopredeter1"/>
        <w:rFonts w:ascii="Garamond" w:eastAsia="Garamond" w:hAnsi="Garamond" w:cs="Garamond"/>
        <w:b/>
        <w:spacing w:val="-3"/>
        <w:sz w:val="22"/>
        <w:szCs w:val="22"/>
      </w:rPr>
      <w:t xml:space="preserve"> ……             </w:t>
    </w:r>
    <w:r>
      <w:rPr>
        <w:rStyle w:val="Fuentedeprrafopredeter1"/>
        <w:rFonts w:ascii="Garamond" w:hAnsi="Garamond" w:cs="Garamond"/>
        <w:b/>
        <w:spacing w:val="-3"/>
        <w:sz w:val="22"/>
        <w:szCs w:val="22"/>
      </w:rPr>
      <w:t>DE</w:t>
    </w:r>
    <w:r>
      <w:rPr>
        <w:rStyle w:val="Fuentedeprrafopredeter1"/>
        <w:rFonts w:ascii="Garamond" w:eastAsia="Garamond" w:hAnsi="Garamond" w:cs="Garamond"/>
        <w:b/>
        <w:spacing w:val="-3"/>
        <w:sz w:val="22"/>
        <w:szCs w:val="22"/>
      </w:rPr>
      <w:t xml:space="preserve"> ……</w:t>
    </w:r>
    <w:r>
      <w:rPr>
        <w:rStyle w:val="Fuentedeprrafopredeter1"/>
        <w:rFonts w:ascii="Garamond" w:hAnsi="Garamond" w:cs="Garamond"/>
        <w:b/>
        <w:spacing w:val="-3"/>
        <w:sz w:val="22"/>
        <w:szCs w:val="22"/>
      </w:rPr>
      <w:t>.</w:t>
    </w:r>
    <w:r>
      <w:rPr>
        <w:rStyle w:val="Fuentedeprrafopredeter1"/>
        <w:rFonts w:ascii="Garamond" w:eastAsia="Garamond" w:hAnsi="Garamond" w:cs="Garamond"/>
        <w:b/>
        <w:spacing w:val="-3"/>
        <w:sz w:val="22"/>
        <w:szCs w:val="22"/>
      </w:rPr>
      <w:t xml:space="preserve">              </w:t>
    </w:r>
    <w:r>
      <w:rPr>
        <w:rStyle w:val="Fuentedeprrafopredeter1"/>
        <w:rFonts w:ascii="Garamond" w:hAnsi="Garamond" w:cs="Garamond"/>
        <w:b/>
        <w:spacing w:val="-3"/>
        <w:sz w:val="22"/>
        <w:szCs w:val="22"/>
      </w:rPr>
      <w:t>HOJA</w:t>
    </w:r>
    <w:r>
      <w:rPr>
        <w:rStyle w:val="Fuentedeprrafopredeter1"/>
        <w:rFonts w:ascii="Garamond" w:eastAsia="Garamond" w:hAnsi="Garamond" w:cs="Garamond"/>
        <w:b/>
        <w:spacing w:val="-3"/>
        <w:sz w:val="22"/>
        <w:szCs w:val="22"/>
      </w:rPr>
      <w:t xml:space="preserve"> </w:t>
    </w:r>
    <w:r>
      <w:rPr>
        <w:rStyle w:val="Fuentedeprrafopredeter1"/>
        <w:rFonts w:ascii="Garamond" w:hAnsi="Garamond" w:cs="Garamond"/>
        <w:b/>
        <w:spacing w:val="-3"/>
        <w:sz w:val="22"/>
        <w:szCs w:val="22"/>
      </w:rPr>
      <w:t>No.</w:t>
    </w:r>
    <w:r>
      <w:rPr>
        <w:rStyle w:val="Fuentedeprrafopredeter1"/>
        <w:rFonts w:ascii="Garamond" w:eastAsia="Garamond" w:hAnsi="Garamond" w:cs="Garamond"/>
        <w:b/>
        <w:spacing w:val="-3"/>
        <w:sz w:val="22"/>
        <w:szCs w:val="22"/>
      </w:rPr>
      <w:t xml:space="preserve"> </w:t>
    </w:r>
    <w:r>
      <w:rPr>
        <w:rStyle w:val="Nmerodepgina1"/>
        <w:rFonts w:ascii="Garamond" w:hAnsi="Garamond" w:cs="Garamond"/>
        <w:b/>
        <w:sz w:val="22"/>
        <w:szCs w:val="22"/>
      </w:rPr>
      <w:fldChar w:fldCharType="begin"/>
    </w:r>
    <w:r>
      <w:rPr>
        <w:rStyle w:val="Nmerodepgina1"/>
        <w:rFonts w:ascii="Garamond" w:hAnsi="Garamond" w:cs="Garamond"/>
        <w:b/>
        <w:sz w:val="22"/>
        <w:szCs w:val="22"/>
      </w:rPr>
      <w:instrText xml:space="preserve"> PAGE </w:instrText>
    </w:r>
    <w:r>
      <w:rPr>
        <w:rStyle w:val="Nmerodepgina1"/>
        <w:rFonts w:ascii="Garamond" w:hAnsi="Garamond" w:cs="Garamond"/>
        <w:b/>
        <w:sz w:val="22"/>
        <w:szCs w:val="22"/>
      </w:rPr>
      <w:fldChar w:fldCharType="separate"/>
    </w:r>
    <w:r w:rsidR="00571C00">
      <w:rPr>
        <w:rStyle w:val="Nmerodepgina1"/>
        <w:rFonts w:ascii="Garamond" w:hAnsi="Garamond" w:cs="Garamond"/>
        <w:b/>
        <w:noProof/>
        <w:sz w:val="22"/>
        <w:szCs w:val="22"/>
      </w:rPr>
      <w:t>2</w:t>
    </w:r>
    <w:r>
      <w:rPr>
        <w:rStyle w:val="Nmerodepgina1"/>
        <w:rFonts w:ascii="Garamond" w:hAnsi="Garamond" w:cs="Garamond"/>
        <w:b/>
        <w:sz w:val="22"/>
        <w:szCs w:val="22"/>
      </w:rPr>
      <w:fldChar w:fldCharType="end"/>
    </w:r>
  </w:p>
  <w:p w14:paraId="39C87B56" w14:textId="77777777" w:rsidR="004455CB" w:rsidRDefault="005900AC">
    <w:pPr>
      <w:pStyle w:val="Standard"/>
      <w:ind w:right="360"/>
      <w:jc w:val="both"/>
      <w:rPr>
        <w:rFonts w:ascii="Garamond" w:hAnsi="Garamond" w:cs="Garamond"/>
        <w:i/>
        <w:spacing w:val="-3"/>
        <w:sz w:val="22"/>
        <w:szCs w:val="22"/>
      </w:rPr>
    </w:pPr>
  </w:p>
  <w:p w14:paraId="5B3072D3" w14:textId="77777777" w:rsidR="004455CB" w:rsidRDefault="005900AC">
    <w:pPr>
      <w:pStyle w:val="Standard"/>
      <w:rPr>
        <w:rFonts w:ascii="Garamond" w:hAnsi="Garamond" w:cs="Garamond"/>
        <w:i/>
        <w:sz w:val="22"/>
        <w:szCs w:val="22"/>
      </w:rPr>
    </w:pPr>
  </w:p>
  <w:p w14:paraId="6CB1E7A9" w14:textId="77777777" w:rsidR="004455CB" w:rsidRDefault="00287751">
    <w:pPr>
      <w:pStyle w:val="Standard"/>
      <w:autoSpaceDE w:val="0"/>
      <w:jc w:val="center"/>
    </w:pPr>
    <w:r>
      <w:rPr>
        <w:rStyle w:val="Fuentedeprrafopredeter1"/>
        <w:rFonts w:ascii="Work Sans" w:eastAsia="Arial" w:hAnsi="Work Sans" w:cs="Arial"/>
        <w:sz w:val="20"/>
      </w:rPr>
      <w:t>“Por la cual se establece una tarifa especial diferencial para la estación de peaje de Paraguachón</w:t>
    </w:r>
    <w:r>
      <w:rPr>
        <w:rStyle w:val="Fuentedeprrafopredeter1"/>
        <w:rFonts w:ascii="Garamond" w:hAnsi="Garamond" w:cs="Arial"/>
        <w:sz w:val="22"/>
        <w:szCs w:val="22"/>
      </w:rPr>
      <w:t xml:space="preserve"> "</w:t>
    </w:r>
  </w:p>
  <w:p w14:paraId="00112487" w14:textId="77777777" w:rsidR="004455CB" w:rsidRDefault="005900AC">
    <w:pPr>
      <w:pStyle w:val="Standard"/>
      <w:rPr>
        <w:rFonts w:ascii="Garamond" w:hAnsi="Garamond" w:cs="Garamond"/>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95EC" w14:textId="77777777" w:rsidR="004455CB" w:rsidRDefault="00287751">
    <w:r>
      <w:rPr>
        <w:rStyle w:val="Fuentedeprrafopredeter1"/>
        <w:noProof/>
        <w:lang w:val="es-ES_tradnl" w:eastAsia="es-ES_tradnl" w:bidi="ar-SA"/>
      </w:rPr>
      <w:drawing>
        <wp:inline distT="0" distB="0" distL="0" distR="0" wp14:anchorId="724D873E" wp14:editId="234A5308">
          <wp:extent cx="5400044" cy="825090"/>
          <wp:effectExtent l="0" t="0" r="0" b="0"/>
          <wp:docPr id="1"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00044" cy="825090"/>
                  </a:xfrm>
                  <a:prstGeom prst="rect">
                    <a:avLst/>
                  </a:prstGeom>
                  <a:noFill/>
                  <a:ln>
                    <a:noFill/>
                    <a:prstDash/>
                  </a:ln>
                </pic:spPr>
              </pic:pic>
            </a:graphicData>
          </a:graphic>
        </wp:inline>
      </w:drawing>
    </w:r>
  </w:p>
  <w:p w14:paraId="060F6D8F" w14:textId="77777777" w:rsidR="004455CB" w:rsidRDefault="005900AC">
    <w:pPr>
      <w:pStyle w:val="Encabezado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B5F59"/>
    <w:multiLevelType w:val="multilevel"/>
    <w:tmpl w:val="5E6CE952"/>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4617051"/>
    <w:multiLevelType w:val="multilevel"/>
    <w:tmpl w:val="43D248C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6C0672F"/>
    <w:multiLevelType w:val="multilevel"/>
    <w:tmpl w:val="689C921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7705005"/>
    <w:multiLevelType w:val="multilevel"/>
    <w:tmpl w:val="19A2C45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D952561"/>
    <w:multiLevelType w:val="multilevel"/>
    <w:tmpl w:val="6C92B3EA"/>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3E71498"/>
    <w:multiLevelType w:val="multilevel"/>
    <w:tmpl w:val="9668BE6A"/>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CFE51B1"/>
    <w:multiLevelType w:val="multilevel"/>
    <w:tmpl w:val="8F7022A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F2B3234"/>
    <w:multiLevelType w:val="multilevel"/>
    <w:tmpl w:val="565EEB5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35147472"/>
    <w:multiLevelType w:val="multilevel"/>
    <w:tmpl w:val="0C00A002"/>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82C2A0D"/>
    <w:multiLevelType w:val="multilevel"/>
    <w:tmpl w:val="F41C5D6A"/>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92745DB"/>
    <w:multiLevelType w:val="multilevel"/>
    <w:tmpl w:val="52D64C8E"/>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1DC60D8"/>
    <w:multiLevelType w:val="multilevel"/>
    <w:tmpl w:val="2522E554"/>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42090FB1"/>
    <w:multiLevelType w:val="multilevel"/>
    <w:tmpl w:val="351E0B8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4D145E8"/>
    <w:multiLevelType w:val="multilevel"/>
    <w:tmpl w:val="26C0DB38"/>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DAE585D"/>
    <w:multiLevelType w:val="multilevel"/>
    <w:tmpl w:val="74E62F9A"/>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55AA27CE"/>
    <w:multiLevelType w:val="multilevel"/>
    <w:tmpl w:val="8870C202"/>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687A5E32"/>
    <w:multiLevelType w:val="multilevel"/>
    <w:tmpl w:val="CC56904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ABF3572"/>
    <w:multiLevelType w:val="multilevel"/>
    <w:tmpl w:val="302214F4"/>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F953913"/>
    <w:multiLevelType w:val="multilevel"/>
    <w:tmpl w:val="878C95CC"/>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10"/>
  </w:num>
  <w:num w:numId="3">
    <w:abstractNumId w:val="9"/>
  </w:num>
  <w:num w:numId="4">
    <w:abstractNumId w:val="2"/>
  </w:num>
  <w:num w:numId="5">
    <w:abstractNumId w:val="8"/>
  </w:num>
  <w:num w:numId="6">
    <w:abstractNumId w:val="18"/>
  </w:num>
  <w:num w:numId="7">
    <w:abstractNumId w:val="3"/>
  </w:num>
  <w:num w:numId="8">
    <w:abstractNumId w:val="14"/>
  </w:num>
  <w:num w:numId="9">
    <w:abstractNumId w:val="11"/>
  </w:num>
  <w:num w:numId="10">
    <w:abstractNumId w:val="13"/>
  </w:num>
  <w:num w:numId="11">
    <w:abstractNumId w:val="15"/>
  </w:num>
  <w:num w:numId="12">
    <w:abstractNumId w:val="5"/>
  </w:num>
  <w:num w:numId="13">
    <w:abstractNumId w:val="7"/>
  </w:num>
  <w:num w:numId="14">
    <w:abstractNumId w:val="1"/>
  </w:num>
  <w:num w:numId="15">
    <w:abstractNumId w:val="6"/>
  </w:num>
  <w:num w:numId="16">
    <w:abstractNumId w:val="16"/>
  </w:num>
  <w:num w:numId="17">
    <w:abstractNumId w:val="17"/>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58"/>
    <w:rsid w:val="00287751"/>
    <w:rsid w:val="00571C00"/>
    <w:rsid w:val="005900AC"/>
    <w:rsid w:val="006A78AE"/>
    <w:rsid w:val="00B52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5E29B9"/>
  <w15:docId w15:val="{2B487768-30C5-4E68-B7F0-C14E152D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1"/>
    <w:pPr>
      <w:tabs>
        <w:tab w:val="clear" w:pos="4395"/>
      </w:tabs>
      <w:jc w:val="both"/>
    </w:pPr>
    <w:rPr>
      <w:bCs/>
      <w:spacing w:val="0"/>
      <w:sz w:val="24"/>
      <w:szCs w:val="24"/>
    </w:rPr>
  </w:style>
  <w:style w:type="paragraph" w:customStyle="1" w:styleId="Ttulo11">
    <w:name w:val="Título 11"/>
    <w:basedOn w:val="Standard"/>
    <w:next w:val="Standard"/>
    <w:pPr>
      <w:keepNext/>
      <w:tabs>
        <w:tab w:val="left" w:pos="-720"/>
        <w:tab w:val="left" w:pos="4395"/>
      </w:tabs>
      <w:jc w:val="center"/>
      <w:outlineLvl w:val="0"/>
    </w:pPr>
    <w:rPr>
      <w:rFonts w:ascii="Arial" w:eastAsia="Arial" w:hAnsi="Arial" w:cs="Arial"/>
      <w:b/>
      <w:spacing w:val="-3"/>
      <w:sz w:val="28"/>
    </w:rPr>
  </w:style>
  <w:style w:type="paragraph" w:customStyle="1" w:styleId="Ttulo21">
    <w:name w:val="Título 21"/>
    <w:basedOn w:val="Standard"/>
    <w:next w:val="Standard"/>
    <w:pPr>
      <w:keepNext/>
      <w:widowControl w:val="0"/>
      <w:jc w:val="center"/>
      <w:outlineLvl w:val="1"/>
    </w:pPr>
    <w:rPr>
      <w:rFonts w:ascii="Arial" w:eastAsia="Arial" w:hAnsi="Arial" w:cs="Arial"/>
      <w:b/>
    </w:rPr>
  </w:style>
  <w:style w:type="paragraph" w:customStyle="1" w:styleId="Ttulo31">
    <w:name w:val="Título 31"/>
    <w:basedOn w:val="Standard"/>
    <w:next w:val="Standard"/>
    <w:pPr>
      <w:keepNext/>
      <w:tabs>
        <w:tab w:val="left" w:pos="-720"/>
        <w:tab w:val="right" w:pos="8080"/>
      </w:tabs>
      <w:jc w:val="both"/>
      <w:outlineLvl w:val="2"/>
    </w:pPr>
    <w:rPr>
      <w:rFonts w:ascii="Arial" w:eastAsia="Arial" w:hAnsi="Arial" w:cs="Arial"/>
      <w:spacing w:val="-3"/>
      <w:sz w:val="28"/>
    </w:rPr>
  </w:style>
  <w:style w:type="paragraph" w:customStyle="1" w:styleId="Ttulo41">
    <w:name w:val="Título 41"/>
    <w:basedOn w:val="Standard"/>
    <w:next w:val="Standard"/>
    <w:pPr>
      <w:keepNext/>
      <w:tabs>
        <w:tab w:val="left" w:pos="-720"/>
      </w:tabs>
      <w:ind w:right="851"/>
      <w:jc w:val="both"/>
      <w:outlineLvl w:val="3"/>
    </w:pPr>
    <w:rPr>
      <w:rFonts w:ascii="Arial" w:eastAsia="Arial" w:hAnsi="Arial" w:cs="Arial"/>
      <w:b/>
      <w:bCs/>
      <w:spacing w:val="-3"/>
      <w:sz w:val="28"/>
    </w:rPr>
  </w:style>
  <w:style w:type="paragraph" w:customStyle="1" w:styleId="Ttulo51">
    <w:name w:val="Título 51"/>
    <w:basedOn w:val="Standard"/>
    <w:next w:val="Standard"/>
    <w:pPr>
      <w:keepNext/>
      <w:outlineLvl w:val="4"/>
    </w:pPr>
    <w:rPr>
      <w:rFonts w:ascii="Arial" w:eastAsia="Arial" w:hAnsi="Arial" w:cs="Arial"/>
      <w:b/>
      <w:bCs/>
      <w:sz w:val="28"/>
    </w:rPr>
  </w:style>
  <w:style w:type="paragraph" w:customStyle="1" w:styleId="Ttulo61">
    <w:name w:val="Título 61"/>
    <w:basedOn w:val="Standard"/>
    <w:next w:val="Standard"/>
    <w:pPr>
      <w:keepNext/>
      <w:tabs>
        <w:tab w:val="left" w:pos="-720"/>
      </w:tabs>
      <w:jc w:val="both"/>
      <w:outlineLvl w:val="5"/>
    </w:pPr>
    <w:rPr>
      <w:rFonts w:ascii="Arial" w:eastAsia="Arial" w:hAnsi="Arial" w:cs="Arial"/>
      <w:spacing w:val="-3"/>
      <w:sz w:val="28"/>
    </w:rPr>
  </w:style>
  <w:style w:type="paragraph" w:customStyle="1" w:styleId="Ttulo71">
    <w:name w:val="Título 71"/>
    <w:basedOn w:val="Standard"/>
    <w:next w:val="Standard"/>
    <w:pPr>
      <w:keepNext/>
      <w:outlineLvl w:val="6"/>
    </w:pPr>
    <w:rPr>
      <w:rFonts w:ascii="Arial" w:eastAsia="Arial" w:hAnsi="Arial" w:cs="Arial"/>
    </w:rPr>
  </w:style>
  <w:style w:type="paragraph" w:customStyle="1" w:styleId="Ttulo81">
    <w:name w:val="Título 81"/>
    <w:basedOn w:val="Standard"/>
    <w:next w:val="Standard"/>
    <w:pPr>
      <w:keepNext/>
      <w:tabs>
        <w:tab w:val="left" w:pos="-720"/>
      </w:tabs>
      <w:jc w:val="center"/>
      <w:outlineLvl w:val="7"/>
    </w:pPr>
    <w:rPr>
      <w:sz w:val="28"/>
    </w:rPr>
  </w:style>
  <w:style w:type="paragraph" w:customStyle="1" w:styleId="Ttulo91">
    <w:name w:val="Título 91"/>
    <w:basedOn w:val="Standard"/>
    <w:next w:val="Standard"/>
    <w:pPr>
      <w:keepNext/>
      <w:tabs>
        <w:tab w:val="left" w:pos="-720"/>
        <w:tab w:val="left" w:pos="4395"/>
      </w:tabs>
      <w:jc w:val="both"/>
      <w:outlineLvl w:val="8"/>
    </w:pPr>
    <w:rPr>
      <w:rFonts w:ascii="Arial" w:eastAsia="Arial" w:hAnsi="Arial" w:cs="Arial"/>
      <w:b/>
      <w:sz w:val="28"/>
    </w:rPr>
  </w:style>
  <w:style w:type="character" w:customStyle="1" w:styleId="Fuentedeprrafopredeter1">
    <w:name w:val="Fuente de párrafo predeter.1"/>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customStyle="1" w:styleId="Lista1">
    <w:name w:val="Lista1"/>
    <w:basedOn w:val="Standard"/>
    <w:pPr>
      <w:ind w:left="283" w:hanging="283"/>
    </w:pPr>
    <w:rPr>
      <w:rFonts w:ascii="Times New Roman" w:hAnsi="Times New Roman" w:cs="Times New Roman"/>
      <w:lang w:val="es-CO"/>
    </w:rPr>
  </w:style>
  <w:style w:type="paragraph" w:customStyle="1" w:styleId="Descripcin1">
    <w:name w:val="Descripción1"/>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customStyle="1" w:styleId="ndice11">
    <w:name w:val="Índice 11"/>
    <w:basedOn w:val="Standard"/>
    <w:next w:val="Standard"/>
    <w:pPr>
      <w:tabs>
        <w:tab w:val="right" w:pos="4867"/>
      </w:tabs>
      <w:ind w:left="240" w:hanging="240"/>
    </w:pPr>
    <w:rPr>
      <w:rFonts w:ascii="Times New Roman" w:hAnsi="Times New Roman" w:cs="Times New Roman"/>
      <w:sz w:val="18"/>
    </w:rPr>
  </w:style>
  <w:style w:type="paragraph" w:customStyle="1" w:styleId="ndice21">
    <w:name w:val="Índice 21"/>
    <w:basedOn w:val="Standard"/>
    <w:next w:val="Standard"/>
    <w:pPr>
      <w:tabs>
        <w:tab w:val="right" w:pos="5107"/>
      </w:tabs>
      <w:ind w:left="480" w:hanging="240"/>
    </w:pPr>
    <w:rPr>
      <w:rFonts w:ascii="Times New Roman" w:hAnsi="Times New Roman" w:cs="Times New Roman"/>
      <w:sz w:val="18"/>
    </w:rPr>
  </w:style>
  <w:style w:type="paragraph" w:customStyle="1" w:styleId="ndice31">
    <w:name w:val="Índice 31"/>
    <w:basedOn w:val="Standard"/>
    <w:next w:val="Standard"/>
    <w:pPr>
      <w:tabs>
        <w:tab w:val="right" w:pos="5347"/>
      </w:tabs>
      <w:ind w:left="720" w:hanging="240"/>
    </w:pPr>
    <w:rPr>
      <w:rFonts w:ascii="Times New Roman" w:hAnsi="Times New Roman" w:cs="Times New Roman"/>
      <w:sz w:val="18"/>
    </w:rPr>
  </w:style>
  <w:style w:type="paragraph" w:customStyle="1" w:styleId="ndice41">
    <w:name w:val="Índice 41"/>
    <w:basedOn w:val="Standard"/>
    <w:next w:val="Standard"/>
    <w:pPr>
      <w:tabs>
        <w:tab w:val="right" w:pos="5587"/>
      </w:tabs>
      <w:ind w:left="960" w:hanging="240"/>
    </w:pPr>
    <w:rPr>
      <w:rFonts w:ascii="Times New Roman" w:hAnsi="Times New Roman" w:cs="Times New Roman"/>
      <w:sz w:val="18"/>
    </w:rPr>
  </w:style>
  <w:style w:type="paragraph" w:customStyle="1" w:styleId="ndice51">
    <w:name w:val="Índice 51"/>
    <w:basedOn w:val="Standard"/>
    <w:next w:val="Standard"/>
    <w:pPr>
      <w:tabs>
        <w:tab w:val="right" w:pos="5827"/>
      </w:tabs>
      <w:ind w:left="1200" w:hanging="240"/>
    </w:pPr>
    <w:rPr>
      <w:rFonts w:ascii="Times New Roman" w:hAnsi="Times New Roman" w:cs="Times New Roman"/>
      <w:sz w:val="18"/>
    </w:rPr>
  </w:style>
  <w:style w:type="paragraph" w:customStyle="1" w:styleId="ndice61">
    <w:name w:val="Índice 61"/>
    <w:basedOn w:val="Standard"/>
    <w:next w:val="Standard"/>
    <w:pPr>
      <w:tabs>
        <w:tab w:val="right" w:pos="6067"/>
      </w:tabs>
      <w:ind w:left="1440" w:hanging="240"/>
    </w:pPr>
    <w:rPr>
      <w:rFonts w:ascii="Times New Roman" w:hAnsi="Times New Roman" w:cs="Times New Roman"/>
      <w:sz w:val="18"/>
    </w:rPr>
  </w:style>
  <w:style w:type="paragraph" w:customStyle="1" w:styleId="ndice71">
    <w:name w:val="Índice 71"/>
    <w:basedOn w:val="Standard"/>
    <w:next w:val="Standard"/>
    <w:pPr>
      <w:tabs>
        <w:tab w:val="right" w:pos="6307"/>
      </w:tabs>
      <w:ind w:left="1680" w:hanging="240"/>
    </w:pPr>
    <w:rPr>
      <w:rFonts w:ascii="Times New Roman" w:hAnsi="Times New Roman" w:cs="Times New Roman"/>
      <w:sz w:val="18"/>
    </w:rPr>
  </w:style>
  <w:style w:type="paragraph" w:customStyle="1" w:styleId="ndice81">
    <w:name w:val="Índice 81"/>
    <w:basedOn w:val="Standard"/>
    <w:next w:val="Standard"/>
    <w:pPr>
      <w:tabs>
        <w:tab w:val="right" w:pos="6547"/>
      </w:tabs>
      <w:ind w:left="1920" w:hanging="240"/>
    </w:pPr>
    <w:rPr>
      <w:rFonts w:ascii="Times New Roman" w:hAnsi="Times New Roman" w:cs="Times New Roman"/>
      <w:sz w:val="18"/>
    </w:rPr>
  </w:style>
  <w:style w:type="paragraph" w:customStyle="1" w:styleId="ndice91">
    <w:name w:val="Índice 91"/>
    <w:basedOn w:val="Standard"/>
    <w:next w:val="Standard"/>
    <w:pPr>
      <w:tabs>
        <w:tab w:val="right" w:pos="6787"/>
      </w:tabs>
      <w:ind w:left="2160" w:hanging="240"/>
    </w:pPr>
    <w:rPr>
      <w:rFonts w:ascii="Times New Roman" w:hAnsi="Times New Roman" w:cs="Times New Roman"/>
      <w:sz w:val="18"/>
    </w:rPr>
  </w:style>
  <w:style w:type="paragraph" w:customStyle="1" w:styleId="Ttulodendice1">
    <w:name w:val="Título de índice1"/>
    <w:basedOn w:val="Standard"/>
    <w:next w:val="ndice11"/>
    <w:pPr>
      <w:spacing w:before="240" w:after="120"/>
      <w:jc w:val="center"/>
    </w:pPr>
    <w:rPr>
      <w:rFonts w:ascii="Times New Roman" w:hAnsi="Times New Roman" w:cs="Times New Roman"/>
      <w:b/>
      <w:sz w:val="26"/>
    </w:rPr>
  </w:style>
  <w:style w:type="paragraph" w:customStyle="1" w:styleId="Encabezado1">
    <w:name w:val="Encabezado1"/>
    <w:basedOn w:val="Standard"/>
    <w:pPr>
      <w:suppressLineNumbers/>
      <w:tabs>
        <w:tab w:val="center" w:pos="4986"/>
        <w:tab w:val="right" w:pos="9972"/>
      </w:tabs>
    </w:pPr>
  </w:style>
  <w:style w:type="paragraph" w:customStyle="1" w:styleId="Piedepgina1">
    <w:name w:val="Pie de página1"/>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customStyle="1" w:styleId="Textoindependiente21">
    <w:name w:val="Texto independiente 21"/>
    <w:basedOn w:val="Standard"/>
    <w:pPr>
      <w:tabs>
        <w:tab w:val="left" w:pos="-720"/>
      </w:tabs>
      <w:ind w:right="851"/>
      <w:jc w:val="both"/>
    </w:pPr>
    <w:rPr>
      <w:rFonts w:ascii="Arial" w:eastAsia="Arial" w:hAnsi="Arial" w:cs="Arial"/>
      <w:spacing w:val="-3"/>
      <w:sz w:val="28"/>
    </w:rPr>
  </w:style>
  <w:style w:type="paragraph" w:customStyle="1" w:styleId="Textoindependiente31">
    <w:name w:val="Texto independiente 31"/>
    <w:basedOn w:val="Standard"/>
    <w:rPr>
      <w:rFonts w:ascii="Arial" w:eastAsia="Arial" w:hAnsi="Arial" w:cs="Arial"/>
      <w:sz w:val="28"/>
    </w:rPr>
  </w:style>
  <w:style w:type="paragraph" w:customStyle="1" w:styleId="Textodebloque1">
    <w:name w:val="Texto de bloque1"/>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customStyle="1" w:styleId="Textocomentario1">
    <w:name w:val="Texto comentario1"/>
    <w:basedOn w:val="Standard"/>
    <w:rPr>
      <w:rFonts w:ascii="Arial" w:eastAsia="Arial" w:hAnsi="Arial" w:cs="Arial"/>
      <w:sz w:val="20"/>
    </w:rPr>
  </w:style>
  <w:style w:type="paragraph" w:customStyle="1" w:styleId="TITULODOS">
    <w:name w:val="TITULO DOS"/>
    <w:basedOn w:val="Ttulo11"/>
    <w:pPr>
      <w:tabs>
        <w:tab w:val="clear" w:pos="4395"/>
        <w:tab w:val="left" w:pos="567"/>
      </w:tabs>
      <w:jc w:val="both"/>
    </w:pPr>
    <w:rPr>
      <w:bCs/>
      <w:spacing w:val="0"/>
      <w:sz w:val="24"/>
      <w:szCs w:val="24"/>
    </w:rPr>
  </w:style>
  <w:style w:type="paragraph" w:customStyle="1" w:styleId="titulotres">
    <w:name w:val="titulo tres"/>
    <w:basedOn w:val="Ttulo11"/>
    <w:pPr>
      <w:widowControl w:val="0"/>
      <w:numPr>
        <w:numId w:val="6"/>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customStyle="1" w:styleId="Sinespaciado1">
    <w:name w:val="Sin espaciado1"/>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customStyle="1" w:styleId="Prrafodelista1">
    <w:name w:val="Párrafo de lista1"/>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paragraph" w:customStyle="1" w:styleId="Textodeglobo1">
    <w:name w:val="Texto de globo1"/>
    <w:basedOn w:val="Normal"/>
    <w:rPr>
      <w:rFonts w:ascii="Tahoma" w:eastAsia="Tahoma" w:hAnsi="Tahoma" w:cs="Mangal"/>
      <w:sz w:val="16"/>
      <w:szCs w:val="14"/>
    </w:rPr>
  </w:style>
  <w:style w:type="character" w:customStyle="1" w:styleId="WW8Num1z0">
    <w:name w:val="WW8Num1z0"/>
    <w:rPr>
      <w:rFonts w:ascii="Arial" w:eastAsia="Arial" w:hAnsi="Arial" w:cs="Arial"/>
      <w:spacing w:val="6"/>
      <w:sz w:val="22"/>
      <w:szCs w:val="22"/>
    </w:rPr>
  </w:style>
  <w:style w:type="character" w:customStyle="1" w:styleId="WW8Num2z0">
    <w:name w:val="WW8Num2z0"/>
    <w:rPr>
      <w:rFonts w:ascii="Arial" w:eastAsia="Arial" w:hAnsi="Arial" w:cs="Arial"/>
      <w:sz w:val="24"/>
      <w:szCs w:val="24"/>
    </w:rPr>
  </w:style>
  <w:style w:type="character" w:customStyle="1" w:styleId="WW8Num5z0">
    <w:name w:val="WW8Num5z0"/>
    <w:rPr>
      <w:b w:val="0"/>
    </w:rPr>
  </w:style>
  <w:style w:type="character" w:customStyle="1" w:styleId="WW8Num8z0">
    <w:name w:val="WW8Num8z0"/>
    <w:rPr>
      <w:rFonts w:ascii="Arial" w:eastAsia="Arial" w:hAnsi="Arial" w:cs="Arial"/>
      <w:b w:val="0"/>
      <w:i w:val="0"/>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customStyle="1" w:styleId="Nmerodepgina1">
    <w:name w:val="Número de página1"/>
    <w:basedOn w:val="Fuentedeprrafopredeter1"/>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1"/>
    <w:rPr>
      <w:rFonts w:cs="Mangal"/>
      <w:szCs w:val="21"/>
    </w:rPr>
  </w:style>
  <w:style w:type="character" w:customStyle="1" w:styleId="PiedepginaCar">
    <w:name w:val="Pie de página Car"/>
    <w:basedOn w:val="Fuentedeprrafopredeter1"/>
    <w:rPr>
      <w:rFonts w:cs="Mangal"/>
      <w:szCs w:val="21"/>
    </w:rPr>
  </w:style>
  <w:style w:type="character" w:customStyle="1" w:styleId="TextodegloboCar">
    <w:name w:val="Texto de globo Car"/>
    <w:basedOn w:val="Fuentedeprrafopredeter1"/>
    <w:rPr>
      <w:rFonts w:ascii="Tahoma" w:eastAsia="Tahoma" w:hAnsi="Tahoma" w:cs="Mangal"/>
      <w:sz w:val="16"/>
      <w:szCs w:val="14"/>
    </w:rPr>
  </w:style>
  <w:style w:type="paragraph" w:customStyle="1" w:styleId="Sangradetextonormal1">
    <w:name w:val="Sangría de texto normal1"/>
    <w:basedOn w:val="Normal"/>
    <w:pPr>
      <w:spacing w:after="120"/>
      <w:ind w:left="283"/>
    </w:pPr>
    <w:rPr>
      <w:rFonts w:cs="Mangal"/>
      <w:szCs w:val="21"/>
    </w:rPr>
  </w:style>
  <w:style w:type="character" w:customStyle="1" w:styleId="SangradetextonormalCar">
    <w:name w:val="Sangría de texto normal Car"/>
    <w:basedOn w:val="Fuentedeprrafopredeter1"/>
    <w:rPr>
      <w:rFonts w:cs="Mangal"/>
      <w:szCs w:val="21"/>
    </w:rPr>
  </w:style>
  <w:style w:type="paragraph" w:customStyle="1" w:styleId="pa6">
    <w:name w:val="pa6"/>
    <w:basedOn w:val="Normal"/>
    <w:pPr>
      <w:widowControl/>
      <w:spacing w:before="100" w:after="100"/>
      <w:textAlignment w:val="auto"/>
    </w:pPr>
    <w:rPr>
      <w:rFonts w:ascii="Times New Roman" w:eastAsia="Times New Roman" w:hAnsi="Times New Roman" w:cs="Times New Roman"/>
      <w:kern w:val="0"/>
      <w:lang w:val="es-CO" w:eastAsia="es-CO" w:bidi="ar-SA"/>
    </w:rPr>
  </w:style>
  <w:style w:type="character" w:customStyle="1" w:styleId="Hipervnculo1">
    <w:name w:val="Hipervínculo1"/>
    <w:basedOn w:val="Fuentedeprrafopredeter1"/>
    <w:rPr>
      <w:color w:val="0000FF"/>
      <w:u w:val="single"/>
    </w:rPr>
  </w:style>
  <w:style w:type="character" w:customStyle="1" w:styleId="spelle">
    <w:name w:val="spelle"/>
    <w:basedOn w:val="Fuentedeprrafopredeter1"/>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paragraph" w:styleId="Encabezado">
    <w:name w:val="header"/>
    <w:basedOn w:val="Normal"/>
    <w:link w:val="EncabezadoCar1"/>
    <w:uiPriority w:val="99"/>
    <w:unhideWhenUsed/>
    <w:pPr>
      <w:tabs>
        <w:tab w:val="center" w:pos="4680"/>
        <w:tab w:val="right" w:pos="9360"/>
      </w:tabs>
    </w:pPr>
    <w:rPr>
      <w:rFonts w:cs="Mangal"/>
      <w:szCs w:val="21"/>
    </w:rPr>
  </w:style>
  <w:style w:type="character" w:customStyle="1" w:styleId="EncabezadoCar1">
    <w:name w:val="Encabezado Car1"/>
    <w:basedOn w:val="Fuentedeprrafopredeter"/>
    <w:link w:val="Encabezado"/>
    <w:uiPriority w:val="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xbase.biz/lexbase/normas/leyes/1993/L0105de1993.htm" TargetMode="External"/><Relationship Id="rId8" Type="http://schemas.openxmlformats.org/officeDocument/2006/relationships/hyperlink" Target="http://www.lexbase.biz/lexbase/normas/leyes/2002/L0787de2002.htm" TargetMode="External"/><Relationship Id="rId9" Type="http://schemas.openxmlformats.org/officeDocument/2006/relationships/hyperlink" Target="http://basesbiblioteca.uexternado.edu.co:2851/lexbase/normas/Resoluciones/Min-Transporte/2010/R0001de2010.htm" TargetMode="External"/><Relationship Id="rId10" Type="http://schemas.openxmlformats.org/officeDocument/2006/relationships/hyperlink" Target="http://basesbiblioteca.uexternado.edu.co:2851/lexbase/normas/Resoluciones/Min-Transporte/1995/R0014de1995.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10546</Characters>
  <Application>Microsoft Macintosh Word</Application>
  <DocSecurity>0</DocSecurity>
  <Lines>87</Lines>
  <Paragraphs>24</Paragraphs>
  <ScaleCrop>false</ScaleCrop>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Usuario de Microsoft Office</cp:lastModifiedBy>
  <cp:revision>2</cp:revision>
  <cp:lastPrinted>2012-02-07T12:01:00Z</cp:lastPrinted>
  <dcterms:created xsi:type="dcterms:W3CDTF">2019-06-12T19:39:00Z</dcterms:created>
  <dcterms:modified xsi:type="dcterms:W3CDTF">2019-06-12T19:39:00Z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