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E86FE" w14:textId="77777777" w:rsidR="00F40EFD" w:rsidRDefault="00173713">
      <w:pPr>
        <w:pStyle w:val="Ttulo21"/>
        <w:tabs>
          <w:tab w:val="left" w:pos="4253"/>
        </w:tabs>
        <w:rPr>
          <w:rFonts w:ascii="Work Sans" w:hAnsi="Work Sans"/>
          <w:color w:val="000000"/>
          <w:sz w:val="20"/>
        </w:rPr>
      </w:pPr>
      <w:bookmarkStart w:id="0" w:name="_GoBack"/>
      <w:bookmarkEnd w:id="0"/>
      <w:r>
        <w:rPr>
          <w:rFonts w:ascii="Work Sans" w:hAnsi="Work Sans"/>
          <w:color w:val="000000"/>
          <w:sz w:val="20"/>
        </w:rPr>
        <w:t>RESOLUCIÓN  NÚMERO                                          DE 2019</w:t>
      </w:r>
    </w:p>
    <w:p w14:paraId="576D9DE1" w14:textId="77777777" w:rsidR="00F40EFD" w:rsidRDefault="00F40EFD">
      <w:pPr>
        <w:pStyle w:val="toa"/>
        <w:tabs>
          <w:tab w:val="left" w:pos="708"/>
        </w:tabs>
        <w:jc w:val="center"/>
        <w:rPr>
          <w:rFonts w:ascii="Work Sans" w:hAnsi="Work Sans" w:cs="Arial"/>
          <w:color w:val="000000"/>
          <w:sz w:val="20"/>
          <w:lang w:val="es-ES"/>
        </w:rPr>
      </w:pPr>
    </w:p>
    <w:p w14:paraId="234EB840" w14:textId="77777777" w:rsidR="00F40EFD" w:rsidRDefault="00F40EFD">
      <w:pPr>
        <w:pStyle w:val="toa"/>
        <w:tabs>
          <w:tab w:val="left" w:pos="708"/>
        </w:tabs>
        <w:jc w:val="center"/>
        <w:rPr>
          <w:rFonts w:ascii="Work Sans" w:hAnsi="Work Sans" w:cs="Arial"/>
          <w:color w:val="000000"/>
          <w:sz w:val="20"/>
          <w:lang w:val="es-ES"/>
        </w:rPr>
      </w:pPr>
    </w:p>
    <w:p w14:paraId="1DFF3E3A" w14:textId="77777777" w:rsidR="00F40EFD" w:rsidRDefault="00173713">
      <w:pPr>
        <w:ind w:left="-187" w:right="-130"/>
        <w:jc w:val="center"/>
        <w:rPr>
          <w:rFonts w:ascii="Work Sans" w:hAnsi="Work Sans" w:cs="Arial"/>
          <w:b/>
          <w:color w:val="000000"/>
          <w:sz w:val="20"/>
          <w:szCs w:val="20"/>
        </w:rPr>
      </w:pPr>
      <w:r>
        <w:rPr>
          <w:rFonts w:ascii="Work Sans" w:hAnsi="Work Sans" w:cs="Arial"/>
          <w:b/>
          <w:color w:val="000000"/>
          <w:sz w:val="20"/>
          <w:szCs w:val="20"/>
        </w:rPr>
        <w:t xml:space="preserve"> (</w:t>
      </w:r>
      <w:r>
        <w:rPr>
          <w:rFonts w:ascii="Work Sans" w:hAnsi="Work Sans" w:cs="Arial"/>
          <w:b/>
          <w:color w:val="000000"/>
          <w:sz w:val="20"/>
          <w:szCs w:val="20"/>
        </w:rPr>
        <w:tab/>
      </w:r>
      <w:r>
        <w:rPr>
          <w:rFonts w:ascii="Work Sans" w:hAnsi="Work Sans" w:cs="Arial"/>
          <w:b/>
          <w:color w:val="000000"/>
          <w:sz w:val="20"/>
          <w:szCs w:val="20"/>
        </w:rPr>
        <w:tab/>
      </w:r>
      <w:r>
        <w:rPr>
          <w:rFonts w:ascii="Work Sans" w:hAnsi="Work Sans" w:cs="Arial"/>
          <w:b/>
          <w:color w:val="000000"/>
          <w:sz w:val="20"/>
          <w:szCs w:val="20"/>
        </w:rPr>
        <w:tab/>
        <w:t xml:space="preserve">                        </w:t>
      </w:r>
      <w:r>
        <w:rPr>
          <w:rFonts w:ascii="Work Sans" w:hAnsi="Work Sans" w:cs="Arial"/>
          <w:b/>
          <w:color w:val="000000"/>
          <w:sz w:val="20"/>
          <w:szCs w:val="20"/>
        </w:rPr>
        <w:tab/>
      </w:r>
      <w:r>
        <w:rPr>
          <w:rFonts w:ascii="Work Sans" w:hAnsi="Work Sans" w:cs="Arial"/>
          <w:b/>
          <w:color w:val="000000"/>
          <w:sz w:val="20"/>
          <w:szCs w:val="20"/>
        </w:rPr>
        <w:tab/>
        <w:t xml:space="preserve">  )</w:t>
      </w:r>
    </w:p>
    <w:p w14:paraId="6402FBC7" w14:textId="77777777" w:rsidR="00F40EFD" w:rsidRDefault="00F40EFD">
      <w:pPr>
        <w:pStyle w:val="Sangradetextonormal1"/>
        <w:spacing w:after="0"/>
        <w:ind w:left="0" w:right="193"/>
        <w:jc w:val="both"/>
        <w:rPr>
          <w:rFonts w:ascii="Work Sans" w:hAnsi="Work Sans" w:cs="Arial"/>
          <w:color w:val="000000"/>
          <w:sz w:val="20"/>
          <w:szCs w:val="20"/>
        </w:rPr>
      </w:pPr>
    </w:p>
    <w:p w14:paraId="6181F0C9" w14:textId="77777777" w:rsidR="00F40EFD" w:rsidRDefault="00F40EFD">
      <w:pPr>
        <w:pStyle w:val="Sangradetextonormal1"/>
        <w:spacing w:after="0"/>
        <w:ind w:left="0" w:right="193"/>
        <w:jc w:val="both"/>
        <w:rPr>
          <w:rFonts w:ascii="Work Sans" w:hAnsi="Work Sans" w:cs="Arial"/>
          <w:color w:val="000000"/>
          <w:sz w:val="20"/>
          <w:szCs w:val="20"/>
        </w:rPr>
      </w:pPr>
    </w:p>
    <w:p w14:paraId="50FF33A6" w14:textId="77777777" w:rsidR="00F40EFD" w:rsidRDefault="00173713">
      <w:pPr>
        <w:widowControl/>
        <w:jc w:val="center"/>
        <w:textAlignment w:val="auto"/>
      </w:pPr>
      <w:r>
        <w:rPr>
          <w:rStyle w:val="Fuentedeprrafopredeter1"/>
          <w:rFonts w:ascii="Work Sans" w:eastAsia="Times New Roman" w:hAnsi="Work Sans" w:cs="Arial"/>
          <w:color w:val="000000"/>
          <w:kern w:val="0"/>
          <w:sz w:val="20"/>
          <w:szCs w:val="20"/>
          <w:lang w:eastAsia="es-CO" w:bidi="ar-SA"/>
        </w:rPr>
        <w:t>“</w:t>
      </w:r>
      <w:r>
        <w:rPr>
          <w:rStyle w:val="Fuentedeprrafopredeter1"/>
          <w:rFonts w:ascii="Work Sans" w:eastAsia="Times New Roman" w:hAnsi="Work Sans" w:cs="Arial"/>
          <w:color w:val="000000"/>
          <w:kern w:val="0"/>
          <w:sz w:val="20"/>
          <w:szCs w:val="20"/>
          <w:lang w:val="es-CO" w:eastAsia="es-CO" w:bidi="ar-SA"/>
        </w:rPr>
        <w:t>Por la cual se modifica el artículo 3 de la Resolución Nº 0000035 de 2015  “Por la cual se establece tarifa diferencial para la estación de peaje de Alto Pino” y se dictan otras disposiciones.”</w:t>
      </w:r>
    </w:p>
    <w:p w14:paraId="696D3EF8" w14:textId="77777777" w:rsidR="00F40EFD" w:rsidRDefault="00173713">
      <w:pPr>
        <w:widowControl/>
        <w:jc w:val="center"/>
        <w:textAlignment w:val="auto"/>
        <w:rPr>
          <w:rFonts w:ascii="Work Sans" w:eastAsia="Times New Roman" w:hAnsi="Work Sans" w:cs="Arial"/>
          <w:color w:val="000000"/>
          <w:kern w:val="0"/>
          <w:sz w:val="20"/>
          <w:szCs w:val="20"/>
          <w:lang w:val="es-CO" w:eastAsia="es-CO" w:bidi="ar-SA"/>
        </w:rPr>
      </w:pPr>
      <w:r>
        <w:rPr>
          <w:rFonts w:ascii="Work Sans" w:eastAsia="Times New Roman" w:hAnsi="Work Sans" w:cs="Arial"/>
          <w:color w:val="000000"/>
          <w:kern w:val="0"/>
          <w:sz w:val="20"/>
          <w:szCs w:val="20"/>
          <w:lang w:val="es-CO" w:eastAsia="es-CO" w:bidi="ar-SA"/>
        </w:rPr>
        <w:t> </w:t>
      </w:r>
    </w:p>
    <w:p w14:paraId="1F159DDE" w14:textId="77777777" w:rsidR="00F40EFD" w:rsidRDefault="00173713">
      <w:pPr>
        <w:widowControl/>
        <w:jc w:val="center"/>
        <w:textAlignment w:val="auto"/>
        <w:rPr>
          <w:rFonts w:ascii="Work Sans" w:eastAsia="Times New Roman" w:hAnsi="Work Sans" w:cs="Arial"/>
          <w:b/>
          <w:bCs/>
          <w:color w:val="000000"/>
          <w:kern w:val="0"/>
          <w:sz w:val="20"/>
          <w:szCs w:val="20"/>
          <w:lang w:eastAsia="es-CO" w:bidi="ar-SA"/>
        </w:rPr>
      </w:pPr>
      <w:r>
        <w:rPr>
          <w:rFonts w:ascii="Work Sans" w:eastAsia="Times New Roman" w:hAnsi="Work Sans" w:cs="Arial"/>
          <w:b/>
          <w:bCs/>
          <w:color w:val="000000"/>
          <w:kern w:val="0"/>
          <w:sz w:val="20"/>
          <w:szCs w:val="20"/>
          <w:lang w:eastAsia="es-CO" w:bidi="ar-SA"/>
        </w:rPr>
        <w:t>LA MINISTRA DE TRANSPORTE</w:t>
      </w:r>
    </w:p>
    <w:p w14:paraId="1B560519" w14:textId="77777777" w:rsidR="00F40EFD" w:rsidRDefault="00F40EFD">
      <w:pPr>
        <w:widowControl/>
        <w:jc w:val="center"/>
        <w:textAlignment w:val="auto"/>
        <w:rPr>
          <w:rFonts w:ascii="Work Sans" w:eastAsia="Times New Roman" w:hAnsi="Work Sans" w:cs="Arial"/>
          <w:color w:val="000000"/>
          <w:kern w:val="0"/>
          <w:sz w:val="20"/>
          <w:szCs w:val="20"/>
          <w:lang w:eastAsia="es-CO" w:bidi="ar-SA"/>
        </w:rPr>
      </w:pPr>
    </w:p>
    <w:p w14:paraId="4E0E5371" w14:textId="77777777" w:rsidR="00F40EFD" w:rsidRDefault="00173713">
      <w:pPr>
        <w:widowControl/>
        <w:ind w:right="40"/>
        <w:jc w:val="both"/>
        <w:textAlignment w:val="auto"/>
        <w:rPr>
          <w:rFonts w:ascii="Work Sans" w:eastAsia="Times New Roman" w:hAnsi="Work Sans" w:cs="Arial"/>
          <w:color w:val="000000"/>
          <w:sz w:val="20"/>
          <w:szCs w:val="20"/>
          <w:lang w:bidi="ar-SA"/>
        </w:rPr>
      </w:pPr>
      <w:r>
        <w:rPr>
          <w:rFonts w:ascii="Work Sans" w:eastAsia="Times New Roman" w:hAnsi="Work Sans" w:cs="Arial"/>
          <w:color w:val="000000"/>
          <w:sz w:val="20"/>
          <w:szCs w:val="20"/>
          <w:lang w:bidi="ar-SA"/>
        </w:rPr>
        <w:t>En ejercicio de las facultades legales y en especial las conferidas por el artículo 21 de la Ley 105 de 1993 modificado parcialmente por el artículo 1 de la Ley 787 de 2002, el numeral 6.15 del artículo 6 del Decreto 087 de 2011, y</w:t>
      </w:r>
    </w:p>
    <w:p w14:paraId="16A3FB35" w14:textId="77777777" w:rsidR="00F40EFD" w:rsidRDefault="00F40EFD">
      <w:pPr>
        <w:widowControl/>
        <w:jc w:val="both"/>
        <w:textAlignment w:val="auto"/>
        <w:rPr>
          <w:rFonts w:ascii="Work Sans" w:eastAsia="Times New Roman" w:hAnsi="Work Sans" w:cs="Arial"/>
          <w:color w:val="000000"/>
          <w:kern w:val="0"/>
          <w:sz w:val="20"/>
          <w:szCs w:val="20"/>
          <w:lang w:eastAsia="es-CO" w:bidi="ar-SA"/>
        </w:rPr>
      </w:pPr>
    </w:p>
    <w:p w14:paraId="2BE8DBF9" w14:textId="77777777" w:rsidR="00F40EFD" w:rsidRDefault="00173713">
      <w:pPr>
        <w:widowControl/>
        <w:jc w:val="center"/>
        <w:textAlignment w:val="auto"/>
        <w:rPr>
          <w:rFonts w:ascii="Work Sans" w:eastAsia="Times New Roman" w:hAnsi="Work Sans" w:cs="Arial"/>
          <w:b/>
          <w:color w:val="000000"/>
          <w:kern w:val="0"/>
          <w:sz w:val="20"/>
          <w:szCs w:val="20"/>
          <w:lang w:val="es-CO" w:eastAsia="es-CO" w:bidi="ar-SA"/>
        </w:rPr>
      </w:pPr>
      <w:r>
        <w:rPr>
          <w:rFonts w:ascii="Work Sans" w:eastAsia="Times New Roman" w:hAnsi="Work Sans" w:cs="Arial"/>
          <w:b/>
          <w:color w:val="000000"/>
          <w:kern w:val="0"/>
          <w:sz w:val="20"/>
          <w:szCs w:val="20"/>
          <w:lang w:val="es-CO" w:eastAsia="es-CO" w:bidi="ar-SA"/>
        </w:rPr>
        <w:t>CONSIDERANDO</w:t>
      </w:r>
    </w:p>
    <w:p w14:paraId="1F4BB062" w14:textId="77777777" w:rsidR="00F40EFD" w:rsidRDefault="00173713">
      <w:pPr>
        <w:widowControl/>
        <w:jc w:val="center"/>
        <w:textAlignment w:val="auto"/>
        <w:rPr>
          <w:rFonts w:ascii="Work Sans" w:eastAsia="Times New Roman" w:hAnsi="Work Sans" w:cs="Arial"/>
          <w:color w:val="000000"/>
          <w:kern w:val="0"/>
          <w:sz w:val="20"/>
          <w:szCs w:val="20"/>
          <w:lang w:val="es-CO" w:eastAsia="es-CO" w:bidi="ar-SA"/>
        </w:rPr>
      </w:pPr>
      <w:r>
        <w:rPr>
          <w:rFonts w:ascii="Work Sans" w:eastAsia="Times New Roman" w:hAnsi="Work Sans" w:cs="Arial"/>
          <w:color w:val="000000"/>
          <w:kern w:val="0"/>
          <w:sz w:val="20"/>
          <w:szCs w:val="20"/>
          <w:lang w:val="es-CO" w:eastAsia="es-CO" w:bidi="ar-SA"/>
        </w:rPr>
        <w:t> </w:t>
      </w:r>
    </w:p>
    <w:p w14:paraId="35BA59AC" w14:textId="77777777" w:rsidR="00F40EFD" w:rsidRDefault="00173713">
      <w:pPr>
        <w:widowControl/>
        <w:jc w:val="both"/>
        <w:textAlignment w:val="auto"/>
      </w:pPr>
      <w:r>
        <w:rPr>
          <w:rStyle w:val="Fuentedeprrafopredeter1"/>
          <w:rFonts w:ascii="Work Sans" w:eastAsia="Times New Roman" w:hAnsi="Work Sans" w:cs="Arial"/>
          <w:color w:val="000000"/>
          <w:kern w:val="0"/>
          <w:sz w:val="20"/>
          <w:szCs w:val="20"/>
          <w:lang w:val="es-CO" w:eastAsia="es-CO" w:bidi="ar-SA"/>
        </w:rPr>
        <w:t>Que la </w:t>
      </w:r>
      <w:hyperlink r:id="rId7" w:tooltip="Haga clic para abrir TODA la Ley 105 de 1993" w:history="1">
        <w:r>
          <w:rPr>
            <w:rStyle w:val="Fuentedeprrafopredeter1"/>
            <w:rFonts w:ascii="Work Sans" w:eastAsia="Times New Roman" w:hAnsi="Work Sans" w:cs="Arial"/>
            <w:color w:val="000000"/>
            <w:kern w:val="0"/>
            <w:sz w:val="20"/>
            <w:szCs w:val="20"/>
            <w:lang w:val="es-CO" w:eastAsia="es-CO" w:bidi="ar-SA"/>
          </w:rPr>
          <w:t>Ley 105 de 1993</w:t>
        </w:r>
      </w:hyperlink>
      <w:r>
        <w:rPr>
          <w:rStyle w:val="Fuentedeprrafopredeter1"/>
          <w:rFonts w:ascii="Work Sans" w:eastAsia="Times New Roman" w:hAnsi="Work Sans" w:cs="Arial"/>
          <w:color w:val="000000"/>
          <w:kern w:val="0"/>
          <w:sz w:val="20"/>
          <w:szCs w:val="20"/>
          <w:lang w:val="es-CO" w:eastAsia="es-CO" w:bidi="ar-SA"/>
        </w:rPr>
        <w:t>, “por la cual se dictan disposiciones básicas sobre el transporte, se redistribuyen competencias y recursos entre la Nación y las Entidades Territoriales, se reglamenta la planeación en el sector transporte y se dictan otras disposiciones”, en su artículo 21 modificado por el artículo 1° de la </w:t>
      </w:r>
      <w:hyperlink r:id="rId8" w:tooltip="Haga clic para abrir TODA la Ley 787 de 2002" w:history="1">
        <w:r>
          <w:rPr>
            <w:rStyle w:val="Fuentedeprrafopredeter1"/>
            <w:rFonts w:ascii="Work Sans" w:eastAsia="Times New Roman" w:hAnsi="Work Sans" w:cs="Arial"/>
            <w:color w:val="000000"/>
            <w:kern w:val="0"/>
            <w:sz w:val="20"/>
            <w:szCs w:val="20"/>
            <w:lang w:val="es-CO" w:eastAsia="es-CO" w:bidi="ar-SA"/>
          </w:rPr>
          <w:t>Ley 787 de 2002</w:t>
        </w:r>
      </w:hyperlink>
      <w:r>
        <w:rPr>
          <w:rStyle w:val="Fuentedeprrafopredeter1"/>
          <w:rFonts w:ascii="Work Sans" w:eastAsia="Times New Roman" w:hAnsi="Work Sans" w:cs="Arial"/>
          <w:color w:val="000000"/>
          <w:kern w:val="0"/>
          <w:sz w:val="20"/>
          <w:szCs w:val="20"/>
          <w:lang w:val="es-CO" w:eastAsia="es-CO" w:bidi="ar-SA"/>
        </w:rPr>
        <w:t xml:space="preserve">, establece la fijación y cobro de tasas, tarifas y peajes, y tasas de peajes diferenciales </w:t>
      </w:r>
      <w:r>
        <w:rPr>
          <w:rStyle w:val="Fuentedeprrafopredeter1"/>
          <w:rFonts w:ascii="Work Sans" w:hAnsi="Work Sans" w:cs="Arial"/>
          <w:color w:val="000000"/>
          <w:sz w:val="20"/>
          <w:szCs w:val="20"/>
          <w:shd w:val="clear" w:color="auto" w:fill="FFFFFF"/>
        </w:rPr>
        <w:t> sobre el uso de la infraestructura nacional de transporte</w:t>
      </w:r>
      <w:r>
        <w:rPr>
          <w:rStyle w:val="Fuentedeprrafopredeter1"/>
          <w:rFonts w:ascii="Work Sans" w:eastAsia="Times New Roman" w:hAnsi="Work Sans" w:cs="Arial"/>
          <w:color w:val="000000"/>
          <w:kern w:val="0"/>
          <w:sz w:val="20"/>
          <w:szCs w:val="20"/>
          <w:lang w:val="es-CO" w:eastAsia="es-CO" w:bidi="ar-SA"/>
        </w:rPr>
        <w:t xml:space="preserve">. </w:t>
      </w:r>
    </w:p>
    <w:p w14:paraId="490EEC8E" w14:textId="77777777" w:rsidR="00F40EFD" w:rsidRDefault="00173713">
      <w:pPr>
        <w:widowControl/>
        <w:jc w:val="both"/>
        <w:textAlignment w:val="auto"/>
        <w:rPr>
          <w:rFonts w:ascii="Work Sans" w:eastAsia="Times New Roman" w:hAnsi="Work Sans" w:cs="Arial"/>
          <w:color w:val="000000"/>
          <w:kern w:val="0"/>
          <w:sz w:val="20"/>
          <w:szCs w:val="20"/>
          <w:lang w:val="es-CO" w:eastAsia="es-CO" w:bidi="ar-SA"/>
        </w:rPr>
      </w:pPr>
      <w:r>
        <w:rPr>
          <w:rFonts w:ascii="Work Sans" w:eastAsia="Times New Roman" w:hAnsi="Work Sans" w:cs="Arial"/>
          <w:color w:val="000000"/>
          <w:kern w:val="0"/>
          <w:sz w:val="20"/>
          <w:szCs w:val="20"/>
          <w:lang w:val="es-CO" w:eastAsia="es-CO" w:bidi="ar-SA"/>
        </w:rPr>
        <w:t> </w:t>
      </w:r>
    </w:p>
    <w:p w14:paraId="5C95F1F4" w14:textId="77777777" w:rsidR="00F40EFD" w:rsidRDefault="00173713">
      <w:pPr>
        <w:widowControl/>
        <w:tabs>
          <w:tab w:val="left" w:pos="0"/>
        </w:tabs>
        <w:suppressAutoHyphens w:val="0"/>
        <w:ind w:right="49"/>
        <w:jc w:val="both"/>
        <w:textAlignment w:val="auto"/>
      </w:pPr>
      <w:r>
        <w:rPr>
          <w:rStyle w:val="Fuentedeprrafopredeter1"/>
          <w:rFonts w:ascii="Work Sans" w:eastAsia="DengXian Light" w:hAnsi="Work Sans" w:cs="Arial"/>
          <w:color w:val="000000"/>
          <w:kern w:val="0"/>
          <w:sz w:val="20"/>
          <w:szCs w:val="20"/>
          <w:lang w:val="es" w:eastAsia="es-ES" w:bidi="ar-SA"/>
        </w:rPr>
        <w:t>Que el Decreto 087 de 2011 “</w:t>
      </w:r>
      <w:r>
        <w:rPr>
          <w:rStyle w:val="Fuentedeprrafopredeter1"/>
          <w:rFonts w:ascii="Work Sans" w:eastAsia="DengXian Light" w:hAnsi="Work Sans" w:cs="Arial"/>
          <w:i/>
          <w:color w:val="000000"/>
          <w:kern w:val="0"/>
          <w:sz w:val="20"/>
          <w:szCs w:val="20"/>
          <w:lang w:val="es" w:eastAsia="es-ES" w:bidi="ar-SA"/>
        </w:rPr>
        <w:t>Por el cual se modifica la estructura del Ministerio de Transporte, y se determinan las funciones de sus dependencias</w:t>
      </w:r>
      <w:r>
        <w:rPr>
          <w:rStyle w:val="Fuentedeprrafopredeter1"/>
          <w:rFonts w:ascii="Work Sans" w:eastAsia="DengXian Light" w:hAnsi="Work Sans" w:cs="Arial"/>
          <w:color w:val="000000"/>
          <w:kern w:val="0"/>
          <w:sz w:val="20"/>
          <w:szCs w:val="20"/>
          <w:lang w:val="es" w:eastAsia="es-ES" w:bidi="ar-SA"/>
        </w:rPr>
        <w:t>.” establece:</w:t>
      </w:r>
    </w:p>
    <w:p w14:paraId="7F700CD5" w14:textId="77777777" w:rsidR="00F40EFD" w:rsidRDefault="00F40EFD">
      <w:pPr>
        <w:widowControl/>
        <w:tabs>
          <w:tab w:val="left" w:pos="0"/>
        </w:tabs>
        <w:suppressAutoHyphens w:val="0"/>
        <w:ind w:left="709" w:right="709"/>
        <w:jc w:val="both"/>
        <w:textAlignment w:val="auto"/>
        <w:rPr>
          <w:rFonts w:ascii="Work Sans" w:eastAsia="DengXian Light" w:hAnsi="Work Sans" w:cs="Arial" w:hint="eastAsia"/>
          <w:i/>
          <w:color w:val="000000"/>
          <w:kern w:val="0"/>
          <w:sz w:val="20"/>
          <w:szCs w:val="20"/>
          <w:lang w:val="es" w:eastAsia="es-ES" w:bidi="ar-SA"/>
        </w:rPr>
      </w:pPr>
    </w:p>
    <w:p w14:paraId="08A93680" w14:textId="77777777" w:rsidR="00F40EFD" w:rsidRDefault="00173713">
      <w:pPr>
        <w:ind w:left="567" w:right="474"/>
        <w:jc w:val="both"/>
        <w:rPr>
          <w:rFonts w:ascii="Work Sans" w:eastAsia="DengXian Light" w:hAnsi="Work Sans" w:cs="Arial" w:hint="eastAsia"/>
          <w:i/>
          <w:color w:val="000000"/>
          <w:kern w:val="0"/>
          <w:sz w:val="18"/>
          <w:szCs w:val="20"/>
          <w:lang w:val="es" w:eastAsia="es-ES" w:bidi="ar-SA"/>
        </w:rPr>
      </w:pPr>
      <w:r>
        <w:rPr>
          <w:rFonts w:ascii="Work Sans" w:eastAsia="DengXian Light" w:hAnsi="Work Sans" w:cs="Arial"/>
          <w:i/>
          <w:color w:val="000000"/>
          <w:kern w:val="0"/>
          <w:sz w:val="18"/>
          <w:szCs w:val="20"/>
          <w:lang w:val="es" w:eastAsia="es-ES" w:bidi="ar-SA"/>
        </w:rPr>
        <w:t>“Artículo 6°. Funciones del Despacho del Ministro de Transporte. Son funciones del Despacho del Ministro de Transporte, además de las señaladas por la Constitución Política y la ley, las siguientes:</w:t>
      </w:r>
    </w:p>
    <w:p w14:paraId="5E9C8E5C" w14:textId="77777777" w:rsidR="00F40EFD" w:rsidRDefault="00173713">
      <w:pPr>
        <w:widowControl/>
        <w:tabs>
          <w:tab w:val="left" w:pos="0"/>
        </w:tabs>
        <w:suppressAutoHyphens w:val="0"/>
        <w:ind w:left="567" w:right="709"/>
        <w:jc w:val="both"/>
        <w:textAlignment w:val="auto"/>
        <w:rPr>
          <w:rFonts w:ascii="Work Sans" w:eastAsia="DengXian Light" w:hAnsi="Work Sans" w:cs="Arial" w:hint="eastAsia"/>
          <w:i/>
          <w:color w:val="000000"/>
          <w:kern w:val="0"/>
          <w:sz w:val="18"/>
          <w:szCs w:val="20"/>
          <w:lang w:val="es" w:eastAsia="es-ES" w:bidi="ar-SA"/>
        </w:rPr>
      </w:pPr>
      <w:r>
        <w:rPr>
          <w:rFonts w:ascii="Work Sans" w:eastAsia="DengXian Light" w:hAnsi="Work Sans" w:cs="Arial"/>
          <w:i/>
          <w:color w:val="000000"/>
          <w:kern w:val="0"/>
          <w:sz w:val="18"/>
          <w:szCs w:val="20"/>
          <w:lang w:val="es" w:eastAsia="es-ES" w:bidi="ar-SA"/>
        </w:rPr>
        <w:t xml:space="preserve"> </w:t>
      </w:r>
    </w:p>
    <w:p w14:paraId="370E52AA" w14:textId="77777777" w:rsidR="00F40EFD" w:rsidRDefault="00173713">
      <w:pPr>
        <w:widowControl/>
        <w:suppressAutoHyphens w:val="0"/>
        <w:ind w:left="567" w:right="709"/>
        <w:jc w:val="both"/>
        <w:textAlignment w:val="auto"/>
        <w:rPr>
          <w:rFonts w:ascii="Work Sans" w:eastAsia="DengXian Light" w:hAnsi="Work Sans" w:cs="Arial" w:hint="eastAsia"/>
          <w:i/>
          <w:color w:val="000000"/>
          <w:kern w:val="0"/>
          <w:sz w:val="18"/>
          <w:szCs w:val="20"/>
          <w:lang w:val="es" w:eastAsia="es-ES" w:bidi="ar-SA"/>
        </w:rPr>
      </w:pPr>
      <w:r>
        <w:rPr>
          <w:rFonts w:ascii="Work Sans" w:eastAsia="DengXian Light" w:hAnsi="Work Sans" w:cs="Arial"/>
          <w:i/>
          <w:color w:val="000000"/>
          <w:kern w:val="0"/>
          <w:sz w:val="18"/>
          <w:szCs w:val="20"/>
          <w:lang w:val="es" w:eastAsia="es-ES" w:bidi="ar-SA"/>
        </w:rPr>
        <w:t>6.15. Establecer los peajes, tarifas, tasas y derechos a cobrar por el uso de la infraestructura de los modos de transporte, excepto el aéreo. (…)”</w:t>
      </w:r>
    </w:p>
    <w:p w14:paraId="3B86052C" w14:textId="77777777" w:rsidR="00F40EFD" w:rsidRDefault="00F40EFD">
      <w:pPr>
        <w:widowControl/>
        <w:tabs>
          <w:tab w:val="left" w:pos="0"/>
        </w:tabs>
        <w:suppressAutoHyphens w:val="0"/>
        <w:ind w:right="709"/>
        <w:jc w:val="both"/>
        <w:textAlignment w:val="auto"/>
        <w:rPr>
          <w:rFonts w:ascii="Work Sans" w:eastAsia="DengXian Light" w:hAnsi="Work Sans" w:cs="Arial" w:hint="eastAsia"/>
          <w:i/>
          <w:color w:val="000000"/>
          <w:kern w:val="0"/>
          <w:sz w:val="20"/>
          <w:szCs w:val="20"/>
          <w:lang w:val="es" w:eastAsia="es-ES" w:bidi="ar-SA"/>
        </w:rPr>
      </w:pPr>
    </w:p>
    <w:p w14:paraId="1F81326B" w14:textId="77777777" w:rsidR="00F40EFD" w:rsidRDefault="00173713">
      <w:pPr>
        <w:ind w:right="49"/>
        <w:jc w:val="both"/>
      </w:pPr>
      <w:r>
        <w:rPr>
          <w:rStyle w:val="Fuentedeprrafopredeter1"/>
          <w:rFonts w:ascii="Work Sans" w:eastAsia="DengXian Light" w:hAnsi="Work Sans" w:cs="Arial"/>
          <w:color w:val="000000"/>
          <w:sz w:val="20"/>
          <w:szCs w:val="20"/>
          <w:lang w:val="es" w:eastAsia="es-ES"/>
        </w:rPr>
        <w:t xml:space="preserve">Que </w:t>
      </w:r>
      <w:r>
        <w:rPr>
          <w:rStyle w:val="Fuentedeprrafopredeter1"/>
          <w:rFonts w:ascii="Work Sans" w:eastAsia="DengXian Light" w:hAnsi="Work Sans" w:cs="Arial"/>
          <w:color w:val="000000"/>
          <w:kern w:val="0"/>
          <w:sz w:val="20"/>
          <w:szCs w:val="20"/>
          <w:lang w:val="es" w:eastAsia="es-ES" w:bidi="ar-SA"/>
        </w:rPr>
        <w:t xml:space="preserve">los numerales 1 y 5 del artículo 4 del Decreto 4165 de 2011 </w:t>
      </w:r>
      <w:r>
        <w:rPr>
          <w:rStyle w:val="Fuentedeprrafopredeter1"/>
          <w:rFonts w:ascii="Work Sans" w:eastAsia="DengXian Light" w:hAnsi="Work Sans" w:cs="Arial"/>
          <w:i/>
          <w:color w:val="000000"/>
          <w:sz w:val="20"/>
          <w:szCs w:val="20"/>
          <w:lang w:val="es" w:eastAsia="es-ES"/>
        </w:rPr>
        <w:t xml:space="preserve">“Por el cual por el cual se cambia la naturaleza jurídica, cambia de denominación y se fijan otras disposiciones del Instituto Nacional de Concesiones (INCO)” </w:t>
      </w:r>
      <w:r>
        <w:rPr>
          <w:rStyle w:val="Fuentedeprrafopredeter1"/>
          <w:rFonts w:ascii="Work Sans" w:eastAsia="DengXian Light" w:hAnsi="Work Sans" w:cs="Arial"/>
          <w:color w:val="000000"/>
          <w:kern w:val="0"/>
          <w:sz w:val="20"/>
          <w:szCs w:val="20"/>
          <w:lang w:val="es" w:eastAsia="es-ES" w:bidi="ar-SA"/>
        </w:rPr>
        <w:t>establece dentro de las funciones de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3A77E6A6" w14:textId="77777777" w:rsidR="00F40EFD" w:rsidRDefault="00F40EFD">
      <w:pPr>
        <w:ind w:right="49"/>
        <w:jc w:val="both"/>
        <w:rPr>
          <w:rFonts w:ascii="Work Sans" w:eastAsia="DengXian Light" w:hAnsi="Work Sans" w:cs="Arial" w:hint="eastAsia"/>
          <w:color w:val="000000"/>
          <w:sz w:val="20"/>
          <w:szCs w:val="20"/>
          <w:lang w:val="es" w:eastAsia="es-ES"/>
        </w:rPr>
      </w:pPr>
    </w:p>
    <w:p w14:paraId="24D8357D" w14:textId="77777777" w:rsidR="00F40EFD" w:rsidRDefault="00173713">
      <w:pPr>
        <w:ind w:right="49"/>
        <w:jc w:val="both"/>
      </w:pPr>
      <w:r>
        <w:rPr>
          <w:rStyle w:val="Fuentedeprrafopredeter1"/>
          <w:rFonts w:ascii="Work Sans" w:eastAsia="DengXian Light" w:hAnsi="Work Sans" w:cs="Arial"/>
          <w:color w:val="000000"/>
          <w:sz w:val="20"/>
          <w:szCs w:val="20"/>
          <w:lang w:val="es" w:eastAsia="es-ES"/>
        </w:rPr>
        <w:t>Que en este sentido, el numeral 14 del artículo 11 del Decreto 4165 de 2011 establece como función del Presidente de la Agencia Nacional de Infraestructura, la siguiente:</w:t>
      </w:r>
    </w:p>
    <w:p w14:paraId="1588C551" w14:textId="77777777" w:rsidR="00F40EFD" w:rsidRDefault="00F40EFD">
      <w:pPr>
        <w:ind w:right="49"/>
        <w:jc w:val="both"/>
        <w:rPr>
          <w:rFonts w:ascii="Work Sans" w:eastAsia="DengXian Light" w:hAnsi="Work Sans" w:cs="Arial" w:hint="eastAsia"/>
          <w:color w:val="000000"/>
          <w:sz w:val="18"/>
          <w:szCs w:val="20"/>
          <w:shd w:val="clear" w:color="auto" w:fill="FFFF00"/>
        </w:rPr>
      </w:pPr>
    </w:p>
    <w:p w14:paraId="3B068426" w14:textId="77777777" w:rsidR="00F40EFD" w:rsidRDefault="00173713">
      <w:pPr>
        <w:ind w:left="567" w:right="616"/>
        <w:jc w:val="both"/>
        <w:rPr>
          <w:rFonts w:ascii="Work Sans" w:eastAsia="DengXian Light" w:hAnsi="Work Sans" w:cs="Arial" w:hint="eastAsia"/>
          <w:i/>
          <w:color w:val="000000"/>
          <w:sz w:val="18"/>
          <w:szCs w:val="20"/>
        </w:rPr>
      </w:pPr>
      <w:r>
        <w:rPr>
          <w:rFonts w:ascii="Work Sans" w:eastAsia="DengXian Light" w:hAnsi="Work Sans" w:cs="Arial"/>
          <w:i/>
          <w:color w:val="000000"/>
          <w:sz w:val="18"/>
          <w:szCs w:val="20"/>
        </w:rPr>
        <w:t xml:space="preserve">“14. Proponer al Ministerio de Transporte o a las entidades competentes, las tarifas de peajes y tasas a cobrar por el uso de las áreas e infraestructura de transporte que haga parte de proyectos a cargo de la Agencia, de acuerdo con las políticas del Ministerio de Transporte.”   </w:t>
      </w:r>
    </w:p>
    <w:p w14:paraId="040889D7" w14:textId="77777777" w:rsidR="00F40EFD" w:rsidRDefault="00F40EFD">
      <w:pPr>
        <w:widowControl/>
        <w:jc w:val="both"/>
        <w:textAlignment w:val="auto"/>
        <w:rPr>
          <w:rFonts w:ascii="Work Sans" w:eastAsia="Times New Roman" w:hAnsi="Work Sans" w:cs="Arial"/>
          <w:color w:val="000000"/>
          <w:kern w:val="0"/>
          <w:sz w:val="20"/>
          <w:szCs w:val="20"/>
          <w:lang w:eastAsia="es-CO" w:bidi="ar-SA"/>
        </w:rPr>
      </w:pPr>
    </w:p>
    <w:p w14:paraId="569C9D06" w14:textId="77777777" w:rsidR="00F40EFD" w:rsidRDefault="00173713">
      <w:pPr>
        <w:widowControl/>
        <w:jc w:val="both"/>
        <w:textAlignment w:val="auto"/>
      </w:pPr>
      <w:r>
        <w:rPr>
          <w:rStyle w:val="Fuentedeprrafopredeter1"/>
          <w:rFonts w:ascii="Work Sans" w:eastAsia="Times New Roman" w:hAnsi="Work Sans" w:cs="Arial"/>
          <w:color w:val="000000"/>
          <w:kern w:val="0"/>
          <w:sz w:val="20"/>
          <w:szCs w:val="20"/>
          <w:lang w:val="es-CO" w:eastAsia="es-CO" w:bidi="ar-SA"/>
        </w:rPr>
        <w:t xml:space="preserve">Que el Instituto Nacional de Vías suscribió el Contrato de Concesión No. 445 de 1994, el cual fue subrogado al Instituto Nacional de Concesiones (hoy Agencia Nacional de Infraestructura) con la CONCESIÓN SANTA MARTA PARAGUACHÓN S.A., el 2 de agosto de 1994, cuyo objeto es: </w:t>
      </w:r>
      <w:r>
        <w:rPr>
          <w:rStyle w:val="Fuentedeprrafopredeter1"/>
          <w:rFonts w:ascii="Work Sans" w:eastAsia="Times New Roman" w:hAnsi="Work Sans" w:cs="Arial"/>
          <w:i/>
          <w:iCs/>
          <w:color w:val="000000"/>
          <w:kern w:val="0"/>
          <w:sz w:val="20"/>
          <w:szCs w:val="20"/>
          <w:lang w:val="es-CO" w:eastAsia="es-CO" w:bidi="ar-SA"/>
        </w:rPr>
        <w:t xml:space="preserve">“…realizar por el sistema de concesión los estudios, diseños definitivos, las obras de rehabilitación de construcción, la operación y el mantenimiento de los sectores Rio Palomino – Riohacha y Riohacha – Paraguachón y el mantenimiento y la operación del sector Santa Marta – Rio Palomino, Ruta 90 en los Departamentos del Magdalena y La Guajira. Las actividades incluidas para cumplir el objeto del contrato son: Estudios y Diseños finales, financiación, construcción, </w:t>
      </w:r>
      <w:r>
        <w:rPr>
          <w:rStyle w:val="Fuentedeprrafopredeter1"/>
          <w:rFonts w:ascii="Work Sans" w:eastAsia="Times New Roman" w:hAnsi="Work Sans" w:cs="Arial"/>
          <w:i/>
          <w:iCs/>
          <w:color w:val="000000"/>
          <w:kern w:val="0"/>
          <w:sz w:val="20"/>
          <w:szCs w:val="20"/>
          <w:lang w:val="es-CO" w:eastAsia="es-CO" w:bidi="ar-SA"/>
        </w:rPr>
        <w:lastRenderedPageBreak/>
        <w:t>suministro, instalación, montaje y prueba de los equipos, puesta en funcionamiento y operación del proyecto, las cuales deben hacerse en un todo de acuerdo con las condiciones, términos, alcances y obligaciones establecidas en este documento, en la oferta del CONCESIONARIO negociada y aceptada por Instituto Nacional de Vías, en el pliego de condiciones anexo a la invitación a presentar ofertas dentro del proceso de contratación directa, y en los pliegos de la licitación pública No. 095-93”.</w:t>
      </w:r>
    </w:p>
    <w:p w14:paraId="5140D78E" w14:textId="77777777" w:rsidR="00F40EFD" w:rsidRDefault="00F40EFD">
      <w:pPr>
        <w:widowControl/>
        <w:jc w:val="both"/>
        <w:textAlignment w:val="auto"/>
        <w:rPr>
          <w:rFonts w:ascii="Work Sans" w:eastAsia="Times New Roman" w:hAnsi="Work Sans" w:cs="Arial"/>
          <w:color w:val="000000"/>
          <w:kern w:val="0"/>
          <w:sz w:val="20"/>
          <w:szCs w:val="20"/>
          <w:lang w:eastAsia="es-CO" w:bidi="ar-SA"/>
        </w:rPr>
      </w:pPr>
    </w:p>
    <w:p w14:paraId="3F9A3D66" w14:textId="77777777" w:rsidR="00F40EFD" w:rsidRDefault="00173713">
      <w:pPr>
        <w:widowControl/>
        <w:jc w:val="both"/>
        <w:textAlignment w:val="auto"/>
      </w:pPr>
      <w:r>
        <w:rPr>
          <w:rStyle w:val="Fuentedeprrafopredeter1"/>
          <w:rFonts w:ascii="Work Sans" w:eastAsia="Times New Roman" w:hAnsi="Work Sans" w:cs="Arial"/>
          <w:color w:val="000000"/>
          <w:kern w:val="0"/>
          <w:sz w:val="20"/>
          <w:szCs w:val="20"/>
          <w:lang w:val="es-CO" w:eastAsia="es-CO" w:bidi="ar-SA"/>
        </w:rPr>
        <w:t>Que en consecuencia, el Ministerio de Transporte expidió la Resolución Nº 001444 del 17 de marzo de 1995 </w:t>
      </w:r>
      <w:r>
        <w:rPr>
          <w:rStyle w:val="Fuentedeprrafopredeter1"/>
          <w:rFonts w:ascii="Work Sans" w:eastAsia="Times New Roman" w:hAnsi="Work Sans" w:cs="Arial"/>
          <w:i/>
          <w:color w:val="000000"/>
          <w:kern w:val="0"/>
          <w:sz w:val="20"/>
          <w:szCs w:val="20"/>
          <w:lang w:val="es-CO" w:eastAsia="es-CO" w:bidi="ar-SA"/>
        </w:rPr>
        <w:t xml:space="preserve">“Por la cual se aprueban las tarifas de peaje y procedimientos de ajuste para la concesión de los tramos de carretera: Santa Marta – Río Palomino – Riohacha – Paraguachón, de la ruta 90”, </w:t>
      </w:r>
      <w:r>
        <w:rPr>
          <w:rStyle w:val="Fuentedeprrafopredeter1"/>
          <w:rFonts w:ascii="Work Sans" w:eastAsia="Times New Roman" w:hAnsi="Work Sans" w:cs="Arial"/>
          <w:color w:val="000000"/>
          <w:kern w:val="0"/>
          <w:sz w:val="20"/>
          <w:szCs w:val="20"/>
          <w:lang w:val="es-CO" w:eastAsia="es-CO" w:bidi="ar-SA"/>
        </w:rPr>
        <w:t xml:space="preserve">en la cual se encuentra la caseta de peaje denominada Alto Pino. </w:t>
      </w:r>
    </w:p>
    <w:p w14:paraId="1B325197" w14:textId="77777777" w:rsidR="00F40EFD" w:rsidRDefault="00173713">
      <w:pPr>
        <w:widowControl/>
        <w:jc w:val="both"/>
        <w:textAlignment w:val="auto"/>
        <w:rPr>
          <w:rFonts w:ascii="Work Sans" w:eastAsia="Times New Roman" w:hAnsi="Work Sans" w:cs="Arial"/>
          <w:color w:val="000000"/>
          <w:kern w:val="0"/>
          <w:sz w:val="20"/>
          <w:szCs w:val="20"/>
          <w:lang w:val="es-CO" w:eastAsia="es-CO" w:bidi="ar-SA"/>
        </w:rPr>
      </w:pPr>
      <w:r>
        <w:rPr>
          <w:rFonts w:ascii="Work Sans" w:eastAsia="Times New Roman" w:hAnsi="Work Sans" w:cs="Arial"/>
          <w:color w:val="000000"/>
          <w:kern w:val="0"/>
          <w:sz w:val="20"/>
          <w:szCs w:val="20"/>
          <w:lang w:val="es-CO" w:eastAsia="es-CO" w:bidi="ar-SA"/>
        </w:rPr>
        <w:t> </w:t>
      </w:r>
    </w:p>
    <w:p w14:paraId="7470D808" w14:textId="77777777" w:rsidR="00F40EFD" w:rsidRDefault="00173713">
      <w:pPr>
        <w:widowControl/>
        <w:jc w:val="both"/>
        <w:textAlignment w:val="auto"/>
      </w:pPr>
      <w:r>
        <w:rPr>
          <w:rStyle w:val="Fuentedeprrafopredeter1"/>
          <w:rFonts w:ascii="Work Sans" w:eastAsia="Times New Roman" w:hAnsi="Work Sans" w:cs="Arial"/>
          <w:color w:val="000000"/>
          <w:kern w:val="0"/>
          <w:sz w:val="20"/>
          <w:szCs w:val="20"/>
          <w:lang w:val="es-CO" w:eastAsia="es-CO" w:bidi="ar-SA"/>
        </w:rPr>
        <w:t xml:space="preserve">Que el Ministerio de Transporte expidió la Resolución No. 0001246 del 16 de mayo de 2014 </w:t>
      </w:r>
      <w:r>
        <w:rPr>
          <w:rStyle w:val="Fuentedeprrafopredeter1"/>
          <w:rFonts w:ascii="Work Sans" w:eastAsia="Times New Roman" w:hAnsi="Work Sans" w:cs="Arial"/>
          <w:i/>
          <w:iCs/>
          <w:color w:val="000000"/>
          <w:kern w:val="0"/>
          <w:sz w:val="20"/>
          <w:szCs w:val="20"/>
          <w:lang w:val="es-CO" w:eastAsia="es-CO" w:bidi="ar-SA"/>
        </w:rPr>
        <w:t>“Por la cual se establece una tarifa especial diferencial para la estación de peaje de Alto Pino”,</w:t>
      </w:r>
      <w:r>
        <w:rPr>
          <w:rStyle w:val="Fuentedeprrafopredeter1"/>
          <w:rFonts w:ascii="Work Sans" w:eastAsia="Times New Roman" w:hAnsi="Work Sans" w:cs="Arial"/>
          <w:color w:val="000000"/>
          <w:kern w:val="0"/>
          <w:sz w:val="20"/>
          <w:szCs w:val="20"/>
          <w:lang w:val="es-CO" w:eastAsia="es-CO" w:bidi="ar-SA"/>
        </w:rPr>
        <w:t xml:space="preserve"> y estableció en el artículo 3°, los requisitos para obtener el beneficio de tarifa especial diferencial en el Peaje de Alto Pino.</w:t>
      </w:r>
    </w:p>
    <w:p w14:paraId="281CA45E" w14:textId="77777777" w:rsidR="00F40EFD" w:rsidRDefault="00F40EFD">
      <w:pPr>
        <w:widowControl/>
        <w:jc w:val="both"/>
        <w:textAlignment w:val="auto"/>
        <w:rPr>
          <w:rFonts w:ascii="Work Sans" w:eastAsia="Times New Roman" w:hAnsi="Work Sans" w:cs="Arial"/>
          <w:color w:val="000000"/>
          <w:kern w:val="0"/>
          <w:sz w:val="20"/>
          <w:szCs w:val="20"/>
          <w:lang w:val="es-CO" w:eastAsia="es-CO" w:bidi="ar-SA"/>
        </w:rPr>
      </w:pPr>
    </w:p>
    <w:p w14:paraId="6DDA6E8E" w14:textId="77777777" w:rsidR="00F40EFD" w:rsidRDefault="00173713">
      <w:pPr>
        <w:widowControl/>
        <w:jc w:val="both"/>
        <w:textAlignment w:val="auto"/>
      </w:pPr>
      <w:r>
        <w:rPr>
          <w:rStyle w:val="Fuentedeprrafopredeter1"/>
          <w:rFonts w:ascii="Work Sans" w:eastAsia="Times New Roman" w:hAnsi="Work Sans" w:cs="Arial"/>
          <w:color w:val="000000"/>
          <w:kern w:val="0"/>
          <w:sz w:val="20"/>
          <w:szCs w:val="20"/>
          <w:lang w:val="es-CO" w:eastAsia="es-CO" w:bidi="ar-SA"/>
        </w:rPr>
        <w:t xml:space="preserve">Que posteriormente, a través de la Resolución No. 0000035 del 13 de enero de 2015 del Ministerio de Transporte se derogó la citada Resolución Nº 0001246 de 2014 y se establecieron tarifas diferenciales para las categorías I E y II E para el peaje Alto Pino, entre otros, con fundamento en lo siguiente: </w:t>
      </w:r>
    </w:p>
    <w:p w14:paraId="6FD03791" w14:textId="77777777" w:rsidR="00F40EFD" w:rsidRDefault="00F40EFD">
      <w:pPr>
        <w:widowControl/>
        <w:ind w:left="567"/>
        <w:jc w:val="both"/>
        <w:textAlignment w:val="auto"/>
        <w:rPr>
          <w:rFonts w:ascii="Work Sans" w:eastAsia="Times New Roman" w:hAnsi="Work Sans" w:cs="Arial"/>
          <w:i/>
          <w:color w:val="000000"/>
          <w:kern w:val="0"/>
          <w:sz w:val="20"/>
          <w:szCs w:val="20"/>
          <w:lang w:val="es-CO" w:eastAsia="es-CO" w:bidi="ar-SA"/>
        </w:rPr>
      </w:pPr>
    </w:p>
    <w:p w14:paraId="21F0AACA" w14:textId="77777777" w:rsidR="00F40EFD" w:rsidRDefault="00173713">
      <w:pPr>
        <w:widowControl/>
        <w:ind w:left="567" w:right="566"/>
        <w:jc w:val="both"/>
        <w:textAlignment w:val="auto"/>
      </w:pPr>
      <w:r>
        <w:rPr>
          <w:rStyle w:val="Fuentedeprrafopredeter1"/>
          <w:rFonts w:ascii="Work Sans" w:eastAsia="Times New Roman" w:hAnsi="Work Sans" w:cs="Arial"/>
          <w:i/>
          <w:color w:val="000000"/>
          <w:kern w:val="0"/>
          <w:sz w:val="18"/>
          <w:szCs w:val="20"/>
          <w:lang w:val="es-CO" w:eastAsia="es-CO" w:bidi="ar-SA"/>
        </w:rPr>
        <w:t>“Que mediante acta de compromiso del 11 de septiembre de 2000, suscrita entre representantes del Invías y los representantes del gremio transportador se acordó otorgar una tarifa diferencial correspondiente al cincuenta por ciento (50%) sobre el valor pleno para la categoría I a los taxistas que cubren la ruta Riohacha-Maicao, a partir del 2 de octubre del 2000, quedando como compromiso al 15 de septiembre de 2000 que el gremio transportador presente el listado de vehículos, donde garantice una circulación mínima del setenta por ciento (70%) de los vehículos inscritos, tarifa que se reajusta conforme lo establece el Contrato número 445 de 1994 para las tarifas plenas.</w:t>
      </w:r>
    </w:p>
    <w:p w14:paraId="28D4DDA1" w14:textId="77777777" w:rsidR="00F40EFD" w:rsidRDefault="00173713">
      <w:pPr>
        <w:widowControl/>
        <w:ind w:left="567" w:right="566"/>
        <w:jc w:val="both"/>
        <w:textAlignment w:val="auto"/>
        <w:rPr>
          <w:rFonts w:ascii="Work Sans" w:eastAsia="Times New Roman" w:hAnsi="Work Sans" w:cs="Arial"/>
          <w:i/>
          <w:color w:val="000000"/>
          <w:kern w:val="0"/>
          <w:sz w:val="18"/>
          <w:szCs w:val="20"/>
          <w:lang w:val="es-CO" w:eastAsia="es-CO" w:bidi="ar-SA"/>
        </w:rPr>
      </w:pPr>
      <w:r>
        <w:rPr>
          <w:rFonts w:ascii="Work Sans" w:eastAsia="Times New Roman" w:hAnsi="Work Sans" w:cs="Arial"/>
          <w:i/>
          <w:color w:val="000000"/>
          <w:kern w:val="0"/>
          <w:sz w:val="18"/>
          <w:szCs w:val="20"/>
          <w:lang w:val="es-CO" w:eastAsia="es-CO" w:bidi="ar-SA"/>
        </w:rPr>
        <w:t> </w:t>
      </w:r>
    </w:p>
    <w:p w14:paraId="09471F97" w14:textId="77777777" w:rsidR="00F40EFD" w:rsidRDefault="00173713">
      <w:pPr>
        <w:widowControl/>
        <w:ind w:left="567" w:right="566"/>
        <w:jc w:val="both"/>
        <w:textAlignment w:val="auto"/>
      </w:pPr>
      <w:r>
        <w:rPr>
          <w:rStyle w:val="Fuentedeprrafopredeter1"/>
          <w:rFonts w:ascii="Work Sans" w:eastAsia="Times New Roman" w:hAnsi="Work Sans" w:cs="Arial"/>
          <w:i/>
          <w:color w:val="000000"/>
          <w:kern w:val="0"/>
          <w:sz w:val="18"/>
          <w:szCs w:val="20"/>
          <w:lang w:val="es-CO" w:eastAsia="es-CO" w:bidi="ar-SA"/>
        </w:rPr>
        <w:t>Que mediante reunión celebrada entre los representantes de los propietarios de la Ruta Riohacha-Maicao, el Invías y la Concesión Santa Marta Paraguachón S.A., el 22 de enero de 2001, los representantes de las empresas que cubren la ruta Riohacha-Maicao, presentaron un nuevo censo de vehículos depurados. De igual manera el gremio transportador solicitó considerar la elaboración de un otrosí al Acta de septiembre 11 de 2000, modificando el numeral 1 en el sentido de flexibilizar el compromiso de paso por la estación de peaje, máximo cuatro (4) veces al día por vehículo, para los días domingos y festivos ya que el volumen de pasajeros se reduce a un setenta por ciento (70%), aproximadamente.”</w:t>
      </w:r>
    </w:p>
    <w:p w14:paraId="08939CE1" w14:textId="77777777" w:rsidR="00F40EFD" w:rsidRDefault="00173713">
      <w:pPr>
        <w:widowControl/>
        <w:ind w:left="567" w:right="566"/>
        <w:jc w:val="both"/>
        <w:textAlignment w:val="auto"/>
        <w:rPr>
          <w:rFonts w:ascii="Work Sans" w:eastAsia="Times New Roman" w:hAnsi="Work Sans" w:cs="Arial"/>
          <w:i/>
          <w:color w:val="000000"/>
          <w:kern w:val="0"/>
          <w:sz w:val="20"/>
          <w:szCs w:val="20"/>
          <w:lang w:val="es-CO" w:eastAsia="es-CO" w:bidi="ar-SA"/>
        </w:rPr>
      </w:pPr>
      <w:r>
        <w:rPr>
          <w:rFonts w:ascii="Work Sans" w:eastAsia="Times New Roman" w:hAnsi="Work Sans" w:cs="Arial"/>
          <w:i/>
          <w:color w:val="000000"/>
          <w:kern w:val="0"/>
          <w:sz w:val="20"/>
          <w:szCs w:val="20"/>
          <w:lang w:val="es-CO" w:eastAsia="es-CO" w:bidi="ar-SA"/>
        </w:rPr>
        <w:t> </w:t>
      </w:r>
    </w:p>
    <w:p w14:paraId="21F61FFC" w14:textId="77777777" w:rsidR="00F40EFD" w:rsidRDefault="00173713">
      <w:pPr>
        <w:widowControl/>
        <w:jc w:val="both"/>
        <w:textAlignment w:val="auto"/>
      </w:pPr>
      <w:r>
        <w:rPr>
          <w:rStyle w:val="Fuentedeprrafopredeter1"/>
          <w:rFonts w:ascii="Work Sans" w:eastAsia="Times New Roman" w:hAnsi="Work Sans" w:cs="Arial"/>
          <w:color w:val="000000"/>
          <w:kern w:val="0"/>
          <w:sz w:val="20"/>
          <w:szCs w:val="20"/>
          <w:lang w:val="es-CO" w:eastAsia="es-CO" w:bidi="ar-SA"/>
        </w:rPr>
        <w:t xml:space="preserve">Que mediante Resoluciones 0003023 de 2015, 0002763 de 2016, 002174 de 2017 y 0002513 de 2018 se prorrogó el término previsto para remitir documentos para mantener el beneficio. </w:t>
      </w:r>
    </w:p>
    <w:p w14:paraId="7A35BB85" w14:textId="77777777" w:rsidR="00F40EFD" w:rsidRDefault="00173713">
      <w:pPr>
        <w:widowControl/>
        <w:ind w:left="567" w:right="566"/>
        <w:jc w:val="both"/>
        <w:textAlignment w:val="auto"/>
        <w:rPr>
          <w:rFonts w:ascii="Work Sans" w:eastAsia="Times New Roman" w:hAnsi="Work Sans" w:cs="Arial"/>
          <w:i/>
          <w:color w:val="000000"/>
          <w:kern w:val="0"/>
          <w:sz w:val="20"/>
          <w:szCs w:val="20"/>
          <w:lang w:val="es-CO" w:eastAsia="es-CO" w:bidi="ar-SA"/>
        </w:rPr>
      </w:pPr>
      <w:r>
        <w:rPr>
          <w:rFonts w:ascii="Work Sans" w:eastAsia="Times New Roman" w:hAnsi="Work Sans" w:cs="Arial"/>
          <w:i/>
          <w:color w:val="000000"/>
          <w:kern w:val="0"/>
          <w:sz w:val="20"/>
          <w:szCs w:val="20"/>
          <w:lang w:val="es-CO" w:eastAsia="es-CO" w:bidi="ar-SA"/>
        </w:rPr>
        <w:t> </w:t>
      </w:r>
    </w:p>
    <w:p w14:paraId="7A67C743" w14:textId="77777777" w:rsidR="00F40EFD" w:rsidRDefault="00173713">
      <w:pPr>
        <w:widowControl/>
        <w:jc w:val="both"/>
        <w:textAlignment w:val="auto"/>
        <w:rPr>
          <w:rFonts w:ascii="Work Sans" w:eastAsia="Times New Roman" w:hAnsi="Work Sans" w:cs="Arial"/>
          <w:color w:val="000000"/>
          <w:kern w:val="0"/>
          <w:sz w:val="20"/>
          <w:szCs w:val="20"/>
          <w:lang w:val="es-CO" w:eastAsia="es-CO" w:bidi="ar-SA"/>
        </w:rPr>
      </w:pPr>
      <w:r>
        <w:rPr>
          <w:rFonts w:ascii="Work Sans" w:eastAsia="Times New Roman" w:hAnsi="Work Sans" w:cs="Arial"/>
          <w:color w:val="000000"/>
          <w:kern w:val="0"/>
          <w:sz w:val="20"/>
          <w:szCs w:val="20"/>
          <w:lang w:val="es-CO" w:eastAsia="es-CO" w:bidi="ar-SA"/>
        </w:rPr>
        <w:t>Que la Agencia Nacional de Infraestructura mediante oficios ANI No. 20183000406781 del 6 de diciembre de 2018, 20195000091031 del 22 de marzo de 2019 y 20195000141731 del 8 de mayo de 2019, solicita al Ministerio de Transporte pronunciamiento sobre la modificación de requisitos de cumplimiento por parte de los beneficiarios de la tarifa diferencial establecidos en la Resolución 0000035 de 2015.</w:t>
      </w:r>
    </w:p>
    <w:p w14:paraId="7A544F8B" w14:textId="77777777" w:rsidR="00F40EFD" w:rsidRDefault="00F40EFD">
      <w:pPr>
        <w:widowControl/>
        <w:suppressAutoHyphens w:val="0"/>
        <w:jc w:val="both"/>
        <w:textAlignment w:val="auto"/>
        <w:rPr>
          <w:rFonts w:ascii="Work Sans" w:eastAsia="DengXian Light" w:hAnsi="Work Sans" w:cs="Arial" w:hint="eastAsia"/>
          <w:color w:val="000000"/>
          <w:kern w:val="0"/>
          <w:sz w:val="20"/>
          <w:szCs w:val="20"/>
          <w:lang w:val="es" w:eastAsia="es-ES" w:bidi="ar-SA"/>
        </w:rPr>
      </w:pPr>
    </w:p>
    <w:p w14:paraId="0F7C9198" w14:textId="77777777" w:rsidR="00F40EFD" w:rsidRDefault="00173713">
      <w:pPr>
        <w:ind w:right="-1"/>
        <w:jc w:val="both"/>
      </w:pPr>
      <w:r>
        <w:rPr>
          <w:rStyle w:val="Fuentedeprrafopredeter1"/>
          <w:rFonts w:ascii="Work Sans" w:eastAsia="DengXian Light" w:hAnsi="Work Sans" w:cs="Arial"/>
          <w:color w:val="000000"/>
          <w:kern w:val="0"/>
          <w:sz w:val="20"/>
          <w:szCs w:val="20"/>
          <w:lang w:val="es" w:eastAsia="es-ES" w:bidi="ar-SA"/>
        </w:rPr>
        <w:t xml:space="preserve">Que conforme a las </w:t>
      </w:r>
      <w:r>
        <w:rPr>
          <w:rStyle w:val="Fuentedeprrafopredeter1"/>
          <w:rFonts w:ascii="Work Sans" w:eastAsia="Times New Roman" w:hAnsi="Work Sans" w:cs="Arial"/>
          <w:color w:val="000000"/>
          <w:kern w:val="0"/>
          <w:sz w:val="20"/>
          <w:szCs w:val="20"/>
          <w:lang w:val="es-CO" w:eastAsia="es-CO" w:bidi="ar-SA"/>
        </w:rPr>
        <w:t>funciones y competencias de la</w:t>
      </w:r>
      <w:r>
        <w:rPr>
          <w:rStyle w:val="Fuentedeprrafopredeter1"/>
          <w:rFonts w:ascii="Work Sans" w:eastAsia="DengXian Light" w:hAnsi="Work Sans" w:cs="Arial"/>
          <w:color w:val="000000"/>
          <w:kern w:val="0"/>
          <w:sz w:val="20"/>
          <w:szCs w:val="20"/>
          <w:lang w:val="es" w:eastAsia="es-ES" w:bidi="ar-SA"/>
        </w:rPr>
        <w:t xml:space="preserve"> Agencia Nacional de Infraestructura de conformidad con el Decreto 4165 de 2011 como entidad </w:t>
      </w:r>
      <w:r>
        <w:rPr>
          <w:rStyle w:val="Fuentedeprrafopredeter1"/>
          <w:rFonts w:ascii="Work Sans" w:eastAsia="Times New Roman" w:hAnsi="Work Sans" w:cs="Arial"/>
          <w:color w:val="000000"/>
          <w:kern w:val="0"/>
          <w:sz w:val="20"/>
          <w:szCs w:val="20"/>
          <w:lang w:val="es-CO" w:eastAsia="es-CO" w:bidi="ar-SA"/>
        </w:rPr>
        <w:t xml:space="preserve">del sector descentralizado de la Rama Ejecutiva del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técnicos, reuniones de socialización, concertación y acuerdos con usuarios y comunidades, llevados a cabo en virtud de sus competencias funcionales, le corresponde a la Agencia </w:t>
      </w:r>
      <w:r>
        <w:rPr>
          <w:rStyle w:val="Fuentedeprrafopredeter1"/>
          <w:rFonts w:ascii="Work Sans" w:hAnsi="Work Sans" w:cs="Arial"/>
          <w:color w:val="000000"/>
          <w:sz w:val="20"/>
          <w:szCs w:val="20"/>
        </w:rPr>
        <w:t xml:space="preserve">fijar los requisitos para acreditar la calidad de beneficiario, el procedimiento para acceder al beneficio, los mecanismos de otorgamiento, reemplazo y control y las causales de pérdida del beneficio, de las tasas diferenciales de peajes. </w:t>
      </w:r>
    </w:p>
    <w:p w14:paraId="38EA1EB4" w14:textId="77777777" w:rsidR="00F40EFD" w:rsidRDefault="00F40EFD">
      <w:pPr>
        <w:ind w:right="-1"/>
        <w:jc w:val="both"/>
      </w:pPr>
    </w:p>
    <w:p w14:paraId="08A8B8DC" w14:textId="77777777" w:rsidR="00F40EFD" w:rsidRDefault="00173713">
      <w:pPr>
        <w:ind w:right="-1"/>
        <w:jc w:val="both"/>
      </w:pPr>
      <w:r>
        <w:rPr>
          <w:rStyle w:val="Fuentedeprrafopredeter1"/>
          <w:rFonts w:ascii="Work Sans" w:hAnsi="Work Sans" w:cs="Arial"/>
          <w:color w:val="000000"/>
          <w:sz w:val="20"/>
          <w:szCs w:val="20"/>
        </w:rPr>
        <w:t xml:space="preserve">Que en consecuencia, se estima pertinente modificar el artículo 3 de la </w:t>
      </w:r>
      <w:r>
        <w:rPr>
          <w:rStyle w:val="Fuentedeprrafopredeter1"/>
          <w:rFonts w:ascii="Work Sans" w:eastAsia="Times New Roman" w:hAnsi="Work Sans" w:cs="Arial"/>
          <w:color w:val="000000"/>
          <w:kern w:val="0"/>
          <w:sz w:val="20"/>
          <w:szCs w:val="20"/>
          <w:lang w:val="es-CO" w:eastAsia="es-CO" w:bidi="ar-SA"/>
        </w:rPr>
        <w:t>Resolución No. 0000035 del 13 de enero de 2015 del Ministerio de Transporte, en el sentido de establecer que la</w:t>
      </w:r>
      <w:r>
        <w:rPr>
          <w:rStyle w:val="Fuentedeprrafopredeter1"/>
          <w:rFonts w:ascii="Work Sans" w:hAnsi="Work Sans" w:cs="Arial"/>
          <w:color w:val="000000"/>
          <w:sz w:val="20"/>
          <w:szCs w:val="20"/>
        </w:rPr>
        <w:t xml:space="preserve"> Agencia Nacional de Infraestructura fijará los requisitos para acreditar la calidad de beneficiario, el procedimiento para acceder al beneficio, los mecanismos de otorgamiento, reemplazo y control y las causales de pérdida del beneficio, de las tarifas diferenciales IE y IIE en la estación de Peaje Alto Pino, y en consecuencia derogar los artículos 4 y 5 de la citada resolución.</w:t>
      </w:r>
    </w:p>
    <w:p w14:paraId="4BC87EC0" w14:textId="77777777" w:rsidR="00F40EFD" w:rsidRDefault="00F40EFD">
      <w:pPr>
        <w:widowControl/>
        <w:suppressAutoHyphens w:val="0"/>
        <w:jc w:val="both"/>
        <w:textAlignment w:val="auto"/>
        <w:rPr>
          <w:rFonts w:ascii="Work Sans" w:eastAsia="DengXian Light" w:hAnsi="Work Sans" w:cs="Arial" w:hint="eastAsia"/>
          <w:color w:val="000000"/>
          <w:kern w:val="0"/>
          <w:sz w:val="20"/>
          <w:szCs w:val="20"/>
          <w:lang w:val="es" w:eastAsia="es-ES" w:bidi="ar-SA"/>
        </w:rPr>
      </w:pPr>
    </w:p>
    <w:p w14:paraId="65B379BE" w14:textId="77777777" w:rsidR="00F40EFD" w:rsidRDefault="00173713">
      <w:pPr>
        <w:widowControl/>
        <w:autoSpaceDE w:val="0"/>
        <w:jc w:val="both"/>
        <w:rPr>
          <w:rFonts w:ascii="Work Sans" w:eastAsia="DengXian Light" w:hAnsi="Work Sans" w:cs="Arial" w:hint="eastAsia"/>
          <w:color w:val="000000"/>
          <w:sz w:val="20"/>
          <w:szCs w:val="20"/>
          <w:lang w:bidi="ar-SA"/>
        </w:rPr>
      </w:pPr>
      <w:r>
        <w:rPr>
          <w:rFonts w:ascii="Work Sans" w:eastAsia="DengXian Light" w:hAnsi="Work Sans" w:cs="Arial"/>
          <w:color w:val="000000"/>
          <w:sz w:val="20"/>
          <w:szCs w:val="20"/>
          <w:lang w:bidi="ar-SA"/>
        </w:rPr>
        <w:t>Que el contenido de la presente resolución fue publicado en la página web del Ministerio de Transporte y en la página Web de la Agencia Nacional de Infraestructura,  en cumplimiento de lo determinado en el numeral 8 del artículo 8° de la Ley 1437 de 2011, Decreto 1081 de 2015 modificado por el Decreto 270 de 2017, con el objeto de recibir opiniones, sugerencias o propuestas alternativas y mediante certificaciones  del Ministerio de Transporte y la Agencia Nacional de Infraestructura se informó que XXXXXXXXXXX</w:t>
      </w:r>
    </w:p>
    <w:p w14:paraId="315260BD" w14:textId="77777777" w:rsidR="00F40EFD" w:rsidRDefault="00F40EFD">
      <w:pPr>
        <w:pStyle w:val="Standard"/>
        <w:autoSpaceDE w:val="0"/>
        <w:jc w:val="both"/>
        <w:rPr>
          <w:rFonts w:ascii="Work Sans" w:eastAsia="DengXian Light" w:hAnsi="Work Sans" w:cs="Arial" w:hint="eastAsia"/>
          <w:color w:val="000000"/>
          <w:sz w:val="20"/>
        </w:rPr>
      </w:pPr>
    </w:p>
    <w:p w14:paraId="40561005" w14:textId="77777777" w:rsidR="00F40EFD" w:rsidRDefault="00173713">
      <w:pPr>
        <w:pStyle w:val="Standard"/>
        <w:autoSpaceDE w:val="0"/>
        <w:jc w:val="both"/>
        <w:rPr>
          <w:rFonts w:ascii="Work Sans" w:eastAsia="DengXian Light" w:hAnsi="Work Sans" w:cs="Arial" w:hint="eastAsia"/>
          <w:color w:val="000000"/>
          <w:sz w:val="20"/>
        </w:rPr>
      </w:pPr>
      <w:r>
        <w:rPr>
          <w:rFonts w:ascii="Work Sans" w:eastAsia="DengXian Light" w:hAnsi="Work Sans" w:cs="Arial"/>
          <w:color w:val="000000"/>
          <w:sz w:val="20"/>
        </w:rPr>
        <w:t>Que la Oficina Asesora de Jurídica conservará los documentos asociados al proceso de divulgación y participación ciudadana incluidos los cronogramas, actas, comentarios, grabaciones e informes que evidencien la publicidad del proyecto y la participación de los ciudadanos y grupos de interés, así como los estudios, las observaciones presentadas frente al presente acto administrativo y las respuestas dadas. Todo ello en concordancia con las políticas de gestión documental y de archivo de la entidad.</w:t>
      </w:r>
    </w:p>
    <w:p w14:paraId="40B17618" w14:textId="77777777" w:rsidR="00F40EFD" w:rsidRDefault="00F40EFD">
      <w:pPr>
        <w:widowControl/>
        <w:jc w:val="both"/>
        <w:textAlignment w:val="auto"/>
        <w:rPr>
          <w:rFonts w:ascii="Work Sans" w:eastAsia="Times New Roman" w:hAnsi="Work Sans" w:cs="Arial"/>
          <w:color w:val="000000"/>
          <w:kern w:val="0"/>
          <w:sz w:val="20"/>
          <w:szCs w:val="20"/>
          <w:lang w:eastAsia="es-CO" w:bidi="ar-SA"/>
        </w:rPr>
      </w:pPr>
    </w:p>
    <w:p w14:paraId="730C4E3B" w14:textId="77777777" w:rsidR="00F40EFD" w:rsidRDefault="00173713">
      <w:pPr>
        <w:widowControl/>
        <w:jc w:val="both"/>
        <w:textAlignment w:val="auto"/>
        <w:rPr>
          <w:rFonts w:ascii="Work Sans" w:eastAsia="Times New Roman" w:hAnsi="Work Sans" w:cs="Arial"/>
          <w:color w:val="000000"/>
          <w:kern w:val="0"/>
          <w:sz w:val="20"/>
          <w:szCs w:val="20"/>
          <w:lang w:val="es-CO" w:eastAsia="es-CO" w:bidi="ar-SA"/>
        </w:rPr>
      </w:pPr>
      <w:r>
        <w:rPr>
          <w:rFonts w:ascii="Work Sans" w:eastAsia="Times New Roman" w:hAnsi="Work Sans" w:cs="Arial"/>
          <w:color w:val="000000"/>
          <w:kern w:val="0"/>
          <w:sz w:val="20"/>
          <w:szCs w:val="20"/>
          <w:lang w:val="es-CO" w:eastAsia="es-CO" w:bidi="ar-SA"/>
        </w:rPr>
        <w:t>Que en mérito de lo expuesto,</w:t>
      </w:r>
    </w:p>
    <w:p w14:paraId="3A2233A1" w14:textId="77777777" w:rsidR="00F40EFD" w:rsidRDefault="00173713">
      <w:pPr>
        <w:widowControl/>
        <w:jc w:val="both"/>
        <w:textAlignment w:val="auto"/>
        <w:rPr>
          <w:rFonts w:ascii="Work Sans" w:eastAsia="Times New Roman" w:hAnsi="Work Sans" w:cs="Arial"/>
          <w:color w:val="000000"/>
          <w:kern w:val="0"/>
          <w:sz w:val="20"/>
          <w:szCs w:val="20"/>
          <w:lang w:val="es-CO" w:eastAsia="es-CO" w:bidi="ar-SA"/>
        </w:rPr>
      </w:pPr>
      <w:r>
        <w:rPr>
          <w:rFonts w:ascii="Work Sans" w:eastAsia="Times New Roman" w:hAnsi="Work Sans" w:cs="Arial"/>
          <w:color w:val="000000"/>
          <w:kern w:val="0"/>
          <w:sz w:val="20"/>
          <w:szCs w:val="20"/>
          <w:lang w:val="es-CO" w:eastAsia="es-CO" w:bidi="ar-SA"/>
        </w:rPr>
        <w:t> </w:t>
      </w:r>
    </w:p>
    <w:p w14:paraId="4D238D9D" w14:textId="77777777" w:rsidR="00F40EFD" w:rsidRDefault="00173713">
      <w:pPr>
        <w:widowControl/>
        <w:jc w:val="center"/>
        <w:textAlignment w:val="auto"/>
        <w:rPr>
          <w:rFonts w:ascii="Work Sans" w:eastAsia="Times New Roman" w:hAnsi="Work Sans" w:cs="Arial"/>
          <w:b/>
          <w:color w:val="000000"/>
          <w:kern w:val="0"/>
          <w:sz w:val="20"/>
          <w:szCs w:val="20"/>
          <w:lang w:val="es-CO" w:eastAsia="es-CO" w:bidi="ar-SA"/>
        </w:rPr>
      </w:pPr>
      <w:r>
        <w:rPr>
          <w:rFonts w:ascii="Work Sans" w:eastAsia="Times New Roman" w:hAnsi="Work Sans" w:cs="Arial"/>
          <w:b/>
          <w:color w:val="000000"/>
          <w:kern w:val="0"/>
          <w:sz w:val="20"/>
          <w:szCs w:val="20"/>
          <w:lang w:val="es-CO" w:eastAsia="es-CO" w:bidi="ar-SA"/>
        </w:rPr>
        <w:t>RESUELVE:</w:t>
      </w:r>
    </w:p>
    <w:p w14:paraId="67FCAFFA" w14:textId="77777777" w:rsidR="00F40EFD" w:rsidRDefault="00173713">
      <w:pPr>
        <w:widowControl/>
        <w:jc w:val="center"/>
        <w:textAlignment w:val="auto"/>
        <w:rPr>
          <w:rFonts w:ascii="Work Sans" w:eastAsia="Times New Roman" w:hAnsi="Work Sans" w:cs="Arial"/>
          <w:color w:val="000000"/>
          <w:kern w:val="0"/>
          <w:sz w:val="20"/>
          <w:szCs w:val="20"/>
          <w:lang w:val="es-CO" w:eastAsia="es-CO" w:bidi="ar-SA"/>
        </w:rPr>
      </w:pPr>
      <w:r>
        <w:rPr>
          <w:rFonts w:ascii="Work Sans" w:eastAsia="Times New Roman" w:hAnsi="Work Sans" w:cs="Arial"/>
          <w:color w:val="000000"/>
          <w:kern w:val="0"/>
          <w:sz w:val="20"/>
          <w:szCs w:val="20"/>
          <w:lang w:val="es-CO" w:eastAsia="es-CO" w:bidi="ar-SA"/>
        </w:rPr>
        <w:t> </w:t>
      </w:r>
    </w:p>
    <w:p w14:paraId="63F7F1E5" w14:textId="77777777" w:rsidR="00F40EFD" w:rsidRDefault="00173713">
      <w:pPr>
        <w:widowControl/>
        <w:jc w:val="both"/>
        <w:textAlignment w:val="auto"/>
      </w:pPr>
      <w:r>
        <w:rPr>
          <w:rStyle w:val="Fuentedeprrafopredeter1"/>
          <w:rFonts w:ascii="Work Sans" w:eastAsia="Times New Roman" w:hAnsi="Work Sans" w:cs="Arial"/>
          <w:b/>
          <w:color w:val="000000"/>
          <w:kern w:val="0"/>
          <w:sz w:val="20"/>
          <w:szCs w:val="20"/>
          <w:lang w:val="es-CO" w:eastAsia="es-CO" w:bidi="ar-SA"/>
        </w:rPr>
        <w:t>ARTÍCULO 1.-</w:t>
      </w:r>
      <w:r>
        <w:rPr>
          <w:rStyle w:val="Fuentedeprrafopredeter1"/>
          <w:rFonts w:ascii="Work Sans" w:eastAsia="Times New Roman" w:hAnsi="Work Sans" w:cs="Arial"/>
          <w:color w:val="000000"/>
          <w:kern w:val="0"/>
          <w:sz w:val="20"/>
          <w:szCs w:val="20"/>
          <w:lang w:val="es-CO" w:eastAsia="es-CO" w:bidi="ar-SA"/>
        </w:rPr>
        <w:t xml:space="preserve"> </w:t>
      </w:r>
      <w:bookmarkStart w:id="1" w:name="_Hlk9850548"/>
      <w:r>
        <w:rPr>
          <w:rStyle w:val="Fuentedeprrafopredeter1"/>
          <w:rFonts w:ascii="Work Sans" w:eastAsia="Times New Roman" w:hAnsi="Work Sans" w:cs="Arial"/>
          <w:color w:val="000000"/>
          <w:kern w:val="0"/>
          <w:sz w:val="20"/>
          <w:szCs w:val="20"/>
          <w:lang w:val="es-CO" w:eastAsia="es-CO" w:bidi="ar-SA"/>
        </w:rPr>
        <w:t>Modificar el artículo 3 de la Resolución No. 0000035 del 13 de enero de 2015 del Ministerio de Transporte, el cual queda así:</w:t>
      </w:r>
    </w:p>
    <w:p w14:paraId="3A07C37F" w14:textId="77777777" w:rsidR="00F40EFD" w:rsidRDefault="00F40EFD">
      <w:pPr>
        <w:widowControl/>
        <w:jc w:val="both"/>
        <w:textAlignment w:val="auto"/>
        <w:rPr>
          <w:rFonts w:ascii="Work Sans" w:eastAsia="Times New Roman" w:hAnsi="Work Sans" w:cs="Arial"/>
          <w:color w:val="000000"/>
          <w:kern w:val="0"/>
          <w:sz w:val="20"/>
          <w:szCs w:val="20"/>
          <w:lang w:val="es-CO" w:eastAsia="es-CO" w:bidi="ar-SA"/>
        </w:rPr>
      </w:pPr>
    </w:p>
    <w:p w14:paraId="56E3A8CA" w14:textId="77777777" w:rsidR="00F40EFD" w:rsidRDefault="00173713">
      <w:pPr>
        <w:widowControl/>
        <w:ind w:left="284" w:right="282"/>
        <w:jc w:val="both"/>
        <w:textAlignment w:val="auto"/>
      </w:pPr>
      <w:r>
        <w:rPr>
          <w:rStyle w:val="Fuentedeprrafopredeter1"/>
          <w:rFonts w:ascii="Work Sans" w:hAnsi="Work Sans" w:cs="Arial"/>
          <w:b/>
          <w:i/>
          <w:color w:val="000000"/>
          <w:sz w:val="20"/>
          <w:szCs w:val="20"/>
        </w:rPr>
        <w:t>“Artículo 3:</w:t>
      </w:r>
      <w:r>
        <w:rPr>
          <w:rStyle w:val="Fuentedeprrafopredeter1"/>
          <w:rFonts w:ascii="Work Sans" w:hAnsi="Work Sans" w:cs="Arial"/>
          <w:i/>
          <w:color w:val="000000"/>
          <w:sz w:val="20"/>
          <w:szCs w:val="20"/>
        </w:rPr>
        <w:t xml:space="preserve"> La Agencia Nacional de Infraestructura fijará los requisitos para acreditar la calidad de beneficiario, el procedimiento para acceder al beneficio, los mecanismos de otorgamiento, reemplazo y control y las causales de pérdida del beneficio, de las tarifas diferenciales IE y IIE en la estación de Peaje Alto Pino.”</w:t>
      </w:r>
    </w:p>
    <w:p w14:paraId="76CF3C6C" w14:textId="77777777" w:rsidR="00F40EFD" w:rsidRDefault="00F40EFD">
      <w:pPr>
        <w:widowControl/>
        <w:ind w:left="284" w:right="282"/>
        <w:jc w:val="both"/>
        <w:textAlignment w:val="auto"/>
        <w:rPr>
          <w:rFonts w:ascii="Work Sans" w:hAnsi="Work Sans" w:cs="Arial"/>
          <w:color w:val="000000"/>
          <w:sz w:val="20"/>
          <w:szCs w:val="20"/>
        </w:rPr>
      </w:pPr>
    </w:p>
    <w:p w14:paraId="074E02C9" w14:textId="77777777" w:rsidR="00F40EFD" w:rsidRDefault="00173713">
      <w:pPr>
        <w:widowControl/>
        <w:jc w:val="both"/>
        <w:textAlignment w:val="auto"/>
      </w:pPr>
      <w:r>
        <w:rPr>
          <w:rStyle w:val="Fuentedeprrafopredeter1"/>
          <w:rFonts w:ascii="Work Sans" w:eastAsia="Times New Roman" w:hAnsi="Work Sans" w:cs="Arial"/>
          <w:b/>
          <w:color w:val="000000"/>
          <w:kern w:val="0"/>
          <w:sz w:val="20"/>
          <w:szCs w:val="20"/>
          <w:lang w:val="es-CO" w:eastAsia="es-CO" w:bidi="ar-SA"/>
        </w:rPr>
        <w:t>ARTÍCULO 2</w:t>
      </w:r>
      <w:r>
        <w:rPr>
          <w:rStyle w:val="Fuentedeprrafopredeter1"/>
          <w:rFonts w:ascii="Work Sans" w:eastAsia="Times New Roman" w:hAnsi="Work Sans" w:cs="Arial"/>
          <w:color w:val="000000"/>
          <w:kern w:val="0"/>
          <w:sz w:val="20"/>
          <w:szCs w:val="20"/>
          <w:lang w:val="es-CO" w:eastAsia="es-CO" w:bidi="ar-SA"/>
        </w:rPr>
        <w:t>.- Los demás aspectos de la</w:t>
      </w:r>
      <w:r>
        <w:rPr>
          <w:rStyle w:val="Fuentedeprrafopredeter1"/>
          <w:rFonts w:ascii="Work Sans" w:eastAsia="Times New Roman" w:hAnsi="Work Sans" w:cs="Arial"/>
          <w:b/>
          <w:color w:val="000000"/>
          <w:kern w:val="0"/>
          <w:sz w:val="20"/>
          <w:szCs w:val="20"/>
          <w:lang w:val="es-CO" w:eastAsia="es-CO" w:bidi="ar-SA"/>
        </w:rPr>
        <w:t xml:space="preserve"> </w:t>
      </w:r>
      <w:r>
        <w:rPr>
          <w:rStyle w:val="Fuentedeprrafopredeter1"/>
          <w:rFonts w:ascii="Work Sans" w:eastAsia="Times New Roman" w:hAnsi="Work Sans" w:cs="Arial"/>
          <w:color w:val="000000"/>
          <w:kern w:val="0"/>
          <w:sz w:val="20"/>
          <w:szCs w:val="20"/>
          <w:lang w:val="es-CO" w:eastAsia="es-CO" w:bidi="ar-SA"/>
        </w:rPr>
        <w:t xml:space="preserve">Resolución No. 0000035 del 13 de enero de 2015 del Ministerio de Transporte no modificadas se mantienen vigentes. </w:t>
      </w:r>
    </w:p>
    <w:p w14:paraId="56CD7CC2" w14:textId="77777777" w:rsidR="00F40EFD" w:rsidRDefault="00173713">
      <w:pPr>
        <w:widowControl/>
        <w:jc w:val="both"/>
        <w:textAlignment w:val="auto"/>
        <w:rPr>
          <w:rFonts w:ascii="Work Sans" w:eastAsia="Times New Roman" w:hAnsi="Work Sans" w:cs="Arial"/>
          <w:color w:val="000000"/>
          <w:kern w:val="0"/>
          <w:sz w:val="20"/>
          <w:szCs w:val="20"/>
          <w:lang w:val="es-CO" w:eastAsia="es-CO" w:bidi="ar-SA"/>
        </w:rPr>
      </w:pPr>
      <w:r>
        <w:rPr>
          <w:rFonts w:ascii="Work Sans" w:eastAsia="Times New Roman" w:hAnsi="Work Sans" w:cs="Arial"/>
          <w:color w:val="000000"/>
          <w:kern w:val="0"/>
          <w:sz w:val="20"/>
          <w:szCs w:val="20"/>
          <w:lang w:val="es-CO" w:eastAsia="es-CO" w:bidi="ar-SA"/>
        </w:rPr>
        <w:t>  </w:t>
      </w:r>
    </w:p>
    <w:p w14:paraId="243810F8" w14:textId="77777777" w:rsidR="00F40EFD" w:rsidRDefault="00173713">
      <w:pPr>
        <w:widowControl/>
        <w:jc w:val="both"/>
        <w:textAlignment w:val="auto"/>
      </w:pPr>
      <w:r>
        <w:rPr>
          <w:rStyle w:val="Fuentedeprrafopredeter1"/>
          <w:rFonts w:ascii="Work Sans" w:eastAsia="Times New Roman" w:hAnsi="Work Sans" w:cs="Arial"/>
          <w:b/>
          <w:color w:val="000000"/>
          <w:kern w:val="0"/>
          <w:sz w:val="20"/>
          <w:szCs w:val="20"/>
          <w:lang w:val="es-CO" w:eastAsia="es-CO" w:bidi="ar-SA"/>
        </w:rPr>
        <w:t xml:space="preserve">ARTÍCULO 3.- </w:t>
      </w:r>
      <w:r>
        <w:rPr>
          <w:rStyle w:val="Fuentedeprrafopredeter1"/>
          <w:rFonts w:ascii="Work Sans" w:eastAsia="Times New Roman" w:hAnsi="Work Sans" w:cs="Arial"/>
          <w:color w:val="000000"/>
          <w:kern w:val="0"/>
          <w:sz w:val="20"/>
          <w:szCs w:val="20"/>
          <w:lang w:val="es-CO" w:eastAsia="es-CO" w:bidi="ar-SA"/>
        </w:rPr>
        <w:t>La presente resolución rige o partir de la fecha de su publicación y deroga los artículos 4 y 5 de la Resolución 0000035 de 2015 y las Resoluciones 0003023 de 2015, 0002763 de 2016, 002174 de 2017 y 0002513 de 2018 todas del Ministerio de Transporte.</w:t>
      </w:r>
    </w:p>
    <w:bookmarkEnd w:id="1"/>
    <w:p w14:paraId="15EFC28D" w14:textId="77777777" w:rsidR="00F40EFD" w:rsidRDefault="00F40EFD">
      <w:pPr>
        <w:widowControl/>
        <w:jc w:val="both"/>
        <w:textAlignment w:val="auto"/>
        <w:rPr>
          <w:rFonts w:ascii="Work Sans" w:eastAsia="Times New Roman" w:hAnsi="Work Sans" w:cs="Arial"/>
          <w:color w:val="000000"/>
          <w:kern w:val="0"/>
          <w:sz w:val="20"/>
          <w:szCs w:val="20"/>
          <w:lang w:val="es-CO" w:eastAsia="es-CO" w:bidi="ar-SA"/>
        </w:rPr>
      </w:pPr>
    </w:p>
    <w:p w14:paraId="2A076780" w14:textId="77777777" w:rsidR="00F40EFD" w:rsidRDefault="00F40EFD">
      <w:pPr>
        <w:widowControl/>
        <w:jc w:val="both"/>
        <w:textAlignment w:val="auto"/>
        <w:rPr>
          <w:rFonts w:ascii="Work Sans" w:eastAsia="Times New Roman" w:hAnsi="Work Sans" w:cs="Arial"/>
          <w:color w:val="000000"/>
          <w:kern w:val="0"/>
          <w:sz w:val="20"/>
          <w:szCs w:val="20"/>
          <w:lang w:val="es-CO" w:eastAsia="es-CO" w:bidi="ar-SA"/>
        </w:rPr>
      </w:pPr>
    </w:p>
    <w:p w14:paraId="791A6FE4" w14:textId="77777777" w:rsidR="00F40EFD" w:rsidRDefault="00173713">
      <w:pPr>
        <w:widowControl/>
        <w:jc w:val="both"/>
        <w:textAlignment w:val="auto"/>
      </w:pPr>
      <w:r>
        <w:rPr>
          <w:rStyle w:val="Fuentedeprrafopredeter1"/>
          <w:rFonts w:ascii="Work Sans" w:hAnsi="Work Sans" w:cs="Arial"/>
          <w:b/>
          <w:color w:val="000000"/>
          <w:sz w:val="20"/>
          <w:szCs w:val="20"/>
          <w:lang w:val="es" w:eastAsia="es-CO"/>
        </w:rPr>
        <w:t>PUBLÍQUESE y CÚMPLASE,</w:t>
      </w:r>
    </w:p>
    <w:p w14:paraId="0643683B" w14:textId="77777777" w:rsidR="00F40EFD" w:rsidRDefault="00173713">
      <w:pPr>
        <w:pStyle w:val="Estilo"/>
        <w:spacing w:before="211"/>
        <w:ind w:right="220"/>
        <w:jc w:val="both"/>
        <w:rPr>
          <w:rFonts w:ascii="Work Sans" w:hAnsi="Work Sans"/>
          <w:color w:val="000000"/>
          <w:sz w:val="20"/>
          <w:szCs w:val="20"/>
          <w:lang w:val="es" w:eastAsia="es-CO"/>
        </w:rPr>
      </w:pPr>
      <w:r>
        <w:rPr>
          <w:rFonts w:ascii="Work Sans" w:hAnsi="Work Sans"/>
          <w:color w:val="000000"/>
          <w:sz w:val="20"/>
          <w:szCs w:val="20"/>
          <w:lang w:val="es" w:eastAsia="es-CO"/>
        </w:rPr>
        <w:t xml:space="preserve">Dada en Bogotá D.C., </w:t>
      </w:r>
    </w:p>
    <w:p w14:paraId="63025036" w14:textId="77777777" w:rsidR="00F40EFD" w:rsidRDefault="00F40EFD">
      <w:pPr>
        <w:pStyle w:val="Sangradetextonormal1"/>
        <w:spacing w:after="0"/>
        <w:ind w:left="0" w:right="193"/>
        <w:jc w:val="both"/>
        <w:rPr>
          <w:rFonts w:ascii="Work Sans" w:hAnsi="Work Sans" w:cs="Arial"/>
          <w:color w:val="000000"/>
          <w:sz w:val="20"/>
          <w:szCs w:val="20"/>
          <w:lang w:val="es"/>
        </w:rPr>
      </w:pPr>
    </w:p>
    <w:p w14:paraId="6ACC0AF8" w14:textId="77777777" w:rsidR="00F40EFD" w:rsidRDefault="00F40EFD">
      <w:pPr>
        <w:pStyle w:val="Sangradetextonormal1"/>
        <w:spacing w:after="0"/>
        <w:ind w:left="0" w:right="193"/>
        <w:jc w:val="both"/>
        <w:rPr>
          <w:rFonts w:ascii="Work Sans" w:hAnsi="Work Sans" w:cs="Arial"/>
          <w:color w:val="000000"/>
          <w:sz w:val="20"/>
          <w:szCs w:val="20"/>
          <w:lang w:val="es"/>
        </w:rPr>
      </w:pPr>
    </w:p>
    <w:p w14:paraId="30CDC6C1" w14:textId="77777777" w:rsidR="00F40EFD" w:rsidRDefault="00F40EFD">
      <w:pPr>
        <w:pStyle w:val="Sangradetextonormal1"/>
        <w:spacing w:after="0"/>
        <w:ind w:left="0" w:right="193"/>
        <w:jc w:val="both"/>
        <w:rPr>
          <w:rFonts w:ascii="Work Sans" w:hAnsi="Work Sans" w:cs="Arial"/>
          <w:color w:val="000000"/>
          <w:sz w:val="20"/>
          <w:szCs w:val="20"/>
          <w:lang w:val="es"/>
        </w:rPr>
      </w:pPr>
    </w:p>
    <w:p w14:paraId="614E9AED" w14:textId="77777777" w:rsidR="00F40EFD" w:rsidRDefault="00F40EFD">
      <w:pPr>
        <w:pStyle w:val="Sangradetextonormal1"/>
        <w:spacing w:after="0"/>
        <w:ind w:left="0" w:right="193"/>
        <w:jc w:val="both"/>
        <w:rPr>
          <w:rFonts w:ascii="Work Sans" w:hAnsi="Work Sans" w:cs="Arial"/>
          <w:color w:val="000000"/>
          <w:sz w:val="20"/>
          <w:szCs w:val="20"/>
          <w:lang w:val="es"/>
        </w:rPr>
      </w:pPr>
    </w:p>
    <w:p w14:paraId="1F9A5482" w14:textId="77777777" w:rsidR="00F40EFD" w:rsidRDefault="00F40EFD">
      <w:pPr>
        <w:pStyle w:val="Sangradetextonormal1"/>
        <w:spacing w:after="0"/>
        <w:ind w:left="0" w:right="193"/>
        <w:jc w:val="both"/>
        <w:rPr>
          <w:rFonts w:ascii="Work Sans" w:hAnsi="Work Sans" w:cs="Arial"/>
          <w:color w:val="000000"/>
          <w:sz w:val="20"/>
          <w:szCs w:val="20"/>
          <w:lang w:val="es"/>
        </w:rPr>
      </w:pPr>
    </w:p>
    <w:p w14:paraId="7EA8D3F8" w14:textId="77777777" w:rsidR="00F40EFD" w:rsidRDefault="00173713">
      <w:pPr>
        <w:pStyle w:val="Sangradetextonormal1"/>
        <w:spacing w:after="0"/>
        <w:ind w:left="0" w:right="-1"/>
        <w:jc w:val="center"/>
        <w:rPr>
          <w:rFonts w:ascii="Work Sans" w:hAnsi="Work Sans" w:cs="Arial"/>
          <w:b/>
          <w:color w:val="000000"/>
          <w:sz w:val="20"/>
          <w:szCs w:val="20"/>
          <w:lang w:val="es"/>
        </w:rPr>
      </w:pPr>
      <w:bookmarkStart w:id="2" w:name="_Hlk9850558"/>
      <w:r>
        <w:rPr>
          <w:rFonts w:ascii="Work Sans" w:hAnsi="Work Sans" w:cs="Arial"/>
          <w:b/>
          <w:color w:val="000000"/>
          <w:sz w:val="20"/>
          <w:szCs w:val="20"/>
          <w:lang w:val="es"/>
        </w:rPr>
        <w:t>ÁNGELA MARÍA OROZCO GÓMEZ</w:t>
      </w:r>
      <w:bookmarkEnd w:id="2"/>
    </w:p>
    <w:p w14:paraId="2DD8BBA5" w14:textId="77777777" w:rsidR="00F40EFD" w:rsidRDefault="00173713">
      <w:pPr>
        <w:pStyle w:val="Sangradetextonormal1"/>
        <w:spacing w:after="0"/>
        <w:ind w:left="0" w:right="-1"/>
        <w:jc w:val="center"/>
        <w:rPr>
          <w:rFonts w:ascii="Work Sans" w:hAnsi="Work Sans" w:cs="Arial"/>
          <w:b/>
          <w:color w:val="000000"/>
          <w:sz w:val="20"/>
          <w:szCs w:val="20"/>
          <w:lang w:val="es"/>
        </w:rPr>
      </w:pPr>
      <w:r>
        <w:rPr>
          <w:rFonts w:ascii="Work Sans" w:hAnsi="Work Sans" w:cs="Arial"/>
          <w:b/>
          <w:color w:val="000000"/>
          <w:sz w:val="20"/>
          <w:szCs w:val="20"/>
          <w:lang w:val="es"/>
        </w:rPr>
        <w:t>MINISTRA DE TRANSPORTE</w:t>
      </w:r>
    </w:p>
    <w:p w14:paraId="6EA367CE" w14:textId="77777777" w:rsidR="00F40EFD" w:rsidRDefault="00F40EFD">
      <w:pPr>
        <w:pStyle w:val="Sangradetextonormal1"/>
        <w:spacing w:after="0"/>
        <w:ind w:left="0" w:right="-1"/>
        <w:jc w:val="center"/>
        <w:rPr>
          <w:rFonts w:ascii="Work Sans" w:hAnsi="Work Sans" w:cs="Arial"/>
          <w:b/>
          <w:color w:val="000000"/>
          <w:sz w:val="20"/>
          <w:szCs w:val="20"/>
          <w:lang w:val="es"/>
        </w:rPr>
      </w:pPr>
    </w:p>
    <w:p w14:paraId="0DD232E4" w14:textId="77777777" w:rsidR="00F40EFD" w:rsidRDefault="00173713">
      <w:pPr>
        <w:widowControl/>
        <w:shd w:val="clear" w:color="auto" w:fill="FFFFFF"/>
        <w:autoSpaceDE w:val="0"/>
        <w:ind w:hanging="11"/>
        <w:jc w:val="both"/>
        <w:textAlignment w:val="auto"/>
      </w:pPr>
      <w:bookmarkStart w:id="3" w:name="_Hlk9952244"/>
      <w:r>
        <w:rPr>
          <w:rStyle w:val="Fuentedeprrafopredeter1"/>
          <w:rFonts w:ascii="Work Sans" w:eastAsia="Times New Roman" w:hAnsi="Work Sans" w:cs="Arial"/>
          <w:color w:val="000000"/>
          <w:kern w:val="0"/>
          <w:sz w:val="16"/>
          <w:szCs w:val="16"/>
          <w:lang w:val="es" w:eastAsia="es-ES" w:bidi="he-IL"/>
        </w:rPr>
        <w:t>Manuel Felipe Gutiérrez Torres – Viceministro de Infraestructura – Ministerio de Transporte</w:t>
      </w:r>
    </w:p>
    <w:p w14:paraId="53F6FB6A" w14:textId="77777777" w:rsidR="00F40EFD" w:rsidRDefault="00173713">
      <w:pPr>
        <w:widowControl/>
        <w:shd w:val="clear" w:color="auto" w:fill="FFFFFF"/>
        <w:autoSpaceDE w:val="0"/>
        <w:ind w:hanging="11"/>
        <w:jc w:val="both"/>
        <w:textAlignment w:val="auto"/>
        <w:rPr>
          <w:rFonts w:ascii="Work Sans" w:eastAsia="Times New Roman" w:hAnsi="Work Sans" w:cs="Arial"/>
          <w:color w:val="000000"/>
          <w:kern w:val="0"/>
          <w:sz w:val="16"/>
          <w:szCs w:val="16"/>
          <w:lang w:val="es" w:eastAsia="es-ES" w:bidi="he-IL"/>
        </w:rPr>
      </w:pPr>
      <w:r>
        <w:rPr>
          <w:rFonts w:ascii="Work Sans" w:eastAsia="Times New Roman" w:hAnsi="Work Sans" w:cs="Arial"/>
          <w:color w:val="000000"/>
          <w:kern w:val="0"/>
          <w:sz w:val="16"/>
          <w:szCs w:val="16"/>
          <w:lang w:val="es" w:eastAsia="es-ES" w:bidi="he-IL"/>
        </w:rPr>
        <w:t>Louis Francois Kleyn Lopez – Presidente Agencia Nacional de Infraestructura</w:t>
      </w:r>
    </w:p>
    <w:p w14:paraId="45180040" w14:textId="77777777" w:rsidR="00F40EFD" w:rsidRDefault="00173713">
      <w:pPr>
        <w:widowControl/>
        <w:shd w:val="clear" w:color="auto" w:fill="FFFFFF"/>
        <w:autoSpaceDE w:val="0"/>
        <w:jc w:val="both"/>
        <w:textAlignment w:val="auto"/>
        <w:rPr>
          <w:rFonts w:ascii="Work Sans" w:eastAsia="Times New Roman" w:hAnsi="Work Sans" w:cs="Arial"/>
          <w:color w:val="000000"/>
          <w:kern w:val="0"/>
          <w:sz w:val="16"/>
          <w:szCs w:val="16"/>
          <w:lang w:val="es" w:eastAsia="es-ES" w:bidi="he-IL"/>
        </w:rPr>
      </w:pPr>
      <w:r>
        <w:rPr>
          <w:rFonts w:ascii="Work Sans" w:eastAsia="Times New Roman" w:hAnsi="Work Sans" w:cs="Arial"/>
          <w:color w:val="000000"/>
          <w:kern w:val="0"/>
          <w:sz w:val="16"/>
          <w:szCs w:val="16"/>
          <w:lang w:val="es" w:eastAsia="es-ES" w:bidi="he-IL"/>
        </w:rPr>
        <w:t xml:space="preserve">Carlos Alberto García Montes – Vicepresidente Ejecutivo - Agencia Nacional de Infraestructura </w:t>
      </w:r>
    </w:p>
    <w:p w14:paraId="44CE82EC" w14:textId="77777777" w:rsidR="00F40EFD" w:rsidRDefault="00173713">
      <w:pPr>
        <w:widowControl/>
        <w:shd w:val="clear" w:color="auto" w:fill="FFFFFF"/>
        <w:autoSpaceDE w:val="0"/>
        <w:jc w:val="both"/>
        <w:textAlignment w:val="auto"/>
        <w:rPr>
          <w:rFonts w:ascii="Work Sans" w:eastAsia="Times New Roman" w:hAnsi="Work Sans" w:cs="Arial"/>
          <w:color w:val="000000"/>
          <w:kern w:val="0"/>
          <w:sz w:val="16"/>
          <w:szCs w:val="16"/>
          <w:lang w:val="es" w:eastAsia="es-ES" w:bidi="he-IL"/>
        </w:rPr>
      </w:pPr>
      <w:r>
        <w:rPr>
          <w:rFonts w:ascii="Work Sans" w:eastAsia="Times New Roman" w:hAnsi="Work Sans" w:cs="Arial"/>
          <w:color w:val="000000"/>
          <w:kern w:val="0"/>
          <w:sz w:val="16"/>
          <w:szCs w:val="16"/>
          <w:lang w:val="es" w:eastAsia="es-ES" w:bidi="he-IL"/>
        </w:rPr>
        <w:t>Claudia Judith Mendoza Cerquera – Experto G3-08 – Vicepresidencia Ejecutiva - Agencia Nacional de Infraestructura</w:t>
      </w:r>
    </w:p>
    <w:p w14:paraId="4181723F" w14:textId="77777777" w:rsidR="00F40EFD" w:rsidRDefault="00173713">
      <w:pPr>
        <w:widowControl/>
        <w:shd w:val="clear" w:color="auto" w:fill="FFFFFF"/>
        <w:autoSpaceDE w:val="0"/>
        <w:jc w:val="both"/>
        <w:textAlignment w:val="auto"/>
      </w:pPr>
      <w:r>
        <w:rPr>
          <w:rStyle w:val="Fuentedeprrafopredeter1"/>
          <w:rFonts w:ascii="Work Sans" w:hAnsi="Work Sans" w:cs="Arial"/>
          <w:color w:val="000000"/>
          <w:kern w:val="0"/>
          <w:sz w:val="16"/>
          <w:szCs w:val="16"/>
          <w:lang w:val="es" w:eastAsia="es-ES" w:bidi="he-IL"/>
        </w:rPr>
        <w:t>Mario Franco Morales – Jefe de la oficina de Regulación Económica (E) - Ministerio de Transporte</w:t>
      </w:r>
    </w:p>
    <w:p w14:paraId="1E08C4EA" w14:textId="77777777" w:rsidR="00F40EFD" w:rsidRDefault="00173713">
      <w:pPr>
        <w:widowControl/>
        <w:shd w:val="clear" w:color="auto" w:fill="FFFFFF"/>
        <w:autoSpaceDE w:val="0"/>
        <w:jc w:val="both"/>
        <w:textAlignment w:val="auto"/>
      </w:pPr>
      <w:r>
        <w:rPr>
          <w:rStyle w:val="Fuentedeprrafopredeter1"/>
          <w:rFonts w:ascii="Work Sans" w:hAnsi="Work Sans" w:cs="Arial"/>
          <w:color w:val="000000"/>
          <w:kern w:val="0"/>
          <w:sz w:val="16"/>
          <w:szCs w:val="16"/>
          <w:lang w:val="es" w:eastAsia="es-ES" w:bidi="he-IL"/>
        </w:rPr>
        <w:t>Sol Angel Cala Acosta – Jefe Oficina Asesora Jurídica (E) - Ministerio de Transporte</w:t>
      </w:r>
    </w:p>
    <w:bookmarkEnd w:id="3"/>
    <w:p w14:paraId="5176F94F" w14:textId="77777777" w:rsidR="00F40EFD" w:rsidRDefault="00173713">
      <w:pPr>
        <w:pStyle w:val="Standard"/>
        <w:autoSpaceDE w:val="0"/>
        <w:jc w:val="both"/>
      </w:pPr>
      <w:r>
        <w:rPr>
          <w:rStyle w:val="Fuentedeprrafopredeter1"/>
          <w:rFonts w:ascii="Work Sans" w:hAnsi="Work Sans" w:cs="Arial"/>
          <w:color w:val="000000"/>
          <w:sz w:val="16"/>
          <w:szCs w:val="16"/>
        </w:rPr>
        <w:t>María Angélica Cruz.- Asesora Jurídica Despacho Ministra de Transporte</w:t>
      </w:r>
    </w:p>
    <w:sectPr w:rsidR="00F40EFD">
      <w:headerReference w:type="default" r:id="rId9"/>
      <w:headerReference w:type="first" r:id="rId10"/>
      <w:pgSz w:w="11906" w:h="18720"/>
      <w:pgMar w:top="1417" w:right="1701" w:bottom="1417" w:left="1701" w:header="850"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D4672" w14:textId="77777777" w:rsidR="004E0BA9" w:rsidRDefault="004E0BA9">
      <w:r>
        <w:separator/>
      </w:r>
    </w:p>
  </w:endnote>
  <w:endnote w:type="continuationSeparator" w:id="0">
    <w:p w14:paraId="7A9BEA46" w14:textId="77777777" w:rsidR="004E0BA9" w:rsidRDefault="004E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Lohit Devanagari">
    <w:altName w:val="Times New Roman"/>
    <w:charset w:val="00"/>
    <w:family w:val="auto"/>
    <w:pitch w:val="variable"/>
  </w:font>
  <w:font w:name="Mangal">
    <w:panose1 w:val="02040503050203030202"/>
    <w:charset w:val="00"/>
    <w:family w:val="auto"/>
    <w:pitch w:val="variable"/>
    <w:sig w:usb0="00008003" w:usb1="00000000" w:usb2="00000000" w:usb3="00000000" w:csb0="00000001" w:csb1="00000000"/>
  </w:font>
  <w:font w:name="Bookman Old Style">
    <w:panose1 w:val="02050604050505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Work Sans">
    <w:panose1 w:val="00000500000000000000"/>
    <w:charset w:val="00"/>
    <w:family w:val="auto"/>
    <w:pitch w:val="variable"/>
    <w:sig w:usb0="00000007" w:usb1="00000001"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Garamond">
    <w:panose1 w:val="02020404030301010803"/>
    <w:charset w:val="00"/>
    <w:family w:val="auto"/>
    <w:pitch w:val="variable"/>
    <w:sig w:usb0="00000287" w:usb1="00000000" w:usb2="00000000" w:usb3="00000000" w:csb0="0000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471DC" w14:textId="77777777" w:rsidR="004E0BA9" w:rsidRDefault="004E0BA9">
      <w:r>
        <w:rPr>
          <w:color w:val="000000"/>
        </w:rPr>
        <w:separator/>
      </w:r>
    </w:p>
  </w:footnote>
  <w:footnote w:type="continuationSeparator" w:id="0">
    <w:p w14:paraId="17A09DC7" w14:textId="77777777" w:rsidR="004E0BA9" w:rsidRDefault="004E0B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F253" w14:textId="77777777" w:rsidR="00D7574A" w:rsidRDefault="00173713">
    <w:pPr>
      <w:pStyle w:val="Standard"/>
      <w:tabs>
        <w:tab w:val="left" w:pos="-720"/>
      </w:tabs>
      <w:jc w:val="both"/>
    </w:pPr>
    <w:r>
      <w:rPr>
        <w:rStyle w:val="Fuentedeprrafopredeter1"/>
        <w:rFonts w:ascii="Arial" w:hAnsi="Arial" w:cs="Arial"/>
        <w:b/>
        <w:spacing w:val="-3"/>
        <w:sz w:val="22"/>
        <w:szCs w:val="22"/>
      </w:rPr>
      <w:t>RESOLUCIÓN</w:t>
    </w:r>
    <w:r>
      <w:rPr>
        <w:rStyle w:val="Fuentedeprrafopredeter1"/>
        <w:rFonts w:ascii="Arial" w:eastAsia="Garamond" w:hAnsi="Arial" w:cs="Arial"/>
        <w:b/>
        <w:spacing w:val="-3"/>
        <w:sz w:val="22"/>
        <w:szCs w:val="22"/>
      </w:rPr>
      <w:t xml:space="preserve"> </w:t>
    </w:r>
    <w:r>
      <w:rPr>
        <w:rStyle w:val="Fuentedeprrafopredeter1"/>
        <w:rFonts w:ascii="Arial" w:hAnsi="Arial" w:cs="Arial"/>
        <w:b/>
        <w:spacing w:val="-3"/>
        <w:sz w:val="22"/>
        <w:szCs w:val="22"/>
      </w:rPr>
      <w:t>NÚMERO</w:t>
    </w:r>
    <w:r>
      <w:rPr>
        <w:rStyle w:val="Fuentedeprrafopredeter1"/>
        <w:rFonts w:ascii="Arial" w:eastAsia="Garamond" w:hAnsi="Arial" w:cs="Arial"/>
        <w:b/>
        <w:spacing w:val="-3"/>
        <w:sz w:val="22"/>
        <w:szCs w:val="22"/>
      </w:rPr>
      <w:t xml:space="preserve">                                                                                   </w:t>
    </w:r>
    <w:r>
      <w:rPr>
        <w:rStyle w:val="Fuentedeprrafopredeter1"/>
        <w:rFonts w:ascii="Arial" w:hAnsi="Arial" w:cs="Arial"/>
        <w:b/>
        <w:spacing w:val="-3"/>
        <w:sz w:val="22"/>
        <w:szCs w:val="22"/>
      </w:rPr>
      <w:t>HOJA</w:t>
    </w:r>
    <w:r>
      <w:rPr>
        <w:rStyle w:val="Fuentedeprrafopredeter1"/>
        <w:rFonts w:ascii="Arial" w:eastAsia="Garamond" w:hAnsi="Arial" w:cs="Arial"/>
        <w:b/>
        <w:spacing w:val="-3"/>
        <w:sz w:val="22"/>
        <w:szCs w:val="22"/>
      </w:rPr>
      <w:t xml:space="preserve"> </w:t>
    </w:r>
    <w:r>
      <w:rPr>
        <w:rStyle w:val="Fuentedeprrafopredeter1"/>
        <w:rFonts w:ascii="Arial" w:hAnsi="Arial" w:cs="Arial"/>
        <w:b/>
        <w:spacing w:val="-3"/>
        <w:sz w:val="22"/>
        <w:szCs w:val="22"/>
      </w:rPr>
      <w:t>No.</w:t>
    </w:r>
    <w:r>
      <w:rPr>
        <w:rStyle w:val="Fuentedeprrafopredeter1"/>
        <w:rFonts w:ascii="Arial" w:eastAsia="Garamond" w:hAnsi="Arial" w:cs="Arial"/>
        <w:b/>
        <w:spacing w:val="-3"/>
        <w:sz w:val="22"/>
        <w:szCs w:val="22"/>
      </w:rPr>
      <w:t xml:space="preserve"> </w:t>
    </w:r>
    <w:r>
      <w:rPr>
        <w:rStyle w:val="Nmerodepgina1"/>
        <w:rFonts w:ascii="Arial" w:hAnsi="Arial" w:cs="Arial"/>
        <w:b/>
        <w:sz w:val="22"/>
        <w:szCs w:val="22"/>
      </w:rPr>
      <w:fldChar w:fldCharType="begin"/>
    </w:r>
    <w:r>
      <w:rPr>
        <w:rStyle w:val="Nmerodepgina1"/>
        <w:rFonts w:ascii="Arial" w:hAnsi="Arial" w:cs="Arial"/>
        <w:b/>
        <w:sz w:val="22"/>
        <w:szCs w:val="22"/>
      </w:rPr>
      <w:instrText xml:space="preserve"> PAGE </w:instrText>
    </w:r>
    <w:r>
      <w:rPr>
        <w:rStyle w:val="Nmerodepgina1"/>
        <w:rFonts w:ascii="Arial" w:hAnsi="Arial" w:cs="Arial"/>
        <w:b/>
        <w:sz w:val="22"/>
        <w:szCs w:val="22"/>
      </w:rPr>
      <w:fldChar w:fldCharType="separate"/>
    </w:r>
    <w:r w:rsidR="000E5C64">
      <w:rPr>
        <w:rStyle w:val="Nmerodepgina1"/>
        <w:rFonts w:ascii="Arial" w:hAnsi="Arial" w:cs="Arial"/>
        <w:b/>
        <w:noProof/>
        <w:sz w:val="22"/>
        <w:szCs w:val="22"/>
      </w:rPr>
      <w:t>2</w:t>
    </w:r>
    <w:r>
      <w:rPr>
        <w:rStyle w:val="Nmerodepgina1"/>
        <w:rFonts w:ascii="Arial" w:hAnsi="Arial" w:cs="Arial"/>
        <w:b/>
        <w:sz w:val="22"/>
        <w:szCs w:val="22"/>
      </w:rPr>
      <w:fldChar w:fldCharType="end"/>
    </w:r>
  </w:p>
  <w:p w14:paraId="7F6826CD" w14:textId="77777777" w:rsidR="00D7574A" w:rsidRDefault="004E0BA9">
    <w:pPr>
      <w:pStyle w:val="Standard"/>
      <w:ind w:right="360"/>
      <w:jc w:val="both"/>
      <w:rPr>
        <w:rFonts w:ascii="Arial" w:hAnsi="Arial" w:cs="Arial"/>
        <w:i/>
        <w:spacing w:val="-3"/>
        <w:sz w:val="14"/>
        <w:szCs w:val="22"/>
      </w:rPr>
    </w:pPr>
  </w:p>
  <w:p w14:paraId="59A57FB5" w14:textId="77777777" w:rsidR="00D7574A" w:rsidRDefault="00173713">
    <w:pPr>
      <w:widowControl/>
      <w:jc w:val="center"/>
      <w:textAlignment w:val="auto"/>
    </w:pPr>
    <w:r>
      <w:rPr>
        <w:rStyle w:val="Fuentedeprrafopredeter1"/>
        <w:rFonts w:ascii="Work Sans" w:eastAsia="Times New Roman" w:hAnsi="Work Sans" w:cs="Arial"/>
        <w:i/>
        <w:kern w:val="0"/>
        <w:sz w:val="18"/>
        <w:szCs w:val="18"/>
        <w:lang w:eastAsia="es-CO" w:bidi="ar-SA"/>
      </w:rPr>
      <w:t>“</w:t>
    </w:r>
    <w:r>
      <w:rPr>
        <w:rStyle w:val="Fuentedeprrafopredeter1"/>
        <w:rFonts w:ascii="Work Sans" w:eastAsia="Times New Roman" w:hAnsi="Work Sans" w:cs="Arial"/>
        <w:i/>
        <w:kern w:val="0"/>
        <w:sz w:val="18"/>
        <w:szCs w:val="18"/>
        <w:lang w:val="es-CO" w:eastAsia="es-CO" w:bidi="ar-SA"/>
      </w:rPr>
      <w:t>Por la cual se modifica el artículo 3 de la Resolución Nº 0035 de 2016 “Por la cual establece tarifa diferencial para la estación de peaje de Alto Pino” y se dictan otras disposiciones.”</w:t>
    </w:r>
  </w:p>
  <w:p w14:paraId="3D2118B2" w14:textId="77777777" w:rsidR="00D7574A" w:rsidRDefault="004E0BA9">
    <w:pPr>
      <w:pStyle w:val="Standard"/>
      <w:rPr>
        <w:rFonts w:ascii="Garamond" w:hAnsi="Garamond" w:cs="Garamond"/>
        <w:i/>
        <w:sz w:val="22"/>
        <w:szCs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B5E8" w14:textId="77777777" w:rsidR="00D7574A" w:rsidRDefault="00173713">
    <w:r>
      <w:rPr>
        <w:rStyle w:val="Fuentedeprrafopredeter1"/>
        <w:noProof/>
        <w:lang w:val="es-ES_tradnl" w:eastAsia="es-ES_tradnl" w:bidi="ar-SA"/>
      </w:rPr>
      <w:drawing>
        <wp:inline distT="0" distB="0" distL="0" distR="0" wp14:anchorId="060E2AEF" wp14:editId="6891B7C3">
          <wp:extent cx="5400044" cy="825090"/>
          <wp:effectExtent l="0" t="0" r="0" b="0"/>
          <wp:docPr id="1" name="Imagen 2" descr="C:\Users\soporteorfeo\Desktop\libre office plantillas ORFEO\Nuevas 2\Logo Orfeo (00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400044" cy="825090"/>
                  </a:xfrm>
                  <a:prstGeom prst="rect">
                    <a:avLst/>
                  </a:prstGeom>
                  <a:noFill/>
                  <a:ln>
                    <a:noFill/>
                    <a:prstDash/>
                  </a:ln>
                </pic:spPr>
              </pic:pic>
            </a:graphicData>
          </a:graphic>
        </wp:inline>
      </w:drawing>
    </w:r>
  </w:p>
  <w:p w14:paraId="6BF14006" w14:textId="77777777" w:rsidR="00D7574A" w:rsidRDefault="004E0BA9">
    <w:pPr>
      <w:pStyle w:val="Encabezado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0747"/>
    <w:multiLevelType w:val="multilevel"/>
    <w:tmpl w:val="DFF8AD9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4420400"/>
    <w:multiLevelType w:val="multilevel"/>
    <w:tmpl w:val="62E8D6C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7236C0E"/>
    <w:multiLevelType w:val="multilevel"/>
    <w:tmpl w:val="64DCDC00"/>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0C9263C"/>
    <w:multiLevelType w:val="multilevel"/>
    <w:tmpl w:val="F92489B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6B24D77"/>
    <w:multiLevelType w:val="multilevel"/>
    <w:tmpl w:val="2490FC98"/>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1855185A"/>
    <w:multiLevelType w:val="multilevel"/>
    <w:tmpl w:val="BF50E4E0"/>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A6362C1"/>
    <w:multiLevelType w:val="multilevel"/>
    <w:tmpl w:val="8E444ABC"/>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E1A4A98"/>
    <w:multiLevelType w:val="multilevel"/>
    <w:tmpl w:val="F9C0FC7A"/>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FA32D96"/>
    <w:multiLevelType w:val="multilevel"/>
    <w:tmpl w:val="2B8041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465E5690"/>
    <w:multiLevelType w:val="multilevel"/>
    <w:tmpl w:val="15D4C29A"/>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4B87440E"/>
    <w:multiLevelType w:val="multilevel"/>
    <w:tmpl w:val="1C2E75F6"/>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E502A47"/>
    <w:multiLevelType w:val="multilevel"/>
    <w:tmpl w:val="3AFEA874"/>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55E86089"/>
    <w:multiLevelType w:val="multilevel"/>
    <w:tmpl w:val="517A4F42"/>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56036F5B"/>
    <w:multiLevelType w:val="multilevel"/>
    <w:tmpl w:val="A0FEB604"/>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6D4D6823"/>
    <w:multiLevelType w:val="multilevel"/>
    <w:tmpl w:val="AF8C2226"/>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73205548"/>
    <w:multiLevelType w:val="multilevel"/>
    <w:tmpl w:val="F9FCF754"/>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7B041D33"/>
    <w:multiLevelType w:val="multilevel"/>
    <w:tmpl w:val="AFE2E814"/>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7B926262"/>
    <w:multiLevelType w:val="multilevel"/>
    <w:tmpl w:val="194496B4"/>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EA83D66"/>
    <w:multiLevelType w:val="multilevel"/>
    <w:tmpl w:val="676C3B58"/>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5"/>
  </w:num>
  <w:num w:numId="2">
    <w:abstractNumId w:val="17"/>
  </w:num>
  <w:num w:numId="3">
    <w:abstractNumId w:val="16"/>
  </w:num>
  <w:num w:numId="4">
    <w:abstractNumId w:val="1"/>
  </w:num>
  <w:num w:numId="5">
    <w:abstractNumId w:val="12"/>
  </w:num>
  <w:num w:numId="6">
    <w:abstractNumId w:val="4"/>
  </w:num>
  <w:num w:numId="7">
    <w:abstractNumId w:val="18"/>
  </w:num>
  <w:num w:numId="8">
    <w:abstractNumId w:val="5"/>
  </w:num>
  <w:num w:numId="9">
    <w:abstractNumId w:val="0"/>
  </w:num>
  <w:num w:numId="10">
    <w:abstractNumId w:val="13"/>
  </w:num>
  <w:num w:numId="11">
    <w:abstractNumId w:val="6"/>
  </w:num>
  <w:num w:numId="12">
    <w:abstractNumId w:val="7"/>
  </w:num>
  <w:num w:numId="13">
    <w:abstractNumId w:val="9"/>
  </w:num>
  <w:num w:numId="14">
    <w:abstractNumId w:val="2"/>
  </w:num>
  <w:num w:numId="15">
    <w:abstractNumId w:val="11"/>
  </w:num>
  <w:num w:numId="16">
    <w:abstractNumId w:val="14"/>
  </w:num>
  <w:num w:numId="17">
    <w:abstractNumId w:val="8"/>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FD"/>
    <w:rsid w:val="000E5C64"/>
    <w:rsid w:val="00173713"/>
    <w:rsid w:val="004E0BA9"/>
    <w:rsid w:val="00D56915"/>
    <w:rsid w:val="00F40E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2C6D98A"/>
  <w15:docId w15:val="{DFCABD08-7470-44C0-86FD-7B73F256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1"/>
    <w:pPr>
      <w:tabs>
        <w:tab w:val="clear" w:pos="4395"/>
      </w:tabs>
      <w:suppressAutoHyphens w:val="0"/>
      <w:jc w:val="both"/>
    </w:pPr>
    <w:rPr>
      <w:bCs/>
      <w:spacing w:val="0"/>
      <w:sz w:val="24"/>
      <w:szCs w:val="24"/>
    </w:rPr>
  </w:style>
  <w:style w:type="paragraph" w:customStyle="1" w:styleId="Ttulo11">
    <w:name w:val="Título 11"/>
    <w:basedOn w:val="Standard"/>
    <w:next w:val="Standard"/>
    <w:pPr>
      <w:keepNext/>
      <w:tabs>
        <w:tab w:val="left" w:pos="-720"/>
        <w:tab w:val="left" w:pos="4395"/>
      </w:tabs>
      <w:jc w:val="center"/>
      <w:outlineLvl w:val="0"/>
    </w:pPr>
    <w:rPr>
      <w:rFonts w:ascii="Arial" w:eastAsia="Arial" w:hAnsi="Arial" w:cs="Arial"/>
      <w:b/>
      <w:spacing w:val="-3"/>
      <w:sz w:val="28"/>
    </w:rPr>
  </w:style>
  <w:style w:type="paragraph" w:customStyle="1" w:styleId="Ttulo21">
    <w:name w:val="Título 21"/>
    <w:basedOn w:val="Standard"/>
    <w:next w:val="Standard"/>
    <w:pPr>
      <w:keepNext/>
      <w:widowControl w:val="0"/>
      <w:jc w:val="center"/>
      <w:outlineLvl w:val="1"/>
    </w:pPr>
    <w:rPr>
      <w:rFonts w:ascii="Arial" w:eastAsia="Arial" w:hAnsi="Arial" w:cs="Arial"/>
      <w:b/>
    </w:rPr>
  </w:style>
  <w:style w:type="paragraph" w:customStyle="1" w:styleId="Ttulo31">
    <w:name w:val="Título 31"/>
    <w:basedOn w:val="Standard"/>
    <w:next w:val="Standard"/>
    <w:pPr>
      <w:keepNext/>
      <w:tabs>
        <w:tab w:val="left" w:pos="-720"/>
        <w:tab w:val="right" w:pos="8080"/>
      </w:tabs>
      <w:jc w:val="both"/>
      <w:outlineLvl w:val="2"/>
    </w:pPr>
    <w:rPr>
      <w:rFonts w:ascii="Arial" w:eastAsia="Arial" w:hAnsi="Arial" w:cs="Arial"/>
      <w:spacing w:val="-3"/>
      <w:sz w:val="28"/>
    </w:rPr>
  </w:style>
  <w:style w:type="paragraph" w:customStyle="1" w:styleId="Ttulo41">
    <w:name w:val="Título 41"/>
    <w:basedOn w:val="Standard"/>
    <w:next w:val="Standard"/>
    <w:pPr>
      <w:keepNext/>
      <w:tabs>
        <w:tab w:val="left" w:pos="-720"/>
      </w:tabs>
      <w:ind w:right="851"/>
      <w:jc w:val="both"/>
      <w:outlineLvl w:val="3"/>
    </w:pPr>
    <w:rPr>
      <w:rFonts w:ascii="Arial" w:eastAsia="Arial" w:hAnsi="Arial" w:cs="Arial"/>
      <w:b/>
      <w:bCs/>
      <w:spacing w:val="-3"/>
      <w:sz w:val="28"/>
    </w:rPr>
  </w:style>
  <w:style w:type="paragraph" w:customStyle="1" w:styleId="Ttulo51">
    <w:name w:val="Título 51"/>
    <w:basedOn w:val="Standard"/>
    <w:next w:val="Standard"/>
    <w:pPr>
      <w:keepNext/>
      <w:outlineLvl w:val="4"/>
    </w:pPr>
    <w:rPr>
      <w:rFonts w:ascii="Arial" w:eastAsia="Arial" w:hAnsi="Arial" w:cs="Arial"/>
      <w:b/>
      <w:bCs/>
      <w:sz w:val="28"/>
    </w:rPr>
  </w:style>
  <w:style w:type="paragraph" w:customStyle="1" w:styleId="Ttulo61">
    <w:name w:val="Título 61"/>
    <w:basedOn w:val="Standard"/>
    <w:next w:val="Standard"/>
    <w:pPr>
      <w:keepNext/>
      <w:tabs>
        <w:tab w:val="left" w:pos="-720"/>
      </w:tabs>
      <w:jc w:val="both"/>
      <w:outlineLvl w:val="5"/>
    </w:pPr>
    <w:rPr>
      <w:rFonts w:ascii="Arial" w:eastAsia="Arial" w:hAnsi="Arial" w:cs="Arial"/>
      <w:spacing w:val="-3"/>
      <w:sz w:val="28"/>
    </w:rPr>
  </w:style>
  <w:style w:type="paragraph" w:customStyle="1" w:styleId="Ttulo71">
    <w:name w:val="Título 71"/>
    <w:basedOn w:val="Standard"/>
    <w:next w:val="Standard"/>
    <w:pPr>
      <w:keepNext/>
      <w:outlineLvl w:val="6"/>
    </w:pPr>
    <w:rPr>
      <w:rFonts w:ascii="Arial" w:eastAsia="Arial" w:hAnsi="Arial" w:cs="Arial"/>
    </w:rPr>
  </w:style>
  <w:style w:type="paragraph" w:customStyle="1" w:styleId="Ttulo81">
    <w:name w:val="Título 81"/>
    <w:basedOn w:val="Standard"/>
    <w:next w:val="Standard"/>
    <w:pPr>
      <w:keepNext/>
      <w:tabs>
        <w:tab w:val="left" w:pos="-720"/>
      </w:tabs>
      <w:jc w:val="center"/>
      <w:outlineLvl w:val="7"/>
    </w:pPr>
    <w:rPr>
      <w:sz w:val="28"/>
    </w:rPr>
  </w:style>
  <w:style w:type="paragraph" w:customStyle="1" w:styleId="Ttulo91">
    <w:name w:val="Título 91"/>
    <w:basedOn w:val="Standard"/>
    <w:next w:val="Standard"/>
    <w:pPr>
      <w:keepNext/>
      <w:tabs>
        <w:tab w:val="left" w:pos="-720"/>
        <w:tab w:val="left" w:pos="4395"/>
      </w:tabs>
      <w:jc w:val="both"/>
      <w:outlineLvl w:val="8"/>
    </w:pPr>
    <w:rPr>
      <w:rFonts w:ascii="Arial" w:eastAsia="Arial" w:hAnsi="Arial" w:cs="Arial"/>
      <w:b/>
      <w:sz w:val="28"/>
    </w:rPr>
  </w:style>
  <w:style w:type="character" w:customStyle="1" w:styleId="Fuentedeprrafopredeter1">
    <w:name w:val="Fuente de párrafo predeter.1"/>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eastAsia="Arial" w:hAnsi="Arial" w:cs="Arial"/>
      <w:b/>
      <w:sz w:val="32"/>
    </w:rPr>
  </w:style>
  <w:style w:type="paragraph" w:customStyle="1" w:styleId="Textbody">
    <w:name w:val="Text body"/>
    <w:basedOn w:val="Standard"/>
    <w:pPr>
      <w:tabs>
        <w:tab w:val="left" w:pos="-720"/>
      </w:tabs>
      <w:jc w:val="both"/>
    </w:pPr>
    <w:rPr>
      <w:rFonts w:ascii="Arial" w:eastAsia="Arial" w:hAnsi="Arial" w:cs="Arial"/>
      <w:spacing w:val="-3"/>
      <w:sz w:val="28"/>
    </w:rPr>
  </w:style>
  <w:style w:type="paragraph" w:customStyle="1" w:styleId="Lista1">
    <w:name w:val="Lista1"/>
    <w:basedOn w:val="Standard"/>
    <w:pPr>
      <w:ind w:left="283" w:hanging="283"/>
    </w:pPr>
    <w:rPr>
      <w:rFonts w:ascii="Times New Roman" w:hAnsi="Times New Roman" w:cs="Times New Roman"/>
      <w:lang w:val="es-CO"/>
    </w:rPr>
  </w:style>
  <w:style w:type="paragraph" w:customStyle="1" w:styleId="Descripcin1">
    <w:name w:val="Descripción1"/>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customStyle="1" w:styleId="ndice11">
    <w:name w:val="Índice 11"/>
    <w:basedOn w:val="Standard"/>
    <w:next w:val="Standard"/>
    <w:pPr>
      <w:tabs>
        <w:tab w:val="right" w:pos="4867"/>
      </w:tabs>
      <w:ind w:left="240" w:hanging="240"/>
    </w:pPr>
    <w:rPr>
      <w:rFonts w:ascii="Times New Roman" w:hAnsi="Times New Roman" w:cs="Times New Roman"/>
      <w:sz w:val="18"/>
    </w:rPr>
  </w:style>
  <w:style w:type="paragraph" w:customStyle="1" w:styleId="ndice21">
    <w:name w:val="Índice 21"/>
    <w:basedOn w:val="Standard"/>
    <w:next w:val="Standard"/>
    <w:pPr>
      <w:tabs>
        <w:tab w:val="right" w:pos="5107"/>
      </w:tabs>
      <w:ind w:left="480" w:hanging="240"/>
    </w:pPr>
    <w:rPr>
      <w:rFonts w:ascii="Times New Roman" w:hAnsi="Times New Roman" w:cs="Times New Roman"/>
      <w:sz w:val="18"/>
    </w:rPr>
  </w:style>
  <w:style w:type="paragraph" w:customStyle="1" w:styleId="ndice31">
    <w:name w:val="Índice 31"/>
    <w:basedOn w:val="Standard"/>
    <w:next w:val="Standard"/>
    <w:pPr>
      <w:tabs>
        <w:tab w:val="right" w:pos="5347"/>
      </w:tabs>
      <w:ind w:left="720" w:hanging="240"/>
    </w:pPr>
    <w:rPr>
      <w:rFonts w:ascii="Times New Roman" w:hAnsi="Times New Roman" w:cs="Times New Roman"/>
      <w:sz w:val="18"/>
    </w:rPr>
  </w:style>
  <w:style w:type="paragraph" w:customStyle="1" w:styleId="ndice41">
    <w:name w:val="Índice 41"/>
    <w:basedOn w:val="Standard"/>
    <w:next w:val="Standard"/>
    <w:pPr>
      <w:tabs>
        <w:tab w:val="right" w:pos="5587"/>
      </w:tabs>
      <w:ind w:left="960" w:hanging="240"/>
    </w:pPr>
    <w:rPr>
      <w:rFonts w:ascii="Times New Roman" w:hAnsi="Times New Roman" w:cs="Times New Roman"/>
      <w:sz w:val="18"/>
    </w:rPr>
  </w:style>
  <w:style w:type="paragraph" w:customStyle="1" w:styleId="ndice51">
    <w:name w:val="Índice 51"/>
    <w:basedOn w:val="Standard"/>
    <w:next w:val="Standard"/>
    <w:pPr>
      <w:tabs>
        <w:tab w:val="right" w:pos="5827"/>
      </w:tabs>
      <w:ind w:left="1200" w:hanging="240"/>
    </w:pPr>
    <w:rPr>
      <w:rFonts w:ascii="Times New Roman" w:hAnsi="Times New Roman" w:cs="Times New Roman"/>
      <w:sz w:val="18"/>
    </w:rPr>
  </w:style>
  <w:style w:type="paragraph" w:customStyle="1" w:styleId="ndice61">
    <w:name w:val="Índice 61"/>
    <w:basedOn w:val="Standard"/>
    <w:next w:val="Standard"/>
    <w:pPr>
      <w:tabs>
        <w:tab w:val="right" w:pos="6067"/>
      </w:tabs>
      <w:ind w:left="1440" w:hanging="240"/>
    </w:pPr>
    <w:rPr>
      <w:rFonts w:ascii="Times New Roman" w:hAnsi="Times New Roman" w:cs="Times New Roman"/>
      <w:sz w:val="18"/>
    </w:rPr>
  </w:style>
  <w:style w:type="paragraph" w:customStyle="1" w:styleId="ndice71">
    <w:name w:val="Índice 71"/>
    <w:basedOn w:val="Standard"/>
    <w:next w:val="Standard"/>
    <w:pPr>
      <w:tabs>
        <w:tab w:val="right" w:pos="6307"/>
      </w:tabs>
      <w:ind w:left="1680" w:hanging="240"/>
    </w:pPr>
    <w:rPr>
      <w:rFonts w:ascii="Times New Roman" w:hAnsi="Times New Roman" w:cs="Times New Roman"/>
      <w:sz w:val="18"/>
    </w:rPr>
  </w:style>
  <w:style w:type="paragraph" w:customStyle="1" w:styleId="ndice81">
    <w:name w:val="Índice 81"/>
    <w:basedOn w:val="Standard"/>
    <w:next w:val="Standard"/>
    <w:pPr>
      <w:tabs>
        <w:tab w:val="right" w:pos="6547"/>
      </w:tabs>
      <w:ind w:left="1920" w:hanging="240"/>
    </w:pPr>
    <w:rPr>
      <w:rFonts w:ascii="Times New Roman" w:hAnsi="Times New Roman" w:cs="Times New Roman"/>
      <w:sz w:val="18"/>
    </w:rPr>
  </w:style>
  <w:style w:type="paragraph" w:customStyle="1" w:styleId="ndice91">
    <w:name w:val="Índice 91"/>
    <w:basedOn w:val="Standard"/>
    <w:next w:val="Standard"/>
    <w:pPr>
      <w:tabs>
        <w:tab w:val="right" w:pos="6787"/>
      </w:tabs>
      <w:ind w:left="2160" w:hanging="240"/>
    </w:pPr>
    <w:rPr>
      <w:rFonts w:ascii="Times New Roman" w:hAnsi="Times New Roman" w:cs="Times New Roman"/>
      <w:sz w:val="18"/>
    </w:rPr>
  </w:style>
  <w:style w:type="paragraph" w:customStyle="1" w:styleId="Ttulodendice1">
    <w:name w:val="Título de índice1"/>
    <w:basedOn w:val="Standard"/>
    <w:next w:val="ndice11"/>
    <w:pPr>
      <w:spacing w:before="240" w:after="120"/>
      <w:jc w:val="center"/>
    </w:pPr>
    <w:rPr>
      <w:rFonts w:ascii="Times New Roman" w:hAnsi="Times New Roman" w:cs="Times New Roman"/>
      <w:b/>
      <w:sz w:val="26"/>
    </w:rPr>
  </w:style>
  <w:style w:type="paragraph" w:customStyle="1" w:styleId="Encabezado1">
    <w:name w:val="Encabezado1"/>
    <w:basedOn w:val="Standard"/>
    <w:pPr>
      <w:suppressLineNumbers/>
      <w:tabs>
        <w:tab w:val="center" w:pos="4986"/>
        <w:tab w:val="right" w:pos="9972"/>
      </w:tabs>
    </w:pPr>
  </w:style>
  <w:style w:type="paragraph" w:customStyle="1" w:styleId="Piedepgina1">
    <w:name w:val="Pie de página1"/>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eastAsia="Arial" w:hAnsi="Arial" w:cs="Arial"/>
      <w:spacing w:val="-3"/>
      <w:sz w:val="28"/>
    </w:rPr>
  </w:style>
  <w:style w:type="paragraph" w:customStyle="1" w:styleId="Textoindependiente21">
    <w:name w:val="Texto independiente 21"/>
    <w:basedOn w:val="Standard"/>
    <w:pPr>
      <w:tabs>
        <w:tab w:val="left" w:pos="-720"/>
      </w:tabs>
      <w:ind w:right="851"/>
      <w:jc w:val="both"/>
    </w:pPr>
    <w:rPr>
      <w:rFonts w:ascii="Arial" w:eastAsia="Arial" w:hAnsi="Arial" w:cs="Arial"/>
      <w:spacing w:val="-3"/>
      <w:sz w:val="28"/>
    </w:rPr>
  </w:style>
  <w:style w:type="paragraph" w:customStyle="1" w:styleId="Textoindependiente31">
    <w:name w:val="Texto independiente 31"/>
    <w:basedOn w:val="Standard"/>
    <w:rPr>
      <w:rFonts w:ascii="Arial" w:eastAsia="Arial" w:hAnsi="Arial" w:cs="Arial"/>
      <w:sz w:val="28"/>
    </w:rPr>
  </w:style>
  <w:style w:type="paragraph" w:customStyle="1" w:styleId="Textodebloque1">
    <w:name w:val="Texto de bloque1"/>
    <w:basedOn w:val="Standard"/>
    <w:pPr>
      <w:ind w:left="851" w:right="851"/>
      <w:jc w:val="both"/>
    </w:pPr>
    <w:rPr>
      <w:rFonts w:ascii="Bookman Old Style" w:eastAsia="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customStyle="1" w:styleId="Textocomentario1">
    <w:name w:val="Texto comentario1"/>
    <w:basedOn w:val="Standard"/>
    <w:rPr>
      <w:rFonts w:ascii="Arial" w:eastAsia="Arial" w:hAnsi="Arial" w:cs="Arial"/>
      <w:sz w:val="20"/>
    </w:rPr>
  </w:style>
  <w:style w:type="paragraph" w:customStyle="1" w:styleId="TITULODOS">
    <w:name w:val="TITULO DOS"/>
    <w:basedOn w:val="Ttulo11"/>
    <w:pPr>
      <w:tabs>
        <w:tab w:val="clear" w:pos="4395"/>
        <w:tab w:val="left" w:pos="567"/>
      </w:tabs>
      <w:suppressAutoHyphens w:val="0"/>
      <w:jc w:val="both"/>
    </w:pPr>
    <w:rPr>
      <w:bCs/>
      <w:spacing w:val="0"/>
      <w:sz w:val="24"/>
      <w:szCs w:val="24"/>
    </w:rPr>
  </w:style>
  <w:style w:type="paragraph" w:customStyle="1" w:styleId="titulotres">
    <w:name w:val="titulo tres"/>
    <w:basedOn w:val="Ttulo11"/>
    <w:pPr>
      <w:widowControl w:val="0"/>
      <w:numPr>
        <w:numId w:val="6"/>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eastAsia="Arial" w:hAnsi="Arial" w:cs="Arial"/>
      <w:b/>
    </w:rPr>
  </w:style>
  <w:style w:type="paragraph" w:customStyle="1" w:styleId="Car">
    <w:name w:val="Car"/>
    <w:basedOn w:val="Standard"/>
    <w:pPr>
      <w:spacing w:after="160" w:line="240" w:lineRule="exact"/>
    </w:pPr>
    <w:rPr>
      <w:rFonts w:ascii="Tahoma" w:eastAsia="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customStyle="1" w:styleId="Sinespaciado1">
    <w:name w:val="Sin espaciado1"/>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customStyle="1" w:styleId="Prrafodelista1">
    <w:name w:val="Párrafo de lista1"/>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paragraph" w:customStyle="1" w:styleId="Textodeglobo1">
    <w:name w:val="Texto de globo1"/>
    <w:basedOn w:val="Normal"/>
    <w:rPr>
      <w:rFonts w:ascii="Tahoma" w:eastAsia="Tahoma" w:hAnsi="Tahoma" w:cs="Mangal"/>
      <w:sz w:val="16"/>
      <w:szCs w:val="14"/>
    </w:rPr>
  </w:style>
  <w:style w:type="character" w:customStyle="1" w:styleId="WW8Num1z0">
    <w:name w:val="WW8Num1z0"/>
    <w:rPr>
      <w:rFonts w:ascii="Arial" w:eastAsia="Arial" w:hAnsi="Arial" w:cs="Arial"/>
      <w:spacing w:val="6"/>
      <w:sz w:val="22"/>
      <w:szCs w:val="22"/>
    </w:rPr>
  </w:style>
  <w:style w:type="character" w:customStyle="1" w:styleId="WW8Num2z0">
    <w:name w:val="WW8Num2z0"/>
    <w:rPr>
      <w:rFonts w:ascii="Arial" w:eastAsia="Arial" w:hAnsi="Arial" w:cs="Arial"/>
      <w:sz w:val="24"/>
      <w:szCs w:val="24"/>
    </w:rPr>
  </w:style>
  <w:style w:type="character" w:customStyle="1" w:styleId="WW8Num5z0">
    <w:name w:val="WW8Num5z0"/>
    <w:rPr>
      <w:b w:val="0"/>
    </w:rPr>
  </w:style>
  <w:style w:type="character" w:customStyle="1" w:styleId="WW8Num8z0">
    <w:name w:val="WW8Num8z0"/>
    <w:rPr>
      <w:rFonts w:ascii="Arial" w:eastAsia="Arial" w:hAnsi="Arial" w:cs="Arial"/>
      <w:b w:val="0"/>
      <w:i w:val="0"/>
      <w:sz w:val="22"/>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customStyle="1" w:styleId="Nmerodepgina1">
    <w:name w:val="Número de página1"/>
    <w:basedOn w:val="Fuentedeprrafopredeter1"/>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eastAsia="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1"/>
    <w:rPr>
      <w:rFonts w:cs="Mangal"/>
      <w:szCs w:val="21"/>
    </w:rPr>
  </w:style>
  <w:style w:type="character" w:customStyle="1" w:styleId="PiedepginaCar">
    <w:name w:val="Pie de página Car"/>
    <w:basedOn w:val="Fuentedeprrafopredeter1"/>
    <w:rPr>
      <w:rFonts w:cs="Mangal"/>
      <w:szCs w:val="21"/>
    </w:rPr>
  </w:style>
  <w:style w:type="character" w:customStyle="1" w:styleId="TextodegloboCar">
    <w:name w:val="Texto de globo Car"/>
    <w:basedOn w:val="Fuentedeprrafopredeter1"/>
    <w:rPr>
      <w:rFonts w:ascii="Tahoma" w:eastAsia="Tahoma" w:hAnsi="Tahoma" w:cs="Mangal"/>
      <w:sz w:val="16"/>
      <w:szCs w:val="14"/>
    </w:rPr>
  </w:style>
  <w:style w:type="paragraph" w:customStyle="1" w:styleId="Sangradetextonormal1">
    <w:name w:val="Sangría de texto normal1"/>
    <w:basedOn w:val="Normal"/>
    <w:pPr>
      <w:spacing w:after="120"/>
      <w:ind w:left="283"/>
    </w:pPr>
    <w:rPr>
      <w:rFonts w:cs="Mangal"/>
      <w:szCs w:val="21"/>
    </w:rPr>
  </w:style>
  <w:style w:type="character" w:customStyle="1" w:styleId="SangradetextonormalCar">
    <w:name w:val="Sangría de texto normal Car"/>
    <w:basedOn w:val="Fuentedeprrafopredeter1"/>
    <w:rPr>
      <w:rFonts w:cs="Mangal"/>
      <w:szCs w:val="21"/>
    </w:rPr>
  </w:style>
  <w:style w:type="paragraph" w:customStyle="1" w:styleId="Estilo">
    <w:name w:val="Estilo"/>
    <w:pPr>
      <w:suppressAutoHyphens/>
      <w:autoSpaceDE w:val="0"/>
      <w:textAlignment w:val="auto"/>
    </w:pPr>
    <w:rPr>
      <w:rFonts w:ascii="Arial" w:eastAsia="Times New Roman" w:hAnsi="Arial" w:cs="Arial"/>
      <w:kern w:val="0"/>
      <w:lang w:eastAsia="es-ES" w:bidi="ar-SA"/>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paragraph" w:styleId="Encabezado">
    <w:name w:val="header"/>
    <w:basedOn w:val="Normal"/>
    <w:link w:val="EncabezadoCar1"/>
    <w:uiPriority w:val="99"/>
    <w:unhideWhenUsed/>
    <w:pPr>
      <w:tabs>
        <w:tab w:val="center" w:pos="4680"/>
        <w:tab w:val="right" w:pos="9360"/>
      </w:tabs>
    </w:pPr>
    <w:rPr>
      <w:rFonts w:cs="Mangal"/>
      <w:szCs w:val="21"/>
    </w:rPr>
  </w:style>
  <w:style w:type="character" w:customStyle="1" w:styleId="EncabezadoCar1">
    <w:name w:val="Encabezado Car1"/>
    <w:basedOn w:val="Fuentedeprrafopredeter"/>
    <w:link w:val="Encabezado"/>
    <w:uiPriority w:val="9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exbase.biz/lexbase/normas/leyes/1993/L0105de1993.htm" TargetMode="External"/><Relationship Id="rId8" Type="http://schemas.openxmlformats.org/officeDocument/2006/relationships/hyperlink" Target="http://www.lexbase.biz/lexbase/normas/leyes/2002/L0787de2002.htm"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1799</Words>
  <Characters>9900</Characters>
  <Application>Microsoft Macintosh Word</Application>
  <DocSecurity>0</DocSecurity>
  <Lines>82</Lines>
  <Paragraphs>23</Paragraphs>
  <ScaleCrop>false</ScaleCrop>
  <Company/>
  <LinksUpToDate>false</LinksUpToDate>
  <CharactersWithSpaces>11676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Usuario de Microsoft Office</cp:lastModifiedBy>
  <cp:revision>2</cp:revision>
  <cp:lastPrinted>2019-06-11T18:00:00Z</cp:lastPrinted>
  <dcterms:created xsi:type="dcterms:W3CDTF">2019-06-11T23:19:00Z</dcterms:created>
  <dcterms:modified xsi:type="dcterms:W3CDTF">2019-06-11T23:19:00Z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