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078" w:rsidRPr="00DC55C7" w:rsidRDefault="00687078" w:rsidP="00687078">
      <w:pPr>
        <w:widowControl/>
        <w:jc w:val="both"/>
        <w:rPr>
          <w:rFonts w:ascii="Arial Narrow" w:hAnsi="Arial Narrow" w:cs="Arial"/>
          <w:lang w:bidi="ar-SA"/>
        </w:rPr>
      </w:pPr>
    </w:p>
    <w:p w:rsidR="00687078" w:rsidRPr="00DC55C7" w:rsidRDefault="00687078" w:rsidP="00687078">
      <w:pPr>
        <w:keepNext/>
        <w:tabs>
          <w:tab w:val="left" w:pos="4253"/>
        </w:tabs>
        <w:suppressAutoHyphens w:val="0"/>
        <w:jc w:val="center"/>
        <w:textAlignment w:val="auto"/>
        <w:rPr>
          <w:rFonts w:ascii="Arial Narrow" w:hAnsi="Arial Narrow" w:cs="Arial"/>
        </w:rPr>
      </w:pPr>
      <w:r w:rsidRPr="00DC55C7">
        <w:rPr>
          <w:rFonts w:ascii="Arial Narrow" w:hAnsi="Arial Narrow" w:cs="Arial"/>
          <w:b/>
          <w:kern w:val="0"/>
          <w:lang w:val="es" w:eastAsia="es-ES" w:bidi="ar-SA"/>
        </w:rPr>
        <w:t>RESOLUCIÓN</w:t>
      </w:r>
      <w:r w:rsidRPr="00DC55C7">
        <w:rPr>
          <w:rFonts w:ascii="Arial Narrow" w:eastAsia="Futura Bk BT" w:hAnsi="Arial Narrow" w:cs="Arial"/>
          <w:b/>
          <w:kern w:val="0"/>
          <w:lang w:val="es" w:eastAsia="es-ES" w:bidi="ar-SA"/>
        </w:rPr>
        <w:t xml:space="preserve"> </w:t>
      </w:r>
      <w:r w:rsidRPr="00DC55C7">
        <w:rPr>
          <w:rFonts w:ascii="Arial Narrow" w:hAnsi="Arial Narrow" w:cs="Arial"/>
          <w:b/>
          <w:kern w:val="0"/>
          <w:lang w:val="es" w:eastAsia="es-ES" w:bidi="ar-SA"/>
        </w:rPr>
        <w:t>NÚMERO</w:t>
      </w:r>
      <w:r w:rsidRPr="00DC55C7">
        <w:rPr>
          <w:rFonts w:ascii="Arial Narrow" w:eastAsia="Futura Bk BT" w:hAnsi="Arial Narrow" w:cs="Arial"/>
          <w:b/>
          <w:kern w:val="0"/>
          <w:lang w:val="es" w:eastAsia="es-ES" w:bidi="ar-SA"/>
        </w:rPr>
        <w:t xml:space="preserve">                                          </w:t>
      </w:r>
      <w:r w:rsidRPr="00DC55C7">
        <w:rPr>
          <w:rFonts w:ascii="Arial Narrow" w:hAnsi="Arial Narrow" w:cs="Arial"/>
          <w:b/>
          <w:kern w:val="0"/>
          <w:lang w:val="es" w:eastAsia="es-ES" w:bidi="ar-SA"/>
        </w:rPr>
        <w:t>DE</w:t>
      </w:r>
      <w:r w:rsidRPr="00DC55C7">
        <w:rPr>
          <w:rFonts w:ascii="Arial Narrow" w:eastAsia="Futura Bk BT" w:hAnsi="Arial Narrow" w:cs="Arial"/>
          <w:b/>
          <w:kern w:val="0"/>
          <w:lang w:val="es" w:eastAsia="es-ES" w:bidi="ar-SA"/>
        </w:rPr>
        <w:t xml:space="preserve"> </w:t>
      </w:r>
      <w:r w:rsidR="00607155">
        <w:rPr>
          <w:rFonts w:ascii="Arial Narrow" w:hAnsi="Arial Narrow" w:cs="Arial"/>
          <w:b/>
          <w:kern w:val="0"/>
          <w:lang w:val="es" w:eastAsia="es-ES" w:bidi="ar-SA"/>
        </w:rPr>
        <w:t>2017</w:t>
      </w:r>
    </w:p>
    <w:p w:rsidR="00687078" w:rsidRPr="00DC55C7" w:rsidRDefault="00687078" w:rsidP="00687078">
      <w:pPr>
        <w:widowControl/>
        <w:suppressAutoHyphens w:val="0"/>
        <w:jc w:val="center"/>
        <w:textAlignment w:val="auto"/>
        <w:rPr>
          <w:rFonts w:ascii="Arial Narrow" w:hAnsi="Arial Narrow" w:cs="Arial"/>
          <w:kern w:val="0"/>
          <w:lang w:eastAsia="es-ES" w:bidi="ar-SA"/>
        </w:rPr>
      </w:pPr>
    </w:p>
    <w:p w:rsidR="00687078" w:rsidRPr="00DC55C7" w:rsidRDefault="00687078" w:rsidP="00687078">
      <w:pPr>
        <w:widowControl/>
        <w:suppressAutoHyphens w:val="0"/>
        <w:jc w:val="center"/>
        <w:textAlignment w:val="auto"/>
        <w:rPr>
          <w:rFonts w:ascii="Arial Narrow" w:hAnsi="Arial Narrow" w:cs="Arial"/>
          <w:b/>
          <w:kern w:val="0"/>
          <w:lang w:eastAsia="es-ES" w:bidi="ar-SA"/>
        </w:rPr>
      </w:pPr>
      <w:r w:rsidRPr="00DC55C7">
        <w:rPr>
          <w:rFonts w:ascii="Arial Narrow" w:hAnsi="Arial Narrow" w:cs="Arial"/>
          <w:b/>
          <w:kern w:val="0"/>
          <w:lang w:eastAsia="es-ES" w:bidi="ar-SA"/>
        </w:rPr>
        <w:t>(                                             )</w:t>
      </w:r>
    </w:p>
    <w:p w:rsidR="00687078" w:rsidRPr="00DC55C7" w:rsidRDefault="00687078" w:rsidP="00687078">
      <w:pPr>
        <w:widowControl/>
        <w:jc w:val="both"/>
        <w:rPr>
          <w:rFonts w:ascii="Arial Narrow" w:hAnsi="Arial Narrow" w:cs="Arial"/>
          <w:lang w:bidi="ar-SA"/>
        </w:rPr>
      </w:pPr>
    </w:p>
    <w:p w:rsidR="00687078" w:rsidRPr="00DC55C7" w:rsidRDefault="00687078" w:rsidP="00607155">
      <w:pPr>
        <w:widowControl/>
        <w:autoSpaceDE w:val="0"/>
        <w:jc w:val="center"/>
        <w:rPr>
          <w:rFonts w:ascii="Arial Narrow" w:hAnsi="Arial Narrow" w:cs="Arial"/>
        </w:rPr>
      </w:pPr>
      <w:r w:rsidRPr="00DC55C7">
        <w:rPr>
          <w:rFonts w:ascii="Arial Narrow" w:hAnsi="Arial Narrow" w:cs="Arial"/>
        </w:rPr>
        <w:t>"</w:t>
      </w:r>
      <w:r w:rsidR="003042B7">
        <w:rPr>
          <w:rFonts w:ascii="Arial Narrow" w:hAnsi="Arial Narrow" w:cs="Arial"/>
          <w:i/>
        </w:rPr>
        <w:t xml:space="preserve">Mediante la cual se </w:t>
      </w:r>
      <w:r w:rsidRPr="00C553C4">
        <w:rPr>
          <w:rFonts w:ascii="Arial Narrow" w:hAnsi="Arial Narrow" w:cs="Arial"/>
          <w:i/>
        </w:rPr>
        <w:t>modifica</w:t>
      </w:r>
      <w:r w:rsidR="00C96E51">
        <w:rPr>
          <w:rFonts w:ascii="Arial Narrow" w:hAnsi="Arial Narrow" w:cs="Arial"/>
          <w:i/>
        </w:rPr>
        <w:t xml:space="preserve"> parcial</w:t>
      </w:r>
      <w:r w:rsidR="00F8708E">
        <w:rPr>
          <w:rFonts w:ascii="Arial Narrow" w:hAnsi="Arial Narrow" w:cs="Arial"/>
          <w:i/>
        </w:rPr>
        <w:t xml:space="preserve"> y temporalmente </w:t>
      </w:r>
      <w:r w:rsidR="00240394">
        <w:rPr>
          <w:rFonts w:ascii="Arial Narrow" w:hAnsi="Arial Narrow" w:cs="Arial"/>
          <w:i/>
        </w:rPr>
        <w:t>el Artí</w:t>
      </w:r>
      <w:r w:rsidR="00C96E51">
        <w:rPr>
          <w:rFonts w:ascii="Arial Narrow" w:hAnsi="Arial Narrow" w:cs="Arial"/>
          <w:i/>
        </w:rPr>
        <w:t>culo 3 de</w:t>
      </w:r>
      <w:r w:rsidRPr="00C553C4">
        <w:rPr>
          <w:rFonts w:ascii="Arial Narrow" w:hAnsi="Arial Narrow" w:cs="Arial"/>
          <w:i/>
        </w:rPr>
        <w:t xml:space="preserve"> la Resolución 1130 de 2015</w:t>
      </w:r>
      <w:r w:rsidR="00F8708E">
        <w:rPr>
          <w:rFonts w:ascii="Arial Narrow" w:hAnsi="Arial Narrow" w:cs="Arial"/>
          <w:i/>
        </w:rPr>
        <w:t xml:space="preserve">, exclusivamente respecto al esquema tarifario </w:t>
      </w:r>
      <w:r w:rsidRPr="00C553C4">
        <w:rPr>
          <w:rFonts w:ascii="Arial Narrow" w:hAnsi="Arial Narrow" w:cs="Arial"/>
          <w:i/>
        </w:rPr>
        <w:t>del Proyecto vial de Iniciativa Privada Malla Vial del Meta “I.P. Malla Vial del Meta” y se dictan otras disposiciones</w:t>
      </w:r>
      <w:r w:rsidRPr="00DC55C7">
        <w:rPr>
          <w:rFonts w:ascii="Arial Narrow" w:hAnsi="Arial Narrow" w:cs="Arial"/>
        </w:rPr>
        <w:t>”.</w:t>
      </w:r>
    </w:p>
    <w:p w:rsidR="006D2D76" w:rsidRDefault="006D2D76" w:rsidP="00687078">
      <w:pPr>
        <w:widowControl/>
        <w:jc w:val="center"/>
        <w:rPr>
          <w:rFonts w:ascii="Arial Narrow" w:hAnsi="Arial Narrow" w:cs="Arial"/>
          <w:b/>
        </w:rPr>
      </w:pPr>
    </w:p>
    <w:p w:rsidR="00687078" w:rsidRPr="00DC55C7" w:rsidRDefault="00687078" w:rsidP="00687078">
      <w:pPr>
        <w:widowControl/>
        <w:jc w:val="center"/>
        <w:rPr>
          <w:rFonts w:ascii="Arial Narrow" w:hAnsi="Arial Narrow" w:cs="Arial"/>
          <w:b/>
        </w:rPr>
      </w:pPr>
      <w:r w:rsidRPr="00DC55C7">
        <w:rPr>
          <w:rFonts w:ascii="Arial Narrow" w:hAnsi="Arial Narrow" w:cs="Arial"/>
          <w:b/>
        </w:rPr>
        <w:t>EL MINISTRO DE TRANSPORTE</w:t>
      </w:r>
    </w:p>
    <w:p w:rsidR="006D2D76" w:rsidRDefault="006D2D76" w:rsidP="001B2ABF">
      <w:pPr>
        <w:widowControl/>
        <w:autoSpaceDE w:val="0"/>
        <w:jc w:val="both"/>
        <w:rPr>
          <w:rFonts w:ascii="Arial Narrow" w:hAnsi="Arial Narrow" w:cs="Arial"/>
        </w:rPr>
      </w:pPr>
    </w:p>
    <w:p w:rsidR="00687078" w:rsidRPr="00DC55C7" w:rsidRDefault="00687078" w:rsidP="001B2ABF">
      <w:pPr>
        <w:widowControl/>
        <w:autoSpaceDE w:val="0"/>
        <w:jc w:val="both"/>
        <w:rPr>
          <w:rFonts w:ascii="Arial Narrow" w:hAnsi="Arial Narrow" w:cs="Arial"/>
        </w:rPr>
      </w:pPr>
      <w:r w:rsidRPr="00DC55C7">
        <w:rPr>
          <w:rFonts w:ascii="Arial Narrow" w:hAnsi="Arial Narrow" w:cs="Arial"/>
        </w:rPr>
        <w:t xml:space="preserve">En ejercicio de las facultades legales </w:t>
      </w:r>
      <w:r w:rsidRPr="00A438BE">
        <w:rPr>
          <w:rFonts w:ascii="Arial Narrow" w:hAnsi="Arial Narrow" w:cs="Arial"/>
        </w:rPr>
        <w:t>otorgadas mediante el Decreto 2510 del 03 de enero de 2015</w:t>
      </w:r>
      <w:r w:rsidRPr="00DC55C7">
        <w:rPr>
          <w:rFonts w:ascii="Arial Narrow" w:hAnsi="Arial Narrow" w:cs="Arial"/>
        </w:rPr>
        <w:t xml:space="preserve"> y en especial las conferidas por el artículo 21 de la Ley número 105 de 1993 modificado parcialmente por el Artículo 1 de la Ley 787 de 2002 y los numerales 6.14 y 6.15 del artículo 6° del Decreto número 087 de 2011, </w:t>
      </w:r>
    </w:p>
    <w:p w:rsidR="006D2D76" w:rsidRDefault="006D2D76" w:rsidP="00687078">
      <w:pPr>
        <w:widowControl/>
        <w:autoSpaceDE w:val="0"/>
        <w:jc w:val="center"/>
        <w:rPr>
          <w:rFonts w:ascii="Arial Narrow" w:hAnsi="Arial Narrow" w:cs="Arial"/>
          <w:b/>
        </w:rPr>
      </w:pPr>
    </w:p>
    <w:p w:rsidR="00687078" w:rsidRPr="00DC55C7" w:rsidRDefault="00687078" w:rsidP="00687078">
      <w:pPr>
        <w:widowControl/>
        <w:autoSpaceDE w:val="0"/>
        <w:jc w:val="center"/>
        <w:rPr>
          <w:rFonts w:ascii="Arial Narrow" w:hAnsi="Arial Narrow" w:cs="Arial"/>
          <w:b/>
        </w:rPr>
      </w:pPr>
      <w:r w:rsidRPr="00DC55C7">
        <w:rPr>
          <w:rFonts w:ascii="Arial Narrow" w:hAnsi="Arial Narrow" w:cs="Arial"/>
          <w:b/>
        </w:rPr>
        <w:t>CONSIDERANDO</w:t>
      </w:r>
    </w:p>
    <w:p w:rsidR="006D2D76" w:rsidRDefault="006D2D76" w:rsidP="00687078">
      <w:pPr>
        <w:widowControl/>
        <w:autoSpaceDE w:val="0"/>
        <w:jc w:val="both"/>
        <w:rPr>
          <w:rFonts w:ascii="Arial Narrow" w:hAnsi="Arial Narrow" w:cs="Arial"/>
        </w:rPr>
      </w:pPr>
    </w:p>
    <w:p w:rsidR="00687078" w:rsidRPr="00DC55C7" w:rsidRDefault="00687078" w:rsidP="00687078">
      <w:pPr>
        <w:widowControl/>
        <w:autoSpaceDE w:val="0"/>
        <w:jc w:val="both"/>
        <w:rPr>
          <w:rFonts w:ascii="Arial Narrow" w:hAnsi="Arial Narrow" w:cs="Arial"/>
        </w:rPr>
      </w:pPr>
      <w:r w:rsidRPr="00DC55C7">
        <w:rPr>
          <w:rFonts w:ascii="Arial Narrow" w:hAnsi="Arial Narrow" w:cs="Arial"/>
        </w:rPr>
        <w:t>Que la Ley 105 de 1993, por la cual se dictan disposiciones básicas sobre el transporte, se redistribuyen competencias y recursos entre la Nación y las Entidades Territoriales, se reglamenta la planeación en el sector transporte y se dictan otras disposiciones, en su artículo 21 (modificado parcialmente por el artículo 1° de la Ley 787 de 2002) establece:</w:t>
      </w:r>
    </w:p>
    <w:p w:rsidR="00687078" w:rsidRPr="00DC55C7" w:rsidRDefault="00687078" w:rsidP="00687078">
      <w:pPr>
        <w:widowControl/>
        <w:autoSpaceDE w:val="0"/>
        <w:jc w:val="both"/>
        <w:rPr>
          <w:rFonts w:ascii="Arial Narrow" w:hAnsi="Arial Narrow" w:cs="Arial"/>
        </w:rPr>
      </w:pPr>
      <w:r w:rsidRPr="00DC55C7">
        <w:rPr>
          <w:rFonts w:ascii="Arial Narrow" w:hAnsi="Arial Narrow" w:cs="Arial"/>
        </w:rPr>
        <w:t xml:space="preserve"> </w:t>
      </w:r>
    </w:p>
    <w:p w:rsidR="00687078" w:rsidRPr="00DC55C7" w:rsidRDefault="00687078" w:rsidP="001B2ABF">
      <w:pPr>
        <w:widowControl/>
        <w:autoSpaceDE w:val="0"/>
        <w:ind w:left="567" w:right="333"/>
        <w:jc w:val="both"/>
        <w:rPr>
          <w:rFonts w:ascii="Arial Narrow" w:hAnsi="Arial Narrow" w:cs="Arial"/>
          <w:i/>
        </w:rPr>
      </w:pPr>
      <w:r w:rsidRPr="00DC55C7">
        <w:rPr>
          <w:rFonts w:ascii="Arial Narrow" w:hAnsi="Arial Narrow" w:cs="Arial"/>
          <w:i/>
        </w:rPr>
        <w:t>“Artículo 21. Tasas, tarifas y peajes en la infraestructura de transporte a cargo de la Nación.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w:t>
      </w:r>
    </w:p>
    <w:p w:rsidR="00687078" w:rsidRPr="00DC55C7" w:rsidRDefault="00687078" w:rsidP="001B2ABF">
      <w:pPr>
        <w:widowControl/>
        <w:autoSpaceDE w:val="0"/>
        <w:jc w:val="both"/>
        <w:rPr>
          <w:rFonts w:ascii="Arial Narrow" w:hAnsi="Arial Narrow" w:cs="Arial"/>
        </w:rPr>
      </w:pPr>
      <w:r w:rsidRPr="00DC55C7">
        <w:rPr>
          <w:rFonts w:ascii="Arial Narrow" w:hAnsi="Arial Narrow" w:cs="Arial"/>
        </w:rPr>
        <w:t xml:space="preserve"> </w:t>
      </w:r>
    </w:p>
    <w:p w:rsidR="00687078" w:rsidRPr="00DC55C7" w:rsidRDefault="00687078" w:rsidP="001B2ABF">
      <w:pPr>
        <w:widowControl/>
        <w:autoSpaceDE w:val="0"/>
        <w:ind w:left="567" w:right="333"/>
        <w:jc w:val="both"/>
        <w:rPr>
          <w:rFonts w:ascii="Arial Narrow" w:hAnsi="Arial Narrow" w:cs="Arial"/>
          <w:i/>
        </w:rPr>
      </w:pPr>
      <w:r w:rsidRPr="00DC55C7">
        <w:rPr>
          <w:rFonts w:ascii="Arial Narrow" w:hAnsi="Arial Narrow" w:cs="Arial"/>
          <w:i/>
        </w:rPr>
        <w:t>Para estos efectos, la Nación establecerá peajes, tarifas y tasas sobre el uso de la infraestructura nacional de transporte y los recursos provenientes de su cobro se usarán exclusivamente para ese modo de transporte”.</w:t>
      </w:r>
    </w:p>
    <w:p w:rsidR="00687078" w:rsidRPr="00DC55C7" w:rsidRDefault="00687078" w:rsidP="00687078">
      <w:pPr>
        <w:widowControl/>
        <w:autoSpaceDE w:val="0"/>
        <w:jc w:val="both"/>
        <w:rPr>
          <w:rFonts w:ascii="Arial Narrow" w:hAnsi="Arial Narrow" w:cs="Arial"/>
        </w:rPr>
      </w:pPr>
      <w:r w:rsidRPr="00DC55C7">
        <w:rPr>
          <w:rFonts w:ascii="Arial Narrow" w:hAnsi="Arial Narrow" w:cs="Arial"/>
        </w:rPr>
        <w:t xml:space="preserve"> </w:t>
      </w:r>
    </w:p>
    <w:p w:rsidR="00687078" w:rsidRPr="00DC55C7" w:rsidRDefault="00687078" w:rsidP="00687078">
      <w:pPr>
        <w:widowControl/>
        <w:autoSpaceDE w:val="0"/>
        <w:jc w:val="both"/>
        <w:rPr>
          <w:rFonts w:ascii="Arial Narrow" w:hAnsi="Arial Narrow" w:cs="Arial"/>
        </w:rPr>
      </w:pPr>
      <w:r w:rsidRPr="00DC55C7">
        <w:rPr>
          <w:rFonts w:ascii="Arial Narrow" w:hAnsi="Arial Narrow" w:cs="Arial"/>
        </w:rPr>
        <w:t xml:space="preserve">Que el Decreto número 087 de 2011, por el cual se modifica la estructura del Ministerio de Transporte, y se determinan las funciones de sus dependencias, </w:t>
      </w:r>
      <w:r w:rsidR="00240394">
        <w:rPr>
          <w:rFonts w:ascii="Arial Narrow" w:hAnsi="Arial Narrow" w:cs="Arial"/>
        </w:rPr>
        <w:t>e</w:t>
      </w:r>
      <w:r w:rsidRPr="00DC55C7">
        <w:rPr>
          <w:rFonts w:ascii="Arial Narrow" w:hAnsi="Arial Narrow" w:cs="Arial"/>
        </w:rPr>
        <w:t xml:space="preserve">stableció en </w:t>
      </w:r>
      <w:r w:rsidR="00240394">
        <w:rPr>
          <w:rFonts w:ascii="Arial Narrow" w:hAnsi="Arial Narrow" w:cs="Arial"/>
        </w:rPr>
        <w:t>el numeral</w:t>
      </w:r>
      <w:r w:rsidRPr="00DC55C7">
        <w:rPr>
          <w:rFonts w:ascii="Arial Narrow" w:hAnsi="Arial Narrow" w:cs="Arial"/>
        </w:rPr>
        <w:t xml:space="preserve"> 6.15 del artículo 6°:</w:t>
      </w:r>
    </w:p>
    <w:p w:rsidR="00687078" w:rsidRPr="00DC55C7" w:rsidRDefault="00687078" w:rsidP="00687078">
      <w:pPr>
        <w:widowControl/>
        <w:autoSpaceDE w:val="0"/>
        <w:jc w:val="both"/>
        <w:rPr>
          <w:rFonts w:ascii="Arial Narrow" w:hAnsi="Arial Narrow" w:cs="Arial"/>
        </w:rPr>
      </w:pPr>
      <w:r w:rsidRPr="00DC55C7">
        <w:rPr>
          <w:rFonts w:ascii="Arial Narrow" w:hAnsi="Arial Narrow" w:cs="Arial"/>
        </w:rPr>
        <w:t xml:space="preserve"> </w:t>
      </w:r>
    </w:p>
    <w:p w:rsidR="00687078" w:rsidRPr="00DC55C7" w:rsidRDefault="00687078" w:rsidP="00687078">
      <w:pPr>
        <w:widowControl/>
        <w:autoSpaceDE w:val="0"/>
        <w:ind w:left="567" w:right="333"/>
        <w:jc w:val="both"/>
        <w:rPr>
          <w:rFonts w:ascii="Arial Narrow" w:hAnsi="Arial Narrow" w:cs="Arial"/>
          <w:i/>
        </w:rPr>
      </w:pPr>
      <w:r w:rsidRPr="00DC55C7">
        <w:rPr>
          <w:rFonts w:ascii="Arial Narrow" w:hAnsi="Arial Narrow" w:cs="Arial"/>
          <w:i/>
        </w:rPr>
        <w:t>“6.15. Establecer los peajes, tarifas, tasas y derechos a cobrar por el uso de la infraestructura de los modos de transporte, excepto el aéreo”.</w:t>
      </w:r>
    </w:p>
    <w:p w:rsidR="00687078" w:rsidRPr="00DC55C7" w:rsidRDefault="00687078" w:rsidP="00687078">
      <w:pPr>
        <w:widowControl/>
        <w:autoSpaceDE w:val="0"/>
        <w:jc w:val="both"/>
        <w:rPr>
          <w:rFonts w:ascii="Arial Narrow" w:hAnsi="Arial Narrow" w:cs="Arial"/>
        </w:rPr>
      </w:pPr>
      <w:r w:rsidRPr="00DC55C7">
        <w:rPr>
          <w:rFonts w:ascii="Arial Narrow" w:hAnsi="Arial Narrow" w:cs="Arial"/>
        </w:rPr>
        <w:t xml:space="preserve"> </w:t>
      </w:r>
    </w:p>
    <w:p w:rsidR="00687078" w:rsidRPr="00DC55C7" w:rsidRDefault="00687078" w:rsidP="001B2ABF">
      <w:pPr>
        <w:widowControl/>
        <w:autoSpaceDE w:val="0"/>
        <w:jc w:val="both"/>
        <w:rPr>
          <w:rFonts w:ascii="Arial Narrow" w:hAnsi="Arial Narrow" w:cs="Arial"/>
        </w:rPr>
      </w:pPr>
      <w:r w:rsidRPr="00DC55C7">
        <w:rPr>
          <w:rFonts w:ascii="Arial Narrow" w:hAnsi="Arial Narrow" w:cs="Arial"/>
        </w:rPr>
        <w:t>Que los numerales 1 y 5 del artículo 4° del Decreto número 4165 de 2011, establecen que le corresponde a la Agencia Nacional de Infraestructura (ANI) identificar, evaluar la viabilidad y proponer iniciativas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w:t>
      </w:r>
    </w:p>
    <w:p w:rsidR="00687078" w:rsidRPr="00DC55C7" w:rsidRDefault="00687078" w:rsidP="001B2ABF">
      <w:pPr>
        <w:widowControl/>
        <w:autoSpaceDE w:val="0"/>
        <w:jc w:val="both"/>
        <w:rPr>
          <w:rFonts w:ascii="Arial Narrow" w:hAnsi="Arial Narrow" w:cs="Arial"/>
        </w:rPr>
      </w:pPr>
    </w:p>
    <w:p w:rsidR="00687078" w:rsidRPr="00DC55C7" w:rsidRDefault="00687078" w:rsidP="001B2ABF">
      <w:pPr>
        <w:widowControl/>
        <w:autoSpaceDE w:val="0"/>
        <w:jc w:val="both"/>
        <w:rPr>
          <w:rFonts w:ascii="Arial Narrow" w:hAnsi="Arial Narrow" w:cs="Arial"/>
        </w:rPr>
      </w:pPr>
      <w:r w:rsidRPr="00DC55C7">
        <w:rPr>
          <w:rFonts w:ascii="Arial Narrow" w:hAnsi="Arial Narrow" w:cs="Arial"/>
        </w:rPr>
        <w:t>Que de conformidad con los artículos 1° y 5° de la Ley 1508 de 2012, las Asociaciones Público Privadas son un instrumento de vinculación de capital privado, que se materializa en un contrato entre una entidad estatal y una persona natural o jurídica, en el cual se involucran mecanismos de pago relacionados con la disponibilidad, el nivel de servicio de la infraestructura y/o servicio; igualmente se contempla el derecho al recaudo de recursos de explotación económica del proyecto.</w:t>
      </w:r>
    </w:p>
    <w:p w:rsidR="00687078" w:rsidRPr="00C13DB2" w:rsidRDefault="00687078" w:rsidP="001B2ABF">
      <w:pPr>
        <w:widowControl/>
        <w:autoSpaceDE w:val="0"/>
        <w:jc w:val="both"/>
        <w:rPr>
          <w:rFonts w:ascii="Arial Narrow" w:hAnsi="Arial Narrow" w:cs="Arial"/>
          <w:sz w:val="22"/>
          <w:szCs w:val="22"/>
        </w:rPr>
      </w:pPr>
      <w:r w:rsidRPr="00DC55C7">
        <w:rPr>
          <w:rFonts w:ascii="Arial Narrow" w:hAnsi="Arial Narrow" w:cs="Arial"/>
        </w:rPr>
        <w:t xml:space="preserve"> </w:t>
      </w:r>
    </w:p>
    <w:p w:rsidR="00687078" w:rsidRPr="00DC55C7" w:rsidRDefault="00687078" w:rsidP="001B2ABF">
      <w:pPr>
        <w:widowControl/>
        <w:suppressAutoHyphens w:val="0"/>
        <w:autoSpaceDE w:val="0"/>
        <w:jc w:val="both"/>
        <w:textAlignment w:val="auto"/>
        <w:rPr>
          <w:rFonts w:ascii="Arial Narrow" w:hAnsi="Arial Narrow" w:cs="Arial"/>
        </w:rPr>
      </w:pPr>
      <w:r w:rsidRPr="00DC55C7">
        <w:rPr>
          <w:rFonts w:ascii="Arial Narrow" w:hAnsi="Arial Narrow" w:cs="Arial"/>
        </w:rPr>
        <w:lastRenderedPageBreak/>
        <w:t>Que la Agencia Nacional de Infraestructura – ANI, a través del proceso No. VJ-VE-APP-IPV-001-2015 anunció la intención de adjudicar un Contrato de Asociación Público Privada de Iniciativa Privada al Originador GRUPO ODINSA S.A, bajo las condiciones acordadas entre este y la Entidad, cuyo objeto es: "Estudios, diseños, financiación, construcción, operación, mantenimiento, gestión social, predial y ambiental respecto de los siguientes ítems a saber: i). Corredor Granada – Villavicencio – Puerto López – Puerto Gaitán – Puente Arimena ii). Anillo Vial de Villavicencio y Accesos a la Ciudad”</w:t>
      </w:r>
    </w:p>
    <w:p w:rsidR="00687078" w:rsidRPr="00C13DB2" w:rsidRDefault="00687078" w:rsidP="001B2ABF">
      <w:pPr>
        <w:widowControl/>
        <w:autoSpaceDE w:val="0"/>
        <w:jc w:val="both"/>
        <w:rPr>
          <w:rFonts w:ascii="Arial Narrow" w:hAnsi="Arial Narrow" w:cs="Arial"/>
          <w:sz w:val="22"/>
          <w:szCs w:val="22"/>
        </w:rPr>
      </w:pPr>
    </w:p>
    <w:p w:rsidR="00687078" w:rsidRPr="00DC55C7" w:rsidRDefault="00687078" w:rsidP="001B2ABF">
      <w:pPr>
        <w:widowControl/>
        <w:autoSpaceDE w:val="0"/>
        <w:jc w:val="both"/>
        <w:rPr>
          <w:rFonts w:ascii="Arial Narrow" w:hAnsi="Arial Narrow" w:cs="Arial"/>
        </w:rPr>
      </w:pPr>
      <w:r w:rsidRPr="00DC55C7">
        <w:rPr>
          <w:rFonts w:ascii="Arial Narrow" w:hAnsi="Arial Narrow" w:cs="Arial"/>
        </w:rPr>
        <w:t>Que el proyecto de Iniciativa Privada para la Malla Vial del Meta “I.P. Malla Vial del Meta”, presentado por el Grupo Odinsa S.A  posteriormente Estructura Plural AUTOPISTAS DEL META, como Originador, ante la Agencia Nacional de Infraestructura (ANI) cuenta con 12 Unidades Funcionales, comprendidas entre los tramos Granada-Villavicencio, Villavicencio - Puerto López - Puerto Gaitán - Puente Arimena, y el Anillo Vial de Villavicencio y sus accesos, y tiene como fin mejorar las condiciones de operatividad del tráfico pesado durante su tránsito por la ciudad de Villavicencio y a lo largo de las vías mencionadas.</w:t>
      </w:r>
    </w:p>
    <w:p w:rsidR="00687078" w:rsidRPr="00C13DB2" w:rsidRDefault="00687078" w:rsidP="001B2ABF">
      <w:pPr>
        <w:widowControl/>
        <w:autoSpaceDE w:val="0"/>
        <w:jc w:val="both"/>
        <w:rPr>
          <w:rFonts w:ascii="Arial Narrow" w:hAnsi="Arial Narrow" w:cs="Arial"/>
          <w:sz w:val="22"/>
          <w:szCs w:val="22"/>
        </w:rPr>
      </w:pPr>
      <w:r w:rsidRPr="00DC55C7">
        <w:rPr>
          <w:rFonts w:ascii="Arial Narrow" w:hAnsi="Arial Narrow" w:cs="Arial"/>
        </w:rPr>
        <w:t xml:space="preserve"> </w:t>
      </w:r>
    </w:p>
    <w:p w:rsidR="00687078" w:rsidRPr="00DC55C7" w:rsidRDefault="00687078" w:rsidP="001B2ABF">
      <w:pPr>
        <w:widowControl/>
        <w:tabs>
          <w:tab w:val="left" w:pos="0"/>
        </w:tabs>
        <w:suppressAutoHyphens w:val="0"/>
        <w:jc w:val="both"/>
        <w:textAlignment w:val="auto"/>
        <w:rPr>
          <w:rFonts w:ascii="Arial Narrow" w:hAnsi="Arial Narrow" w:cs="Arial"/>
        </w:rPr>
      </w:pPr>
      <w:r w:rsidRPr="00DC55C7">
        <w:rPr>
          <w:rFonts w:ascii="Arial Narrow" w:hAnsi="Arial Narrow" w:cs="Arial"/>
        </w:rPr>
        <w:t xml:space="preserve">Que las tarifas son el resultado de un estudio de tráfico específico realizado para el proyecto, para determinar los ingresos dentro del modelo financiero de estructuración de la concesión sin recursos del Estado, constituyéndose en el parámetro principal para la obtención de la viabilidad financiera del mismo. </w:t>
      </w:r>
    </w:p>
    <w:p w:rsidR="00687078" w:rsidRPr="00C13DB2" w:rsidRDefault="00687078" w:rsidP="001B2ABF">
      <w:pPr>
        <w:widowControl/>
        <w:autoSpaceDE w:val="0"/>
        <w:jc w:val="both"/>
        <w:rPr>
          <w:rFonts w:ascii="Arial Narrow" w:hAnsi="Arial Narrow" w:cs="Arial"/>
          <w:sz w:val="22"/>
          <w:szCs w:val="22"/>
        </w:rPr>
      </w:pPr>
    </w:p>
    <w:p w:rsidR="00687078" w:rsidRPr="00DC55C7" w:rsidRDefault="00687078" w:rsidP="001B2ABF">
      <w:pPr>
        <w:widowControl/>
        <w:autoSpaceDE w:val="0"/>
        <w:jc w:val="both"/>
        <w:rPr>
          <w:rFonts w:ascii="Arial Narrow" w:hAnsi="Arial Narrow" w:cs="Arial"/>
        </w:rPr>
      </w:pPr>
      <w:r w:rsidRPr="00DC55C7">
        <w:rPr>
          <w:rFonts w:ascii="Arial Narrow" w:hAnsi="Arial Narrow" w:cs="Arial"/>
        </w:rPr>
        <w:t>Que conforme con la Resolución No. 1130 del 28 de abril de 2015, una vez suscrita el Acta de Inicio del Contrato de Concesión No. 004 del 5 de mayo de 2015, la Concesión Vial de los Llanos SAS actualizó la estructura tarifaria en las estaciones de peaje sobre las cuales t</w:t>
      </w:r>
      <w:r w:rsidR="00F8708E">
        <w:rPr>
          <w:rFonts w:ascii="Arial Narrow" w:hAnsi="Arial Narrow" w:cs="Arial"/>
        </w:rPr>
        <w:t>enía</w:t>
      </w:r>
      <w:r w:rsidRPr="00DC55C7">
        <w:rPr>
          <w:rFonts w:ascii="Arial Narrow" w:hAnsi="Arial Narrow" w:cs="Arial"/>
        </w:rPr>
        <w:t xml:space="preserve"> injerencia, así: Estación de peaje Iracá y Ocoa en el corredor Villavicencio – Granada, Estación de peaje la Libertad en el corredor Villavicencio – Puerto López y Estaciones de peaje de Casetabla y Yucao en el corredor Puerto López – Puerto Gaitán.</w:t>
      </w:r>
    </w:p>
    <w:p w:rsidR="00687078" w:rsidRDefault="00687078" w:rsidP="001B2ABF">
      <w:pPr>
        <w:widowControl/>
        <w:autoSpaceDE w:val="0"/>
        <w:jc w:val="both"/>
        <w:rPr>
          <w:rFonts w:ascii="Arial Narrow" w:hAnsi="Arial Narrow" w:cs="Arial"/>
          <w:sz w:val="22"/>
          <w:szCs w:val="22"/>
        </w:rPr>
      </w:pPr>
    </w:p>
    <w:p w:rsidR="00F8708E" w:rsidRPr="00DC55C7" w:rsidRDefault="00F8708E" w:rsidP="00F8708E">
      <w:pPr>
        <w:widowControl/>
        <w:autoSpaceDE w:val="0"/>
        <w:jc w:val="both"/>
        <w:rPr>
          <w:rFonts w:ascii="Arial Narrow" w:hAnsi="Arial Narrow" w:cs="Arial"/>
        </w:rPr>
      </w:pPr>
      <w:r w:rsidRPr="00DC55C7">
        <w:rPr>
          <w:rFonts w:ascii="Arial Narrow" w:hAnsi="Arial Narrow" w:cs="Arial"/>
        </w:rPr>
        <w:t>Que resultado de la aplicación de la Resolución No. 1130 del 28 de abril de 2015, se presentó inconformidad de los habitantes de Puerto López y Puerto Gaitán amenazando con la toma de medidas de hecho y obstaculizando la implementación del esquema tarifario de la resolución antes mencionada, generando que se mantuvieran las tarifas anteriores para las estaciones de peaje de Casetabla y Yucao.</w:t>
      </w:r>
    </w:p>
    <w:p w:rsidR="006354B2" w:rsidRDefault="006354B2" w:rsidP="006354B2">
      <w:pPr>
        <w:widowControl/>
        <w:autoSpaceDE w:val="0"/>
        <w:jc w:val="both"/>
        <w:rPr>
          <w:rFonts w:ascii="Arial Narrow" w:hAnsi="Arial Narrow" w:cs="Arial"/>
        </w:rPr>
      </w:pPr>
    </w:p>
    <w:p w:rsidR="006354B2" w:rsidRPr="00DC55C7" w:rsidRDefault="006354B2" w:rsidP="006354B2">
      <w:pPr>
        <w:widowControl/>
        <w:autoSpaceDE w:val="0"/>
        <w:jc w:val="both"/>
        <w:rPr>
          <w:rFonts w:ascii="Arial Narrow" w:hAnsi="Arial Narrow" w:cs="Arial"/>
        </w:rPr>
      </w:pPr>
      <w:r w:rsidRPr="00DC55C7">
        <w:rPr>
          <w:rFonts w:ascii="Arial Narrow" w:hAnsi="Arial Narrow" w:cs="Arial"/>
        </w:rPr>
        <w:t xml:space="preserve">Que la Agencia Nacional de Infraestructura acompañó a la Concesión Vial de los Llanos S.A.S., en varias mesas de trabajo con las autoridades municipales, dirigentes regionales, delegados de las comunidades y empresas de transporte de Puerto López y Puerto Gaitán con el fin de lograr un acuerdo que permitiera actualizar tanto la categorización de estas estaciones de peaje como el valor de la tarifa, situación que no pudo ser concertada, razón por la cual se </w:t>
      </w:r>
      <w:r>
        <w:rPr>
          <w:rFonts w:ascii="Arial Narrow" w:hAnsi="Arial Narrow" w:cs="Arial"/>
        </w:rPr>
        <w:t>mantuvo</w:t>
      </w:r>
      <w:r w:rsidRPr="00DC55C7">
        <w:rPr>
          <w:rFonts w:ascii="Arial Narrow" w:hAnsi="Arial Narrow" w:cs="Arial"/>
        </w:rPr>
        <w:t xml:space="preserve"> la estructura tarifaria </w:t>
      </w:r>
      <w:r>
        <w:rPr>
          <w:rFonts w:ascii="Arial Narrow" w:hAnsi="Arial Narrow" w:cs="Arial"/>
        </w:rPr>
        <w:t>del INVIAS</w:t>
      </w:r>
      <w:r w:rsidRPr="00DC55C7">
        <w:rPr>
          <w:rFonts w:ascii="Arial Narrow" w:hAnsi="Arial Narrow" w:cs="Arial"/>
        </w:rPr>
        <w:t xml:space="preserve"> en los peajes de Casetabla y Yucao.</w:t>
      </w:r>
    </w:p>
    <w:p w:rsidR="006354B2" w:rsidRDefault="006354B2" w:rsidP="006354B2">
      <w:pPr>
        <w:jc w:val="both"/>
        <w:rPr>
          <w:rFonts w:ascii="Arial Narrow" w:hAnsi="Arial Narrow" w:cs="Arial"/>
        </w:rPr>
      </w:pPr>
    </w:p>
    <w:p w:rsidR="00F8708E" w:rsidRDefault="006354B2" w:rsidP="006354B2">
      <w:pPr>
        <w:jc w:val="both"/>
        <w:rPr>
          <w:rFonts w:ascii="Arial Narrow" w:hAnsi="Arial Narrow" w:cs="Arial"/>
        </w:rPr>
      </w:pPr>
      <w:r>
        <w:rPr>
          <w:rFonts w:ascii="Arial Narrow" w:hAnsi="Arial Narrow" w:cs="Arial"/>
        </w:rPr>
        <w:t>Que con el fin de ejecutar la totalidad del proyecto de Concesión, con la colaboración de las Alcaldías de Puerto López y Puerto Gaitán y la Gobernadora del Meta, se realizó socialización en los Municipios de Puerto López y Puerto Gaitán de las tarifas de peaje para las estaciones de peaje Yucao y Casetabla definidas en la Resolución No. 1130 del 28 de abril de 2015 y a partir del 11 de agosto de 2016 se inició el recaudo de peaje en estas estaciones conforme a lo definido en la mencionada Resolución.</w:t>
      </w:r>
    </w:p>
    <w:p w:rsidR="006354B2" w:rsidRDefault="006354B2" w:rsidP="001B2ABF">
      <w:pPr>
        <w:jc w:val="both"/>
        <w:rPr>
          <w:rFonts w:ascii="Arial Narrow" w:hAnsi="Arial Narrow" w:cs="Arial"/>
        </w:rPr>
      </w:pPr>
    </w:p>
    <w:p w:rsidR="008579C6" w:rsidRDefault="008579C6" w:rsidP="001B2ABF">
      <w:pPr>
        <w:jc w:val="both"/>
        <w:rPr>
          <w:rFonts w:ascii="Calibri Light" w:hAnsi="Calibri Light"/>
          <w:lang w:val="es-MX"/>
        </w:rPr>
      </w:pPr>
      <w:r w:rsidRPr="008579C6">
        <w:rPr>
          <w:rFonts w:ascii="Arial Narrow" w:hAnsi="Arial Narrow" w:cs="Arial"/>
        </w:rPr>
        <w:t>Que de conformidad a lo descrito en el párrafo que antecede</w:t>
      </w:r>
      <w:r>
        <w:rPr>
          <w:rFonts w:ascii="Arial Narrow" w:hAnsi="Arial Narrow" w:cs="Arial"/>
        </w:rPr>
        <w:t xml:space="preserve"> y</w:t>
      </w:r>
      <w:r w:rsidRPr="008579C6">
        <w:rPr>
          <w:rFonts w:ascii="Arial Narrow" w:hAnsi="Arial Narrow" w:cs="Arial"/>
        </w:rPr>
        <w:t xml:space="preserve"> pese a que el Acta de Inicio del Contrato de Concesión No.004 de 2015, fue suscrita el día </w:t>
      </w:r>
      <w:r w:rsidRPr="008579C6">
        <w:rPr>
          <w:rFonts w:ascii="Arial Narrow" w:hAnsi="Arial Narrow"/>
          <w:lang w:val="es-MX"/>
        </w:rPr>
        <w:t>9 de junio de 2015, solo hasta el 11 de agosto de 2016, se logró que las comunidades beneficiarias del Proyecto comenzarán a efectuar el pago de la</w:t>
      </w:r>
      <w:r w:rsidR="002C1373">
        <w:rPr>
          <w:rFonts w:ascii="Arial Narrow" w:hAnsi="Arial Narrow"/>
          <w:lang w:val="es-MX"/>
        </w:rPr>
        <w:t>s</w:t>
      </w:r>
      <w:r w:rsidRPr="008579C6">
        <w:rPr>
          <w:rFonts w:ascii="Arial Narrow" w:hAnsi="Arial Narrow"/>
          <w:lang w:val="es-MX"/>
        </w:rPr>
        <w:t xml:space="preserve"> tarifas señaladas por la Resolución 1130 de 2015, como fuente financiación del Contrato de Concesión No. 004 de 2015</w:t>
      </w:r>
      <w:r w:rsidRPr="008579C6">
        <w:rPr>
          <w:rFonts w:ascii="Calibri Light" w:hAnsi="Calibri Light"/>
          <w:lang w:val="es-MX"/>
        </w:rPr>
        <w:t>.</w:t>
      </w:r>
      <w:r>
        <w:rPr>
          <w:rFonts w:ascii="Calibri Light" w:hAnsi="Calibri Light"/>
          <w:lang w:val="es-MX"/>
        </w:rPr>
        <w:t xml:space="preserve"> </w:t>
      </w:r>
    </w:p>
    <w:p w:rsidR="008579C6" w:rsidRPr="001B2ABF" w:rsidRDefault="008579C6" w:rsidP="008579C6">
      <w:pPr>
        <w:spacing w:line="276" w:lineRule="auto"/>
        <w:jc w:val="both"/>
        <w:rPr>
          <w:rFonts w:ascii="Calibri Light" w:hAnsi="Calibri Light"/>
          <w:sz w:val="22"/>
          <w:szCs w:val="22"/>
          <w:lang w:val="es-MX"/>
        </w:rPr>
      </w:pPr>
    </w:p>
    <w:p w:rsidR="00822164" w:rsidRPr="00603D0C" w:rsidRDefault="00822164" w:rsidP="001B2ABF">
      <w:pPr>
        <w:widowControl/>
        <w:autoSpaceDE w:val="0"/>
        <w:jc w:val="both"/>
        <w:rPr>
          <w:rFonts w:ascii="Arial Narrow" w:hAnsi="Arial Narrow" w:cs="Arial"/>
        </w:rPr>
      </w:pPr>
      <w:r>
        <w:rPr>
          <w:rFonts w:ascii="Arial Narrow" w:hAnsi="Arial Narrow" w:cs="Arial"/>
        </w:rPr>
        <w:lastRenderedPageBreak/>
        <w:t>Que l</w:t>
      </w:r>
      <w:r w:rsidRPr="00603D0C">
        <w:rPr>
          <w:rFonts w:ascii="Arial Narrow" w:hAnsi="Arial Narrow" w:cs="Arial" w:hint="eastAsia"/>
        </w:rPr>
        <w:t xml:space="preserve">a </w:t>
      </w:r>
      <w:r w:rsidRPr="00603D0C">
        <w:rPr>
          <w:rFonts w:ascii="Arial Narrow" w:hAnsi="Arial Narrow" w:cs="Arial"/>
        </w:rPr>
        <w:t>Concesi</w:t>
      </w:r>
      <w:r>
        <w:rPr>
          <w:rFonts w:ascii="Arial Narrow" w:hAnsi="Arial Narrow" w:cs="Arial"/>
        </w:rPr>
        <w:t>ó</w:t>
      </w:r>
      <w:r w:rsidRPr="00603D0C">
        <w:rPr>
          <w:rFonts w:ascii="Arial Narrow" w:hAnsi="Arial Narrow" w:cs="Arial"/>
        </w:rPr>
        <w:t>n</w:t>
      </w:r>
      <w:r w:rsidRPr="00603D0C">
        <w:rPr>
          <w:rFonts w:ascii="Arial Narrow" w:hAnsi="Arial Narrow" w:cs="Arial" w:hint="eastAsia"/>
        </w:rPr>
        <w:t xml:space="preserve"> Vial de los Llanos SAS a cargo del proyecto</w:t>
      </w:r>
      <w:r>
        <w:rPr>
          <w:rFonts w:ascii="Arial Narrow" w:hAnsi="Arial Narrow" w:cs="Arial"/>
        </w:rPr>
        <w:t xml:space="preserve"> “</w:t>
      </w:r>
      <w:r w:rsidRPr="00822164">
        <w:rPr>
          <w:rFonts w:ascii="Arial Narrow" w:hAnsi="Arial Narrow" w:cs="Arial"/>
          <w:i/>
        </w:rPr>
        <w:t>IP</w:t>
      </w:r>
      <w:r w:rsidRPr="00822164">
        <w:rPr>
          <w:rFonts w:ascii="Arial Narrow" w:hAnsi="Arial Narrow" w:cs="Arial" w:hint="eastAsia"/>
          <w:i/>
        </w:rPr>
        <w:t xml:space="preserve"> malla vial del Meta</w:t>
      </w:r>
      <w:r>
        <w:rPr>
          <w:rFonts w:ascii="Arial Narrow" w:hAnsi="Arial Narrow" w:cs="Arial"/>
          <w:i/>
        </w:rPr>
        <w:t xml:space="preserve">” </w:t>
      </w:r>
      <w:r w:rsidRPr="00603D0C">
        <w:rPr>
          <w:rFonts w:ascii="Arial Narrow" w:hAnsi="Arial Narrow" w:cs="Arial" w:hint="eastAsia"/>
        </w:rPr>
        <w:t xml:space="preserve"> ha </w:t>
      </w:r>
      <w:r>
        <w:rPr>
          <w:rFonts w:ascii="Arial Narrow" w:hAnsi="Arial Narrow" w:cs="Arial"/>
        </w:rPr>
        <w:t xml:space="preserve">manifestado a la Agencia Nacional de Infraestructura, </w:t>
      </w:r>
      <w:r w:rsidRPr="00603D0C">
        <w:rPr>
          <w:rFonts w:ascii="Arial Narrow" w:hAnsi="Arial Narrow" w:cs="Arial" w:hint="eastAsia"/>
        </w:rPr>
        <w:t xml:space="preserve">que como consecuencia de la </w:t>
      </w:r>
      <w:r w:rsidRPr="00603D0C">
        <w:rPr>
          <w:rFonts w:ascii="Arial Narrow" w:hAnsi="Arial Narrow" w:cs="Arial"/>
        </w:rPr>
        <w:t>disminuci</w:t>
      </w:r>
      <w:r>
        <w:rPr>
          <w:rFonts w:ascii="Arial Narrow" w:hAnsi="Arial Narrow" w:cs="Arial"/>
        </w:rPr>
        <w:t>ó</w:t>
      </w:r>
      <w:r w:rsidRPr="00603D0C">
        <w:rPr>
          <w:rFonts w:ascii="Arial Narrow" w:hAnsi="Arial Narrow" w:cs="Arial"/>
        </w:rPr>
        <w:t>n</w:t>
      </w:r>
      <w:r w:rsidRPr="00603D0C">
        <w:rPr>
          <w:rFonts w:ascii="Arial Narrow" w:hAnsi="Arial Narrow" w:cs="Arial" w:hint="eastAsia"/>
        </w:rPr>
        <w:t xml:space="preserve"> del </w:t>
      </w:r>
      <w:r w:rsidRPr="00603D0C">
        <w:rPr>
          <w:rFonts w:ascii="Arial Narrow" w:hAnsi="Arial Narrow" w:cs="Arial"/>
        </w:rPr>
        <w:t>tr</w:t>
      </w:r>
      <w:r>
        <w:rPr>
          <w:rFonts w:ascii="Arial Narrow" w:hAnsi="Arial Narrow" w:cs="Arial"/>
        </w:rPr>
        <w:t>áfico</w:t>
      </w:r>
      <w:r>
        <w:rPr>
          <w:rFonts w:ascii="Arial Narrow" w:hAnsi="Arial Narrow" w:cs="Arial" w:hint="eastAsia"/>
        </w:rPr>
        <w:t xml:space="preserve"> de </w:t>
      </w:r>
      <w:r>
        <w:rPr>
          <w:rFonts w:ascii="Arial Narrow" w:hAnsi="Arial Narrow" w:cs="Arial"/>
        </w:rPr>
        <w:t>vehí</w:t>
      </w:r>
      <w:r w:rsidRPr="00603D0C">
        <w:rPr>
          <w:rFonts w:ascii="Arial Narrow" w:hAnsi="Arial Narrow" w:cs="Arial"/>
        </w:rPr>
        <w:t>culos</w:t>
      </w:r>
      <w:r w:rsidRPr="00603D0C">
        <w:rPr>
          <w:rFonts w:ascii="Arial Narrow" w:hAnsi="Arial Narrow" w:cs="Arial" w:hint="eastAsia"/>
        </w:rPr>
        <w:t xml:space="preserve"> de carga por la </w:t>
      </w:r>
      <w:r w:rsidRPr="00603D0C">
        <w:rPr>
          <w:rFonts w:ascii="Arial Narrow" w:hAnsi="Arial Narrow" w:cs="Arial"/>
        </w:rPr>
        <w:t>ca</w:t>
      </w:r>
      <w:r>
        <w:rPr>
          <w:rFonts w:ascii="Arial Narrow" w:hAnsi="Arial Narrow" w:cs="Arial"/>
        </w:rPr>
        <w:t>íd</w:t>
      </w:r>
      <w:r w:rsidRPr="00603D0C">
        <w:rPr>
          <w:rFonts w:ascii="Arial Narrow" w:hAnsi="Arial Narrow" w:cs="Arial"/>
        </w:rPr>
        <w:t>a</w:t>
      </w:r>
      <w:r w:rsidRPr="00603D0C">
        <w:rPr>
          <w:rFonts w:ascii="Arial Narrow" w:hAnsi="Arial Narrow" w:cs="Arial" w:hint="eastAsia"/>
        </w:rPr>
        <w:t xml:space="preserve"> de los precios del </w:t>
      </w:r>
      <w:r w:rsidRPr="00603D0C">
        <w:rPr>
          <w:rFonts w:ascii="Arial Narrow" w:hAnsi="Arial Narrow" w:cs="Arial"/>
        </w:rPr>
        <w:t>petr</w:t>
      </w:r>
      <w:r>
        <w:rPr>
          <w:rFonts w:ascii="Arial Narrow" w:hAnsi="Arial Narrow" w:cs="Arial"/>
        </w:rPr>
        <w:t>ó</w:t>
      </w:r>
      <w:r w:rsidRPr="00603D0C">
        <w:rPr>
          <w:rFonts w:ascii="Arial Narrow" w:hAnsi="Arial Narrow" w:cs="Arial"/>
        </w:rPr>
        <w:t>leo</w:t>
      </w:r>
      <w:r w:rsidRPr="00603D0C">
        <w:rPr>
          <w:rFonts w:ascii="Arial Narrow" w:hAnsi="Arial Narrow" w:cs="Arial" w:hint="eastAsia"/>
        </w:rPr>
        <w:t xml:space="preserve">, se </w:t>
      </w:r>
      <w:r>
        <w:rPr>
          <w:rFonts w:ascii="Arial Narrow" w:hAnsi="Arial Narrow" w:cs="Arial"/>
        </w:rPr>
        <w:t xml:space="preserve">ha configurado </w:t>
      </w:r>
      <w:r w:rsidRPr="00603D0C">
        <w:rPr>
          <w:rFonts w:ascii="Arial Narrow" w:hAnsi="Arial Narrow" w:cs="Arial" w:hint="eastAsia"/>
        </w:rPr>
        <w:t>un</w:t>
      </w:r>
      <w:r>
        <w:rPr>
          <w:rFonts w:ascii="Arial Narrow" w:hAnsi="Arial Narrow" w:cs="Arial"/>
        </w:rPr>
        <w:t xml:space="preserve"> presunto</w:t>
      </w:r>
      <w:r w:rsidRPr="00603D0C">
        <w:rPr>
          <w:rFonts w:ascii="Arial Narrow" w:hAnsi="Arial Narrow" w:cs="Arial" w:hint="eastAsia"/>
        </w:rPr>
        <w:t xml:space="preserve"> desequilibrio financiero en su contra, motivo por el cual </w:t>
      </w:r>
      <w:r w:rsidR="006354B2">
        <w:rPr>
          <w:rFonts w:ascii="Arial Narrow" w:hAnsi="Arial Narrow" w:cs="Arial"/>
        </w:rPr>
        <w:t>no le ha sido posible obtener los préstamos para el cierre financiero</w:t>
      </w:r>
      <w:r w:rsidR="006354B2" w:rsidRPr="00603D0C">
        <w:rPr>
          <w:rFonts w:ascii="Arial Narrow" w:hAnsi="Arial Narrow" w:cs="Arial"/>
        </w:rPr>
        <w:t xml:space="preserve"> </w:t>
      </w:r>
      <w:r w:rsidR="006354B2">
        <w:rPr>
          <w:rFonts w:ascii="Arial Narrow" w:hAnsi="Arial Narrow" w:cs="Arial"/>
        </w:rPr>
        <w:t xml:space="preserve">y </w:t>
      </w:r>
      <w:r w:rsidRPr="00603D0C">
        <w:rPr>
          <w:rFonts w:ascii="Arial Narrow" w:hAnsi="Arial Narrow" w:cs="Arial"/>
        </w:rPr>
        <w:t>decidi</w:t>
      </w:r>
      <w:r>
        <w:rPr>
          <w:rFonts w:ascii="Arial Narrow" w:hAnsi="Arial Narrow" w:cs="Arial"/>
        </w:rPr>
        <w:t>ó</w:t>
      </w:r>
      <w:r w:rsidRPr="00603D0C">
        <w:rPr>
          <w:rFonts w:ascii="Arial Narrow" w:hAnsi="Arial Narrow" w:cs="Arial" w:hint="eastAsia"/>
        </w:rPr>
        <w:t xml:space="preserve"> </w:t>
      </w:r>
      <w:r>
        <w:rPr>
          <w:rFonts w:ascii="Arial Narrow" w:hAnsi="Arial Narrow" w:cs="Arial"/>
        </w:rPr>
        <w:t>convocar</w:t>
      </w:r>
      <w:r w:rsidRPr="00603D0C">
        <w:rPr>
          <w:rFonts w:ascii="Arial Narrow" w:hAnsi="Arial Narrow" w:cs="Arial" w:hint="eastAsia"/>
        </w:rPr>
        <w:t xml:space="preserve"> en el mes de diciembre del 2016 </w:t>
      </w:r>
      <w:r w:rsidR="002C1373">
        <w:rPr>
          <w:rFonts w:ascii="Arial Narrow" w:hAnsi="Arial Narrow" w:cs="Arial"/>
        </w:rPr>
        <w:t xml:space="preserve">un </w:t>
      </w:r>
      <w:r w:rsidRPr="00603D0C">
        <w:rPr>
          <w:rFonts w:ascii="Arial Narrow" w:hAnsi="Arial Narrow" w:cs="Arial" w:hint="eastAsia"/>
        </w:rPr>
        <w:t>Tribunal de Arbitramento</w:t>
      </w:r>
      <w:r w:rsidR="002C1373">
        <w:rPr>
          <w:rFonts w:ascii="Arial Narrow" w:hAnsi="Arial Narrow" w:cs="Arial"/>
        </w:rPr>
        <w:t xml:space="preserve"> para que resuelva esta controversia</w:t>
      </w:r>
      <w:r w:rsidRPr="00603D0C">
        <w:rPr>
          <w:rFonts w:ascii="Arial Narrow" w:hAnsi="Arial Narrow" w:cs="Arial" w:hint="eastAsia"/>
        </w:rPr>
        <w:t>.</w:t>
      </w:r>
    </w:p>
    <w:p w:rsidR="00822164" w:rsidRPr="001B2ABF" w:rsidRDefault="00822164" w:rsidP="001B2ABF">
      <w:pPr>
        <w:jc w:val="both"/>
        <w:rPr>
          <w:rFonts w:ascii="Calibri Light" w:hAnsi="Calibri Light"/>
          <w:sz w:val="22"/>
          <w:szCs w:val="22"/>
          <w:lang w:val="es-MX"/>
        </w:rPr>
      </w:pPr>
    </w:p>
    <w:p w:rsidR="006354B2" w:rsidRPr="00F00282" w:rsidRDefault="006354B2" w:rsidP="006D2D76">
      <w:pPr>
        <w:jc w:val="both"/>
        <w:rPr>
          <w:rFonts w:ascii="Arial Narrow" w:hAnsi="Arial Narrow" w:cs="Arial"/>
        </w:rPr>
      </w:pPr>
      <w:r w:rsidRPr="006354B2">
        <w:rPr>
          <w:rFonts w:ascii="Arial Narrow" w:hAnsi="Arial Narrow" w:cs="Arial"/>
        </w:rPr>
        <w:t>Que el día 21 de diciembre de 2016 se suscribió el otrosí No. 6 al Contrato de Concesión No. 004 de 2015, en el que se adoptaron una serie de determinaciones transitorias tendientes a evitar la paralización de la ejecución del Proyecto, entre tanto se emita pronunciamiento por parte del Tribunal de Arbitramento que resuelva la controversia contractual suscitada entre las Partes; decisiones dentro de las cuales se encuentra la ampliación de la etapa de preconstrucción del proyecto.</w:t>
      </w:r>
    </w:p>
    <w:p w:rsidR="006354B2" w:rsidRDefault="006354B2" w:rsidP="006354B2">
      <w:pPr>
        <w:widowControl/>
        <w:autoSpaceDE w:val="0"/>
        <w:jc w:val="both"/>
        <w:rPr>
          <w:rFonts w:ascii="Arial Narrow" w:hAnsi="Arial Narrow" w:cs="Arial"/>
          <w:highlight w:val="yellow"/>
        </w:rPr>
      </w:pPr>
    </w:p>
    <w:p w:rsidR="006354B2" w:rsidRPr="006354B2" w:rsidRDefault="006354B2" w:rsidP="006354B2">
      <w:pPr>
        <w:widowControl/>
        <w:autoSpaceDE w:val="0"/>
        <w:jc w:val="both"/>
        <w:rPr>
          <w:rFonts w:ascii="Arial Narrow" w:hAnsi="Arial Narrow" w:cs="Arial"/>
        </w:rPr>
      </w:pPr>
      <w:r w:rsidRPr="006354B2">
        <w:rPr>
          <w:rFonts w:ascii="Arial Narrow" w:hAnsi="Arial Narrow" w:cs="Arial"/>
        </w:rPr>
        <w:t>Que el parágrafo 4 del artículo tercero de la Resolución 1130 del 28 de abril de 2015 describe que: “</w:t>
      </w:r>
      <w:r w:rsidRPr="006354B2">
        <w:rPr>
          <w:rFonts w:ascii="Arial Narrow" w:hAnsi="Arial Narrow" w:cs="Arial"/>
          <w:i/>
        </w:rPr>
        <w:t>Las tarifas de peaje de que trata el presente artículo se actualizarán cada año, de acuerdo a lo establecido en la minuta del Contrato de Concesión que se derive como consecuencia del trámite de la iniciativa privada presentada por el originador Grupo Odinsa S.A. posteriormente Estructura Plural Autopistas del Meta y deberán ser ajustadas a la centena más cercana con el fin de facilitar el recaudo por parte del Concesionario</w:t>
      </w:r>
      <w:r w:rsidRPr="006354B2">
        <w:rPr>
          <w:rFonts w:ascii="Arial Narrow" w:hAnsi="Arial Narrow" w:cs="Arial"/>
        </w:rPr>
        <w:t>”</w:t>
      </w:r>
    </w:p>
    <w:p w:rsidR="006354B2" w:rsidRPr="006354B2" w:rsidRDefault="006354B2" w:rsidP="006354B2">
      <w:pPr>
        <w:widowControl/>
        <w:autoSpaceDE w:val="0"/>
        <w:jc w:val="both"/>
        <w:rPr>
          <w:rFonts w:ascii="Arial Narrow" w:hAnsi="Arial Narrow" w:cs="Arial"/>
        </w:rPr>
      </w:pPr>
    </w:p>
    <w:p w:rsidR="006354B2" w:rsidRPr="006354B2" w:rsidRDefault="006354B2" w:rsidP="006354B2">
      <w:pPr>
        <w:pStyle w:val="Normal1"/>
        <w:tabs>
          <w:tab w:val="clear" w:pos="2880"/>
        </w:tabs>
        <w:ind w:left="0" w:firstLine="0"/>
        <w:rPr>
          <w:i/>
        </w:rPr>
      </w:pPr>
      <w:r w:rsidRPr="006354B2">
        <w:rPr>
          <w:rFonts w:ascii="Arial Narrow" w:hAnsi="Arial Narrow" w:cs="Arial"/>
        </w:rPr>
        <w:t>Que en el numeral 4.2 Estructura Tarifaria literal b del Contrato de Concesión No. 004 de 2015, se define que: “</w:t>
      </w:r>
      <w:r w:rsidRPr="006354B2">
        <w:rPr>
          <w:rFonts w:ascii="Arial Narrow" w:hAnsi="Arial Narrow" w:cs="Arial"/>
          <w:i/>
        </w:rPr>
        <w:t xml:space="preserve">El valor de las Tarifas se ajustará de acuerdo con el incremento del IPC, el Factor de ajuste β de acuerdo con la tabla que se presenta más adelante, y con el factor </w:t>
      </w:r>
      <w:r w:rsidRPr="006354B2">
        <w:rPr>
          <w:rFonts w:ascii="Arial Narrow" w:hAnsi="Arial Narrow" w:cs="Arial"/>
          <w:i/>
        </w:rPr>
        <w:t> que se determinar</w:t>
      </w:r>
      <w:r w:rsidRPr="006354B2">
        <w:rPr>
          <w:rFonts w:ascii="Arial Narrow" w:hAnsi="Arial Narrow" w:cs="Arial" w:hint="eastAsia"/>
          <w:i/>
        </w:rPr>
        <w:t>á</w:t>
      </w:r>
      <w:r w:rsidRPr="006354B2">
        <w:rPr>
          <w:rFonts w:ascii="Arial Narrow" w:hAnsi="Arial Narrow" w:cs="Arial"/>
          <w:i/>
        </w:rPr>
        <w:t xml:space="preserve"> mediante el procedimiento descrito en la Sección  3.5(i)(iv) de la Parte General</w:t>
      </w:r>
      <w:r w:rsidRPr="006354B2">
        <w:rPr>
          <w:i/>
        </w:rPr>
        <w:t>”</w:t>
      </w:r>
    </w:p>
    <w:p w:rsidR="006354B2" w:rsidRPr="006354B2" w:rsidRDefault="006354B2" w:rsidP="006354B2">
      <w:pPr>
        <w:pStyle w:val="Normal1"/>
        <w:tabs>
          <w:tab w:val="clear" w:pos="2880"/>
        </w:tabs>
        <w:ind w:left="0" w:firstLine="0"/>
        <w:rPr>
          <w:i/>
        </w:rPr>
      </w:pPr>
    </w:p>
    <w:p w:rsidR="006354B2" w:rsidRPr="006354B2" w:rsidRDefault="006354B2" w:rsidP="006354B2">
      <w:pPr>
        <w:pStyle w:val="Normal1"/>
        <w:tabs>
          <w:tab w:val="clear" w:pos="2880"/>
        </w:tabs>
        <w:ind w:left="0" w:firstLine="0"/>
        <w:rPr>
          <w:rFonts w:ascii="Arial Narrow" w:hAnsi="Arial Narrow" w:cs="Arial"/>
        </w:rPr>
      </w:pPr>
      <w:r w:rsidRPr="006354B2">
        <w:rPr>
          <w:rFonts w:ascii="Arial Narrow" w:hAnsi="Arial Narrow" w:cs="Arial"/>
        </w:rPr>
        <w:t xml:space="preserve">Que para los años 2016 y 2017 el valor </w:t>
      </w:r>
      <m:oMath>
        <m:r>
          <w:rPr>
            <w:rFonts w:ascii="Cambria Math" w:hAnsi="Cambria Math" w:cs="Arial"/>
          </w:rPr>
          <m:t>β</m:t>
        </m:r>
      </m:oMath>
      <w:r w:rsidRPr="006354B2">
        <w:rPr>
          <w:rFonts w:ascii="Arial Narrow" w:hAnsi="Arial Narrow" w:cs="Arial"/>
        </w:rPr>
        <w:t xml:space="preserve"> </w:t>
      </w:r>
      <w:r w:rsidR="006D2D76">
        <w:rPr>
          <w:rFonts w:ascii="Arial Narrow" w:hAnsi="Arial Narrow" w:cs="Arial"/>
        </w:rPr>
        <w:t xml:space="preserve">a </w:t>
      </w:r>
      <w:r w:rsidRPr="006354B2">
        <w:rPr>
          <w:rFonts w:ascii="Arial Narrow" w:hAnsi="Arial Narrow" w:cs="Arial"/>
        </w:rPr>
        <w:t>aplicar en el incremento tarifario, en las categorías III a la VII es del 10%.</w:t>
      </w:r>
    </w:p>
    <w:p w:rsidR="006354B2" w:rsidRDefault="006354B2" w:rsidP="001B2ABF">
      <w:pPr>
        <w:widowControl/>
        <w:autoSpaceDE w:val="0"/>
        <w:jc w:val="both"/>
        <w:rPr>
          <w:rFonts w:ascii="Arial Narrow" w:hAnsi="Arial Narrow" w:cs="Arial"/>
        </w:rPr>
      </w:pPr>
    </w:p>
    <w:p w:rsidR="00C23579" w:rsidRPr="00C96E51" w:rsidRDefault="00687078" w:rsidP="001B2ABF">
      <w:pPr>
        <w:widowControl/>
        <w:autoSpaceDE w:val="0"/>
        <w:jc w:val="both"/>
        <w:rPr>
          <w:rFonts w:ascii="Arial Narrow" w:hAnsi="Arial Narrow" w:cs="Arial"/>
        </w:rPr>
      </w:pPr>
      <w:r w:rsidRPr="00C96E51">
        <w:rPr>
          <w:rFonts w:ascii="Arial Narrow" w:hAnsi="Arial Narrow" w:cs="Arial"/>
        </w:rPr>
        <w:t xml:space="preserve">Que </w:t>
      </w:r>
      <w:r w:rsidR="002377D7" w:rsidRPr="00C96E51">
        <w:rPr>
          <w:rFonts w:ascii="Arial Narrow" w:hAnsi="Arial Narrow" w:cs="Arial"/>
        </w:rPr>
        <w:t>bajo</w:t>
      </w:r>
      <w:r w:rsidRPr="00C96E51">
        <w:rPr>
          <w:rFonts w:ascii="Arial Narrow" w:hAnsi="Arial Narrow" w:cs="Arial" w:hint="eastAsia"/>
        </w:rPr>
        <w:t xml:space="preserve"> las circunstancias </w:t>
      </w:r>
      <w:r w:rsidR="002377D7" w:rsidRPr="00C96E51">
        <w:rPr>
          <w:rFonts w:ascii="Arial Narrow" w:hAnsi="Arial Narrow" w:cs="Arial"/>
        </w:rPr>
        <w:t xml:space="preserve">descritas </w:t>
      </w:r>
      <w:r w:rsidRPr="00C96E51">
        <w:rPr>
          <w:rFonts w:ascii="Arial Narrow" w:hAnsi="Arial Narrow" w:cs="Arial" w:hint="eastAsia"/>
        </w:rPr>
        <w:t xml:space="preserve">y </w:t>
      </w:r>
      <w:r w:rsidR="002377D7" w:rsidRPr="00C96E51">
        <w:rPr>
          <w:rFonts w:ascii="Arial Narrow" w:hAnsi="Arial Narrow" w:cs="Arial"/>
        </w:rPr>
        <w:t xml:space="preserve">ante la imposibilidad de dar </w:t>
      </w:r>
      <w:r w:rsidRPr="00C96E51">
        <w:rPr>
          <w:rFonts w:ascii="Arial Narrow" w:hAnsi="Arial Narrow" w:cs="Arial" w:hint="eastAsia"/>
        </w:rPr>
        <w:t xml:space="preserve">inicio </w:t>
      </w:r>
      <w:r w:rsidR="002377D7" w:rsidRPr="00C96E51">
        <w:rPr>
          <w:rFonts w:ascii="Arial Narrow" w:hAnsi="Arial Narrow" w:cs="Arial"/>
        </w:rPr>
        <w:t>inmediato a la ejecución de la totalidad de las Obras contempladas en el Contrato de Concesión No.004 de 2015</w:t>
      </w:r>
      <w:r w:rsidR="001B2ABF">
        <w:rPr>
          <w:rFonts w:ascii="Arial Narrow" w:hAnsi="Arial Narrow" w:cs="Arial"/>
        </w:rPr>
        <w:t xml:space="preserve">, </w:t>
      </w:r>
      <w:r w:rsidR="002377D7" w:rsidRPr="00C96E51">
        <w:rPr>
          <w:rFonts w:ascii="Arial Narrow" w:hAnsi="Arial Narrow" w:cs="Arial"/>
        </w:rPr>
        <w:t>hasta tanto sea resuelta la controversia sometida a conocimiento de Tribunal de Arbitramento por parte del Concesionario;</w:t>
      </w:r>
      <w:r w:rsidRPr="00C96E51">
        <w:rPr>
          <w:rFonts w:ascii="Arial Narrow" w:hAnsi="Arial Narrow" w:cs="Arial" w:hint="eastAsia"/>
        </w:rPr>
        <w:t xml:space="preserve"> el Ministerio de Transporte, </w:t>
      </w:r>
      <w:r w:rsidR="002377D7" w:rsidRPr="00C96E51">
        <w:rPr>
          <w:rFonts w:ascii="Arial Narrow" w:hAnsi="Arial Narrow" w:cs="Arial"/>
        </w:rPr>
        <w:t xml:space="preserve">adoptó </w:t>
      </w:r>
      <w:r w:rsidRPr="00C96E51">
        <w:rPr>
          <w:rFonts w:ascii="Arial Narrow" w:hAnsi="Arial Narrow" w:cs="Arial" w:hint="eastAsia"/>
        </w:rPr>
        <w:t xml:space="preserve">la </w:t>
      </w:r>
      <w:r w:rsidRPr="00C96E51">
        <w:rPr>
          <w:rFonts w:ascii="Arial Narrow" w:hAnsi="Arial Narrow" w:cs="Arial"/>
        </w:rPr>
        <w:t>decisión</w:t>
      </w:r>
      <w:r w:rsidRPr="00C96E51">
        <w:rPr>
          <w:rFonts w:ascii="Arial Narrow" w:hAnsi="Arial Narrow" w:cs="Arial" w:hint="eastAsia"/>
        </w:rPr>
        <w:t xml:space="preserve"> de adelantar los </w:t>
      </w:r>
      <w:r w:rsidRPr="00C96E51">
        <w:rPr>
          <w:rFonts w:ascii="Arial Narrow" w:hAnsi="Arial Narrow" w:cs="Arial"/>
        </w:rPr>
        <w:t>trámites</w:t>
      </w:r>
      <w:r w:rsidRPr="00C96E51">
        <w:rPr>
          <w:rFonts w:ascii="Arial Narrow" w:hAnsi="Arial Narrow" w:cs="Arial" w:hint="eastAsia"/>
        </w:rPr>
        <w:t xml:space="preserve"> administrativos </w:t>
      </w:r>
      <w:r w:rsidR="00C23579" w:rsidRPr="00C96E51">
        <w:rPr>
          <w:rFonts w:ascii="Arial Narrow" w:hAnsi="Arial Narrow" w:cs="Arial"/>
        </w:rPr>
        <w:t>pertinentes</w:t>
      </w:r>
      <w:r w:rsidRPr="00C96E51">
        <w:rPr>
          <w:rFonts w:ascii="Arial Narrow" w:hAnsi="Arial Narrow" w:cs="Arial" w:hint="eastAsia"/>
        </w:rPr>
        <w:t xml:space="preserve">, con el </w:t>
      </w:r>
      <w:r w:rsidRPr="00C96E51">
        <w:rPr>
          <w:rFonts w:ascii="Arial Narrow" w:hAnsi="Arial Narrow" w:cs="Arial"/>
        </w:rPr>
        <w:t>ánimo</w:t>
      </w:r>
      <w:r w:rsidRPr="00C96E51">
        <w:rPr>
          <w:rFonts w:ascii="Arial Narrow" w:hAnsi="Arial Narrow" w:cs="Arial" w:hint="eastAsia"/>
        </w:rPr>
        <w:t xml:space="preserve"> de </w:t>
      </w:r>
      <w:r w:rsidR="006354B2">
        <w:rPr>
          <w:rFonts w:ascii="Arial Narrow" w:hAnsi="Arial Narrow" w:cs="Arial"/>
        </w:rPr>
        <w:t xml:space="preserve">prescindir </w:t>
      </w:r>
      <w:r w:rsidR="00C23579" w:rsidRPr="00C96E51">
        <w:rPr>
          <w:rFonts w:ascii="Arial Narrow" w:hAnsi="Arial Narrow" w:cs="Arial"/>
        </w:rPr>
        <w:t>a partir de la fecha del presente documento</w:t>
      </w:r>
      <w:r w:rsidR="006354B2">
        <w:rPr>
          <w:rFonts w:ascii="Arial Narrow" w:hAnsi="Arial Narrow" w:cs="Arial"/>
        </w:rPr>
        <w:t xml:space="preserve"> de</w:t>
      </w:r>
      <w:r w:rsidRPr="00C96E51">
        <w:rPr>
          <w:rFonts w:ascii="Arial Narrow" w:hAnsi="Arial Narrow" w:cs="Arial" w:hint="eastAsia"/>
        </w:rPr>
        <w:t xml:space="preserve">l aumento </w:t>
      </w:r>
      <w:r w:rsidR="00C23579" w:rsidRPr="00C96E51">
        <w:rPr>
          <w:rFonts w:ascii="Arial Narrow" w:hAnsi="Arial Narrow" w:cs="Arial"/>
        </w:rPr>
        <w:t xml:space="preserve">señalado para el año 2017, equivalente a </w:t>
      </w:r>
      <w:r w:rsidRPr="00C96E51">
        <w:rPr>
          <w:rFonts w:ascii="Arial Narrow" w:hAnsi="Arial Narrow" w:cs="Arial" w:hint="eastAsia"/>
        </w:rPr>
        <w:t xml:space="preserve">un 10% por encima del IPC </w:t>
      </w:r>
      <w:r w:rsidR="00C23579" w:rsidRPr="00C96E51">
        <w:rPr>
          <w:rFonts w:ascii="Arial Narrow" w:hAnsi="Arial Narrow" w:cs="Arial"/>
        </w:rPr>
        <w:t>para</w:t>
      </w:r>
      <w:r w:rsidRPr="00C96E51">
        <w:rPr>
          <w:rFonts w:ascii="Arial Narrow" w:hAnsi="Arial Narrow" w:cs="Arial" w:hint="eastAsia"/>
        </w:rPr>
        <w:t xml:space="preserve"> las </w:t>
      </w:r>
      <w:r w:rsidRPr="00C96E51">
        <w:rPr>
          <w:rFonts w:ascii="Arial Narrow" w:hAnsi="Arial Narrow" w:cs="Arial"/>
        </w:rPr>
        <w:t>categorías</w:t>
      </w:r>
      <w:r w:rsidRPr="00C96E51">
        <w:rPr>
          <w:rFonts w:ascii="Arial Narrow" w:hAnsi="Arial Narrow" w:cs="Arial" w:hint="eastAsia"/>
        </w:rPr>
        <w:t xml:space="preserve"> 3 a la 7 en los peajes de: ( Ocoa, Iraca, Libertad, Casetabla  y Yucao),</w:t>
      </w:r>
      <w:r w:rsidR="00C23579" w:rsidRPr="00C96E51">
        <w:rPr>
          <w:rFonts w:ascii="Arial Narrow" w:hAnsi="Arial Narrow" w:cs="Arial"/>
        </w:rPr>
        <w:t xml:space="preserve"> prevista en el Contrato de Concesión No.004 de 2015</w:t>
      </w:r>
      <w:r w:rsidR="00C23579" w:rsidRPr="00C96E51">
        <w:rPr>
          <w:rFonts w:ascii="Arial Narrow" w:hAnsi="Arial Narrow" w:cs="Arial" w:hint="eastAsia"/>
        </w:rPr>
        <w:t>.</w:t>
      </w:r>
    </w:p>
    <w:p w:rsidR="00C23579" w:rsidRPr="00C13DB2" w:rsidRDefault="00C23579" w:rsidP="001B2ABF">
      <w:pPr>
        <w:widowControl/>
        <w:autoSpaceDE w:val="0"/>
        <w:jc w:val="both"/>
        <w:rPr>
          <w:rFonts w:ascii="Arial Narrow" w:hAnsi="Arial Narrow" w:cs="Arial"/>
          <w:sz w:val="22"/>
          <w:szCs w:val="22"/>
        </w:rPr>
      </w:pPr>
    </w:p>
    <w:p w:rsidR="00C96E51" w:rsidRPr="00C96E51" w:rsidRDefault="00C23579" w:rsidP="001B2ABF">
      <w:pPr>
        <w:widowControl/>
        <w:autoSpaceDE w:val="0"/>
        <w:jc w:val="both"/>
        <w:rPr>
          <w:rFonts w:ascii="Arial Narrow" w:hAnsi="Arial Narrow" w:cs="Arial"/>
        </w:rPr>
      </w:pPr>
      <w:r w:rsidRPr="00C96E51">
        <w:rPr>
          <w:rFonts w:ascii="Arial Narrow" w:hAnsi="Arial Narrow" w:cs="Arial"/>
        </w:rPr>
        <w:t xml:space="preserve">Que </w:t>
      </w:r>
      <w:r w:rsidR="006354B2" w:rsidRPr="00C96E51">
        <w:rPr>
          <w:rFonts w:ascii="Arial Narrow" w:hAnsi="Arial Narrow" w:cs="Arial"/>
        </w:rPr>
        <w:t>así</w:t>
      </w:r>
      <w:r w:rsidR="006354B2">
        <w:rPr>
          <w:rFonts w:ascii="Arial Narrow" w:hAnsi="Arial Narrow" w:cs="Arial"/>
        </w:rPr>
        <w:t xml:space="preserve"> </w:t>
      </w:r>
      <w:r w:rsidRPr="00C96E51">
        <w:rPr>
          <w:rFonts w:ascii="Arial Narrow" w:hAnsi="Arial Narrow" w:cs="Arial"/>
        </w:rPr>
        <w:t>mismo,</w:t>
      </w:r>
      <w:r w:rsidR="00687078" w:rsidRPr="00C96E51">
        <w:rPr>
          <w:rFonts w:ascii="Arial Narrow" w:hAnsi="Arial Narrow" w:cs="Arial" w:hint="eastAsia"/>
        </w:rPr>
        <w:t xml:space="preserve"> </w:t>
      </w:r>
      <w:r w:rsidRPr="00C96E51">
        <w:rPr>
          <w:rFonts w:ascii="Arial Narrow" w:hAnsi="Arial Narrow" w:cs="Arial"/>
        </w:rPr>
        <w:t>este Ministerio ha</w:t>
      </w:r>
      <w:r w:rsidR="00687078" w:rsidRPr="00C96E51">
        <w:rPr>
          <w:rFonts w:ascii="Arial Narrow" w:hAnsi="Arial Narrow" w:cs="Arial" w:hint="eastAsia"/>
        </w:rPr>
        <w:t xml:space="preserve"> decidido suspender </w:t>
      </w:r>
      <w:r w:rsidRPr="00C96E51">
        <w:rPr>
          <w:rFonts w:ascii="Arial Narrow" w:hAnsi="Arial Narrow" w:cs="Arial"/>
        </w:rPr>
        <w:t>a partir de la fecha del presente documento</w:t>
      </w:r>
      <w:r w:rsidR="00C96E51" w:rsidRPr="00C96E51">
        <w:rPr>
          <w:rFonts w:ascii="Arial Narrow" w:hAnsi="Arial Narrow" w:cs="Arial"/>
        </w:rPr>
        <w:t>,</w:t>
      </w:r>
      <w:r w:rsidRPr="00C96E51">
        <w:rPr>
          <w:rFonts w:ascii="Arial Narrow" w:hAnsi="Arial Narrow" w:cs="Arial"/>
        </w:rPr>
        <w:t xml:space="preserve"> el </w:t>
      </w:r>
      <w:r w:rsidR="00C96E51" w:rsidRPr="00C96E51">
        <w:rPr>
          <w:rFonts w:ascii="Arial Narrow" w:hAnsi="Arial Narrow" w:cs="Arial"/>
        </w:rPr>
        <w:t xml:space="preserve">cobro del </w:t>
      </w:r>
      <w:r w:rsidRPr="00C96E51">
        <w:rPr>
          <w:rFonts w:ascii="Arial Narrow" w:hAnsi="Arial Narrow" w:cs="Arial"/>
        </w:rPr>
        <w:t>valor del incremento del</w:t>
      </w:r>
      <w:r w:rsidR="00687078" w:rsidRPr="00C96E51">
        <w:rPr>
          <w:rFonts w:ascii="Arial Narrow" w:hAnsi="Arial Narrow" w:cs="Arial" w:hint="eastAsia"/>
        </w:rPr>
        <w:t xml:space="preserve"> peaje en </w:t>
      </w:r>
      <w:r w:rsidR="006354B2">
        <w:rPr>
          <w:rFonts w:ascii="Arial Narrow" w:hAnsi="Arial Narrow" w:cs="Arial"/>
        </w:rPr>
        <w:t>la</w:t>
      </w:r>
      <w:r w:rsidR="006D2D76">
        <w:rPr>
          <w:rFonts w:ascii="Arial Narrow" w:hAnsi="Arial Narrow" w:cs="Arial"/>
        </w:rPr>
        <w:t>s</w:t>
      </w:r>
      <w:r w:rsidR="006354B2">
        <w:rPr>
          <w:rFonts w:ascii="Arial Narrow" w:hAnsi="Arial Narrow" w:cs="Arial"/>
        </w:rPr>
        <w:t xml:space="preserve"> estaciones </w:t>
      </w:r>
      <w:r w:rsidR="00687078" w:rsidRPr="00C96E51">
        <w:rPr>
          <w:rFonts w:ascii="Arial Narrow" w:hAnsi="Arial Narrow" w:cs="Arial" w:hint="eastAsia"/>
        </w:rPr>
        <w:t>de Yucao y Casetabla</w:t>
      </w:r>
      <w:r w:rsidR="00C96E51" w:rsidRPr="00C96E51">
        <w:rPr>
          <w:rFonts w:ascii="Arial Narrow" w:hAnsi="Arial Narrow" w:cs="Arial"/>
        </w:rPr>
        <w:t>, por lo que se retomará el valor de tarifa de peaje que se recaudaba antes del 11 de agosto de 2016</w:t>
      </w:r>
      <w:r w:rsidR="00687078" w:rsidRPr="00C96E51">
        <w:rPr>
          <w:rFonts w:ascii="Arial Narrow" w:hAnsi="Arial Narrow" w:cs="Arial" w:hint="eastAsia"/>
        </w:rPr>
        <w:t xml:space="preserve">. Esta </w:t>
      </w:r>
      <w:r w:rsidR="00C96E51" w:rsidRPr="00C96E51">
        <w:rPr>
          <w:rFonts w:ascii="Arial Narrow" w:hAnsi="Arial Narrow" w:cs="Arial"/>
        </w:rPr>
        <w:t>suspensión del incremento del valor del peaje</w:t>
      </w:r>
      <w:r w:rsidR="00687078" w:rsidRPr="00C96E51">
        <w:rPr>
          <w:rFonts w:ascii="Arial Narrow" w:hAnsi="Arial Narrow" w:cs="Arial" w:hint="eastAsia"/>
        </w:rPr>
        <w:t xml:space="preserve"> se </w:t>
      </w:r>
      <w:r w:rsidR="00687078" w:rsidRPr="00C96E51">
        <w:rPr>
          <w:rFonts w:ascii="Arial Narrow" w:hAnsi="Arial Narrow" w:cs="Arial"/>
        </w:rPr>
        <w:t>mantendrá</w:t>
      </w:r>
      <w:r w:rsidR="00687078" w:rsidRPr="00C96E51">
        <w:rPr>
          <w:rFonts w:ascii="Arial Narrow" w:hAnsi="Arial Narrow" w:cs="Arial" w:hint="eastAsia"/>
        </w:rPr>
        <w:t xml:space="preserve"> </w:t>
      </w:r>
      <w:r w:rsidR="00C96E51" w:rsidRPr="00C96E51">
        <w:rPr>
          <w:rFonts w:ascii="Arial Narrow" w:hAnsi="Arial Narrow" w:cs="Arial"/>
        </w:rPr>
        <w:t>hasta el momento en que se suscriba el Acta de Inicio de la Etapa de Construcción, prevista en el Contrato de Concesión No.004 de 2015</w:t>
      </w:r>
      <w:r w:rsidR="00C96E51" w:rsidRPr="00C96E51">
        <w:rPr>
          <w:rFonts w:ascii="Arial Narrow" w:hAnsi="Arial Narrow" w:cs="Arial" w:hint="eastAsia"/>
        </w:rPr>
        <w:t>.</w:t>
      </w:r>
    </w:p>
    <w:p w:rsidR="00687078" w:rsidRPr="00C13DB2" w:rsidRDefault="00687078" w:rsidP="001B2ABF">
      <w:pPr>
        <w:widowControl/>
        <w:autoSpaceDE w:val="0"/>
        <w:jc w:val="both"/>
        <w:rPr>
          <w:rFonts w:ascii="Arial Narrow" w:hAnsi="Arial Narrow" w:cs="Arial"/>
          <w:sz w:val="22"/>
          <w:szCs w:val="22"/>
        </w:rPr>
      </w:pPr>
    </w:p>
    <w:p w:rsidR="00687078" w:rsidRPr="00603D0C" w:rsidRDefault="00687078" w:rsidP="001B2ABF">
      <w:pPr>
        <w:widowControl/>
        <w:autoSpaceDE w:val="0"/>
        <w:jc w:val="both"/>
        <w:rPr>
          <w:rFonts w:ascii="Arial Narrow" w:hAnsi="Arial Narrow" w:cs="Arial"/>
          <w:u w:val="single"/>
        </w:rPr>
      </w:pPr>
      <w:r w:rsidRPr="00C96E51">
        <w:rPr>
          <w:rFonts w:ascii="Arial Narrow" w:hAnsi="Arial Narrow" w:cs="Arial"/>
          <w:u w:val="single"/>
        </w:rPr>
        <w:t xml:space="preserve">Que el contenido de la presente Resolución, fue publicado en la página web de la Agencia Nacional de Infraestructura (ANI), desde el día </w:t>
      </w:r>
      <w:r w:rsidR="00607155" w:rsidRPr="00C96E51">
        <w:rPr>
          <w:rFonts w:ascii="Arial Narrow" w:hAnsi="Arial Narrow" w:cs="Arial"/>
          <w:u w:val="single"/>
        </w:rPr>
        <w:t>X</w:t>
      </w:r>
      <w:r w:rsidRPr="00C96E51">
        <w:rPr>
          <w:rFonts w:ascii="Arial Narrow" w:hAnsi="Arial Narrow" w:cs="Arial"/>
          <w:u w:val="single"/>
        </w:rPr>
        <w:t xml:space="preserve"> de febrero  hasta el  </w:t>
      </w:r>
      <w:r w:rsidR="00607155" w:rsidRPr="00C96E51">
        <w:rPr>
          <w:rFonts w:ascii="Arial Narrow" w:hAnsi="Arial Narrow" w:cs="Arial"/>
          <w:u w:val="single"/>
        </w:rPr>
        <w:t>X</w:t>
      </w:r>
      <w:r w:rsidRPr="00C96E51">
        <w:rPr>
          <w:rFonts w:ascii="Arial Narrow" w:hAnsi="Arial Narrow" w:cs="Arial"/>
          <w:u w:val="single"/>
        </w:rPr>
        <w:t xml:space="preserve"> de febrero de 2017 en cumplimiento a lo determinado en el numeral 8 del artículo 8° de la Ley 1437 de 2011, con el objeto de</w:t>
      </w:r>
      <w:r w:rsidRPr="00603D0C">
        <w:rPr>
          <w:rFonts w:ascii="Arial Narrow" w:hAnsi="Arial Narrow" w:cs="Arial"/>
          <w:u w:val="single"/>
        </w:rPr>
        <w:t xml:space="preserve"> recibir opiniones, sugerencias o propuestas alternativas.</w:t>
      </w:r>
    </w:p>
    <w:p w:rsidR="00687078" w:rsidRPr="00603D0C" w:rsidRDefault="00687078" w:rsidP="001B2ABF">
      <w:pPr>
        <w:widowControl/>
        <w:autoSpaceDE w:val="0"/>
        <w:jc w:val="both"/>
        <w:rPr>
          <w:rFonts w:ascii="Arial Narrow" w:hAnsi="Arial Narrow" w:cs="Arial"/>
          <w:u w:val="single"/>
        </w:rPr>
      </w:pPr>
      <w:r w:rsidRPr="00603D0C">
        <w:rPr>
          <w:rFonts w:ascii="Arial Narrow" w:hAnsi="Arial Narrow" w:cs="Arial"/>
          <w:u w:val="single"/>
        </w:rPr>
        <w:t xml:space="preserve"> </w:t>
      </w:r>
    </w:p>
    <w:p w:rsidR="00687078" w:rsidRPr="00DC55C7" w:rsidRDefault="00687078" w:rsidP="001B2ABF">
      <w:pPr>
        <w:widowControl/>
        <w:autoSpaceDE w:val="0"/>
        <w:jc w:val="both"/>
        <w:rPr>
          <w:rFonts w:ascii="Arial Narrow" w:hAnsi="Arial Narrow" w:cs="Arial"/>
        </w:rPr>
      </w:pPr>
      <w:r w:rsidRPr="00DC55C7">
        <w:rPr>
          <w:rFonts w:ascii="Arial Narrow" w:hAnsi="Arial Narrow" w:cs="Arial"/>
        </w:rPr>
        <w:t>Que</w:t>
      </w:r>
      <w:r w:rsidR="00C96E51">
        <w:rPr>
          <w:rFonts w:ascii="Arial Narrow" w:hAnsi="Arial Narrow" w:cs="Arial"/>
        </w:rPr>
        <w:t xml:space="preserve"> las disposiciones descritas han sido adoptadas por parte de</w:t>
      </w:r>
      <w:r w:rsidRPr="00DC55C7">
        <w:rPr>
          <w:rFonts w:ascii="Arial Narrow" w:hAnsi="Arial Narrow" w:cs="Arial"/>
        </w:rPr>
        <w:t>l Ministerio de Transporte</w:t>
      </w:r>
      <w:r w:rsidR="00C96E51">
        <w:rPr>
          <w:rFonts w:ascii="Arial Narrow" w:hAnsi="Arial Narrow" w:cs="Arial"/>
        </w:rPr>
        <w:t xml:space="preserve"> con el objeto de </w:t>
      </w:r>
      <w:r w:rsidRPr="00DC55C7">
        <w:rPr>
          <w:rFonts w:ascii="Arial Narrow" w:hAnsi="Arial Narrow" w:cs="Arial"/>
        </w:rPr>
        <w:t>mitig</w:t>
      </w:r>
      <w:r w:rsidR="00C96E51">
        <w:rPr>
          <w:rFonts w:ascii="Arial Narrow" w:hAnsi="Arial Narrow" w:cs="Arial"/>
        </w:rPr>
        <w:t>ar</w:t>
      </w:r>
      <w:r w:rsidRPr="00DC55C7">
        <w:rPr>
          <w:rFonts w:ascii="Arial Narrow" w:hAnsi="Arial Narrow" w:cs="Arial"/>
        </w:rPr>
        <w:t xml:space="preserve"> los efectos sociales y económicos de la</w:t>
      </w:r>
      <w:r w:rsidR="00C96E51">
        <w:rPr>
          <w:rFonts w:ascii="Arial Narrow" w:hAnsi="Arial Narrow" w:cs="Arial"/>
        </w:rPr>
        <w:t xml:space="preserve">s </w:t>
      </w:r>
      <w:r w:rsidRPr="00DC55C7">
        <w:rPr>
          <w:rFonts w:ascii="Arial Narrow" w:hAnsi="Arial Narrow" w:cs="Arial"/>
        </w:rPr>
        <w:t>comunidad</w:t>
      </w:r>
      <w:r w:rsidR="00C96E51">
        <w:rPr>
          <w:rFonts w:ascii="Arial Narrow" w:hAnsi="Arial Narrow" w:cs="Arial"/>
        </w:rPr>
        <w:t>es</w:t>
      </w:r>
      <w:r w:rsidR="006D2D76">
        <w:rPr>
          <w:rFonts w:ascii="Arial Narrow" w:hAnsi="Arial Narrow" w:cs="Arial"/>
        </w:rPr>
        <w:t xml:space="preserve"> beneficiarias del proyecto</w:t>
      </w:r>
      <w:r w:rsidRPr="00DC55C7">
        <w:rPr>
          <w:rFonts w:ascii="Arial Narrow" w:hAnsi="Arial Narrow" w:cs="Arial"/>
        </w:rPr>
        <w:t>.</w:t>
      </w:r>
    </w:p>
    <w:p w:rsidR="00687078" w:rsidRPr="00C13DB2" w:rsidRDefault="00687078" w:rsidP="001B2ABF">
      <w:pPr>
        <w:widowControl/>
        <w:autoSpaceDE w:val="0"/>
        <w:jc w:val="both"/>
        <w:rPr>
          <w:rFonts w:ascii="Arial Narrow" w:hAnsi="Arial Narrow" w:cs="Arial"/>
          <w:sz w:val="22"/>
          <w:szCs w:val="22"/>
        </w:rPr>
      </w:pPr>
      <w:r w:rsidRPr="00DC55C7">
        <w:rPr>
          <w:rFonts w:ascii="Arial Narrow" w:hAnsi="Arial Narrow" w:cs="Arial"/>
        </w:rPr>
        <w:t xml:space="preserve"> </w:t>
      </w:r>
    </w:p>
    <w:p w:rsidR="00687078" w:rsidRDefault="00687078" w:rsidP="001B2ABF">
      <w:pPr>
        <w:widowControl/>
        <w:autoSpaceDE w:val="0"/>
        <w:jc w:val="both"/>
        <w:rPr>
          <w:rFonts w:ascii="Arial Narrow" w:hAnsi="Arial Narrow" w:cs="Arial"/>
        </w:rPr>
      </w:pPr>
      <w:r w:rsidRPr="00DC55C7">
        <w:rPr>
          <w:rFonts w:ascii="Arial Narrow" w:hAnsi="Arial Narrow" w:cs="Arial"/>
        </w:rPr>
        <w:t>En mérito de lo expuesto,</w:t>
      </w:r>
    </w:p>
    <w:p w:rsidR="006D2D76" w:rsidRDefault="006D2D76" w:rsidP="001B2ABF">
      <w:pPr>
        <w:widowControl/>
        <w:autoSpaceDE w:val="0"/>
        <w:jc w:val="both"/>
        <w:rPr>
          <w:rFonts w:ascii="Arial Narrow" w:hAnsi="Arial Narrow" w:cs="Arial"/>
        </w:rPr>
      </w:pPr>
    </w:p>
    <w:p w:rsidR="00687078" w:rsidRPr="00DC55C7" w:rsidRDefault="00687078" w:rsidP="001B2ABF">
      <w:pPr>
        <w:widowControl/>
        <w:autoSpaceDE w:val="0"/>
        <w:jc w:val="center"/>
        <w:rPr>
          <w:rFonts w:ascii="Arial Narrow" w:hAnsi="Arial Narrow" w:cs="Arial"/>
          <w:b/>
        </w:rPr>
      </w:pPr>
      <w:r w:rsidRPr="00DC55C7">
        <w:rPr>
          <w:rFonts w:ascii="Arial Narrow" w:hAnsi="Arial Narrow" w:cs="Arial"/>
          <w:b/>
        </w:rPr>
        <w:lastRenderedPageBreak/>
        <w:t>RESUELVE:</w:t>
      </w:r>
    </w:p>
    <w:p w:rsidR="006D2D76" w:rsidRDefault="006D2D76" w:rsidP="001B2ABF">
      <w:pPr>
        <w:widowControl/>
        <w:autoSpaceDE w:val="0"/>
        <w:jc w:val="both"/>
        <w:rPr>
          <w:rFonts w:ascii="Arial Narrow" w:hAnsi="Arial Narrow" w:cs="Arial"/>
          <w:b/>
        </w:rPr>
      </w:pPr>
    </w:p>
    <w:p w:rsidR="00687078" w:rsidRPr="00DC55C7" w:rsidRDefault="00687078" w:rsidP="001B2ABF">
      <w:pPr>
        <w:widowControl/>
        <w:autoSpaceDE w:val="0"/>
        <w:jc w:val="both"/>
        <w:rPr>
          <w:rFonts w:ascii="Arial Narrow" w:hAnsi="Arial Narrow" w:cs="Arial"/>
        </w:rPr>
      </w:pPr>
      <w:r w:rsidRPr="00DC55C7">
        <w:rPr>
          <w:rFonts w:ascii="Arial Narrow" w:hAnsi="Arial Narrow" w:cs="Arial"/>
          <w:b/>
        </w:rPr>
        <w:t xml:space="preserve">ARTÍCULO </w:t>
      </w:r>
      <w:r w:rsidR="00C96E51">
        <w:rPr>
          <w:rFonts w:ascii="Arial Narrow" w:hAnsi="Arial Narrow" w:cs="Arial"/>
          <w:b/>
        </w:rPr>
        <w:t>PRIMERO</w:t>
      </w:r>
      <w:r w:rsidRPr="00DC55C7">
        <w:rPr>
          <w:rFonts w:ascii="Arial Narrow" w:hAnsi="Arial Narrow" w:cs="Arial"/>
          <w:b/>
        </w:rPr>
        <w:t>.-</w:t>
      </w:r>
      <w:r w:rsidRPr="00DC55C7">
        <w:rPr>
          <w:rFonts w:ascii="Arial Narrow" w:hAnsi="Arial Narrow" w:cs="Arial"/>
        </w:rPr>
        <w:t xml:space="preserve">  Modificar parcial</w:t>
      </w:r>
      <w:r w:rsidR="006354B2">
        <w:rPr>
          <w:rFonts w:ascii="Arial Narrow" w:hAnsi="Arial Narrow" w:cs="Arial"/>
        </w:rPr>
        <w:t xml:space="preserve"> y temporalmente el esquema tarifario previsto por</w:t>
      </w:r>
      <w:r w:rsidRPr="00DC55C7">
        <w:rPr>
          <w:rFonts w:ascii="Arial Narrow" w:hAnsi="Arial Narrow" w:cs="Arial"/>
        </w:rPr>
        <w:t xml:space="preserve"> el Artículo Tercero de la Resolución No. </w:t>
      </w:r>
      <w:r w:rsidR="00C96E51">
        <w:rPr>
          <w:rFonts w:ascii="Arial Narrow" w:hAnsi="Arial Narrow" w:cs="Arial"/>
        </w:rPr>
        <w:t>00</w:t>
      </w:r>
      <w:r w:rsidRPr="00DC55C7">
        <w:rPr>
          <w:rFonts w:ascii="Arial Narrow" w:hAnsi="Arial Narrow" w:cs="Arial"/>
        </w:rPr>
        <w:t>01130 de 28 de abril de 2015</w:t>
      </w:r>
      <w:r w:rsidR="00C96E51">
        <w:rPr>
          <w:rFonts w:ascii="Arial Narrow" w:hAnsi="Arial Narrow" w:cs="Arial"/>
        </w:rPr>
        <w:t>,</w:t>
      </w:r>
      <w:r w:rsidRPr="00DC55C7">
        <w:rPr>
          <w:rFonts w:ascii="Arial Narrow" w:hAnsi="Arial Narrow" w:cs="Arial"/>
        </w:rPr>
        <w:t xml:space="preserve"> </w:t>
      </w:r>
      <w:r w:rsidR="006354B2">
        <w:rPr>
          <w:rFonts w:ascii="Arial Narrow" w:hAnsi="Arial Narrow" w:cs="Arial"/>
        </w:rPr>
        <w:t xml:space="preserve">para las estaciones </w:t>
      </w:r>
      <w:r w:rsidR="0084407E">
        <w:rPr>
          <w:rFonts w:ascii="Arial Narrow" w:hAnsi="Arial Narrow" w:cs="Arial"/>
        </w:rPr>
        <w:t xml:space="preserve">de peaje de Yucao y Casetabla, </w:t>
      </w:r>
      <w:r w:rsidR="00C96E51">
        <w:rPr>
          <w:rFonts w:ascii="Arial Narrow" w:hAnsi="Arial Narrow" w:cs="Arial"/>
        </w:rPr>
        <w:t xml:space="preserve">el cual quedará </w:t>
      </w:r>
      <w:r w:rsidRPr="00DC55C7">
        <w:rPr>
          <w:rFonts w:ascii="Arial Narrow" w:hAnsi="Arial Narrow" w:cs="Arial"/>
        </w:rPr>
        <w:t>así:</w:t>
      </w:r>
    </w:p>
    <w:p w:rsidR="00687078" w:rsidRPr="00DC55C7" w:rsidRDefault="00687078" w:rsidP="001B2ABF">
      <w:pPr>
        <w:widowControl/>
        <w:autoSpaceDE w:val="0"/>
        <w:jc w:val="both"/>
        <w:rPr>
          <w:rFonts w:ascii="Arial Narrow" w:hAnsi="Arial Narrow" w:cs="Arial"/>
        </w:rPr>
      </w:pPr>
    </w:p>
    <w:p w:rsidR="00687078" w:rsidRDefault="00C96E51" w:rsidP="001B2ABF">
      <w:pPr>
        <w:widowControl/>
        <w:autoSpaceDE w:val="0"/>
        <w:ind w:left="284"/>
        <w:jc w:val="both"/>
        <w:rPr>
          <w:rFonts w:ascii="Arial Narrow" w:hAnsi="Arial Narrow" w:cs="Arial"/>
          <w:i/>
        </w:rPr>
      </w:pPr>
      <w:r>
        <w:rPr>
          <w:rFonts w:ascii="Arial Narrow" w:hAnsi="Arial Narrow" w:cs="Arial"/>
        </w:rPr>
        <w:t>“</w:t>
      </w:r>
      <w:r w:rsidR="00687078" w:rsidRPr="00C96E51">
        <w:rPr>
          <w:rFonts w:ascii="Arial Narrow" w:hAnsi="Arial Narrow" w:cs="Arial"/>
          <w:i/>
        </w:rPr>
        <w:t xml:space="preserve">Establecer las categorías vehiculares y tarifas que podrá cobrar el Concesionario a partir </w:t>
      </w:r>
      <w:r w:rsidRPr="00C96E51">
        <w:rPr>
          <w:rFonts w:ascii="Arial Narrow" w:hAnsi="Arial Narrow" w:cs="Arial"/>
          <w:i/>
        </w:rPr>
        <w:t xml:space="preserve"> </w:t>
      </w:r>
      <w:r w:rsidR="00687078" w:rsidRPr="00C96E51">
        <w:rPr>
          <w:rFonts w:ascii="Arial Narrow" w:hAnsi="Arial Narrow" w:cs="Arial"/>
          <w:i/>
        </w:rPr>
        <w:t xml:space="preserve">de la entrada en vigencia de la presente Resolución, a todos los usuarios en las estaciones de peaje de </w:t>
      </w:r>
      <w:r w:rsidR="00687078" w:rsidRPr="00C96E51">
        <w:rPr>
          <w:rFonts w:ascii="Arial Narrow" w:hAnsi="Arial Narrow" w:cs="Arial"/>
          <w:b/>
          <w:i/>
        </w:rPr>
        <w:t>Casetabla y Yucao</w:t>
      </w:r>
      <w:r w:rsidR="00687078" w:rsidRPr="00C96E51">
        <w:rPr>
          <w:rFonts w:ascii="Arial Narrow" w:hAnsi="Arial Narrow" w:cs="Arial"/>
          <w:i/>
        </w:rPr>
        <w:t>.  La estructura tarifaria se expresa en pesos del 1° de enero del año 2017:</w:t>
      </w:r>
    </w:p>
    <w:p w:rsidR="006D2D76" w:rsidRPr="00C96E51" w:rsidRDefault="006D2D76" w:rsidP="001B2ABF">
      <w:pPr>
        <w:widowControl/>
        <w:autoSpaceDE w:val="0"/>
        <w:ind w:left="284"/>
        <w:jc w:val="both"/>
        <w:rPr>
          <w:rFonts w:ascii="Arial Narrow" w:hAnsi="Arial Narrow" w:cs="Arial"/>
          <w:i/>
        </w:rPr>
      </w:pPr>
    </w:p>
    <w:tbl>
      <w:tblPr>
        <w:tblW w:w="7648" w:type="dxa"/>
        <w:jc w:val="center"/>
        <w:tblCellMar>
          <w:left w:w="10" w:type="dxa"/>
          <w:right w:w="10" w:type="dxa"/>
        </w:tblCellMar>
        <w:tblLook w:val="0000" w:firstRow="0" w:lastRow="0" w:firstColumn="0" w:lastColumn="0" w:noHBand="0" w:noVBand="0"/>
      </w:tblPr>
      <w:tblGrid>
        <w:gridCol w:w="1389"/>
        <w:gridCol w:w="1527"/>
        <w:gridCol w:w="3041"/>
        <w:gridCol w:w="1691"/>
      </w:tblGrid>
      <w:tr w:rsidR="00DF737E" w:rsidRPr="009B795D" w:rsidTr="00B22D47">
        <w:trPr>
          <w:trHeight w:val="202"/>
          <w:jc w:val="center"/>
        </w:trPr>
        <w:tc>
          <w:tcPr>
            <w:tcW w:w="138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F737E" w:rsidRPr="005F46CB" w:rsidRDefault="00DF737E" w:rsidP="00B22D47">
            <w:pPr>
              <w:widowControl/>
              <w:suppressAutoHyphens w:val="0"/>
              <w:spacing w:line="202" w:lineRule="atLeast"/>
              <w:jc w:val="center"/>
              <w:textAlignment w:val="auto"/>
              <w:rPr>
                <w:rFonts w:ascii="Arial Narrow" w:hAnsi="Arial Narrow" w:cs="Arial"/>
                <w:b/>
                <w:sz w:val="22"/>
                <w:szCs w:val="22"/>
              </w:rPr>
            </w:pPr>
            <w:bookmarkStart w:id="0" w:name="_GoBack"/>
            <w:bookmarkEnd w:id="0"/>
            <w:r w:rsidRPr="005F46CB">
              <w:rPr>
                <w:rFonts w:ascii="Arial Narrow" w:hAnsi="Arial Narrow" w:cs="Arial"/>
                <w:b/>
                <w:sz w:val="22"/>
                <w:szCs w:val="22"/>
              </w:rPr>
              <w:t>Estaciones de  Peaje</w:t>
            </w:r>
          </w:p>
        </w:tc>
        <w:tc>
          <w:tcPr>
            <w:tcW w:w="152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F737E" w:rsidRPr="005F46CB" w:rsidRDefault="00DF737E" w:rsidP="00B22D47">
            <w:pPr>
              <w:widowControl/>
              <w:suppressAutoHyphens w:val="0"/>
              <w:spacing w:line="202" w:lineRule="atLeast"/>
              <w:jc w:val="center"/>
              <w:textAlignment w:val="auto"/>
              <w:rPr>
                <w:rFonts w:ascii="Arial Narrow" w:hAnsi="Arial Narrow" w:cs="Arial"/>
                <w:b/>
                <w:sz w:val="22"/>
                <w:szCs w:val="22"/>
              </w:rPr>
            </w:pPr>
            <w:r w:rsidRPr="005F46CB">
              <w:rPr>
                <w:rFonts w:ascii="Arial Narrow" w:hAnsi="Arial Narrow" w:cs="Arial"/>
                <w:b/>
                <w:sz w:val="22"/>
                <w:szCs w:val="22"/>
              </w:rPr>
              <w:t>CATEGORÍAS</w:t>
            </w:r>
          </w:p>
        </w:tc>
        <w:tc>
          <w:tcPr>
            <w:tcW w:w="3041"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F737E" w:rsidRPr="005F46CB" w:rsidRDefault="00DF737E" w:rsidP="00B22D47">
            <w:pPr>
              <w:widowControl/>
              <w:suppressAutoHyphens w:val="0"/>
              <w:spacing w:line="202" w:lineRule="atLeast"/>
              <w:jc w:val="center"/>
              <w:textAlignment w:val="auto"/>
              <w:rPr>
                <w:rFonts w:ascii="Arial Narrow" w:hAnsi="Arial Narrow" w:cs="Arial"/>
                <w:b/>
                <w:sz w:val="22"/>
                <w:szCs w:val="22"/>
              </w:rPr>
            </w:pPr>
            <w:r w:rsidRPr="005F46CB">
              <w:rPr>
                <w:rFonts w:ascii="Arial Narrow" w:hAnsi="Arial Narrow" w:cs="Arial"/>
                <w:b/>
                <w:sz w:val="22"/>
                <w:szCs w:val="22"/>
              </w:rPr>
              <w:t>DESCRIPCIÓN</w:t>
            </w:r>
          </w:p>
        </w:tc>
        <w:tc>
          <w:tcPr>
            <w:tcW w:w="1691"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F737E" w:rsidRPr="005F46CB" w:rsidRDefault="00DF737E" w:rsidP="00B22D47">
            <w:pPr>
              <w:widowControl/>
              <w:suppressAutoHyphens w:val="0"/>
              <w:jc w:val="center"/>
              <w:textAlignment w:val="auto"/>
              <w:rPr>
                <w:rFonts w:ascii="Arial Narrow" w:hAnsi="Arial Narrow" w:cs="Arial"/>
                <w:b/>
                <w:sz w:val="22"/>
                <w:szCs w:val="22"/>
              </w:rPr>
            </w:pPr>
            <w:r w:rsidRPr="005F46CB">
              <w:rPr>
                <w:rFonts w:ascii="Arial Narrow" w:hAnsi="Arial Narrow" w:cs="Arial"/>
                <w:b/>
                <w:sz w:val="22"/>
                <w:szCs w:val="22"/>
              </w:rPr>
              <w:t>Tarifa *</w:t>
            </w:r>
          </w:p>
        </w:tc>
      </w:tr>
      <w:tr w:rsidR="00DF737E" w:rsidRPr="006867DA" w:rsidTr="00B22D47">
        <w:trPr>
          <w:trHeight w:val="432"/>
          <w:jc w:val="center"/>
        </w:trPr>
        <w:tc>
          <w:tcPr>
            <w:tcW w:w="1389" w:type="dxa"/>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F737E" w:rsidRPr="005F46CB" w:rsidRDefault="00DF737E" w:rsidP="00B22D47">
            <w:pPr>
              <w:widowControl/>
              <w:suppressAutoHyphens w:val="0"/>
              <w:jc w:val="center"/>
              <w:textAlignment w:val="auto"/>
              <w:rPr>
                <w:rFonts w:ascii="Arial Narrow" w:hAnsi="Arial Narrow" w:cs="Arial"/>
                <w:sz w:val="22"/>
                <w:szCs w:val="22"/>
              </w:rPr>
            </w:pPr>
            <w:r w:rsidRPr="005F46CB">
              <w:rPr>
                <w:rFonts w:ascii="Arial Narrow" w:hAnsi="Arial Narrow" w:cs="Arial"/>
                <w:sz w:val="22"/>
                <w:szCs w:val="22"/>
              </w:rPr>
              <w:t xml:space="preserve">Casetabla </w:t>
            </w:r>
          </w:p>
          <w:p w:rsidR="00DF737E" w:rsidRPr="005F46CB" w:rsidRDefault="00DF737E" w:rsidP="00B22D47">
            <w:pPr>
              <w:widowControl/>
              <w:suppressAutoHyphens w:val="0"/>
              <w:jc w:val="center"/>
              <w:textAlignment w:val="auto"/>
              <w:rPr>
                <w:rFonts w:ascii="Arial Narrow" w:hAnsi="Arial Narrow" w:cs="Arial"/>
                <w:sz w:val="22"/>
                <w:szCs w:val="22"/>
              </w:rPr>
            </w:pPr>
            <w:r w:rsidRPr="005F46CB">
              <w:rPr>
                <w:rFonts w:ascii="Arial Narrow" w:hAnsi="Arial Narrow" w:cs="Arial"/>
                <w:sz w:val="22"/>
                <w:szCs w:val="22"/>
              </w:rPr>
              <w:t>y Yucao</w:t>
            </w:r>
          </w:p>
          <w:p w:rsidR="00DF737E" w:rsidRPr="005F46CB" w:rsidRDefault="00DF737E" w:rsidP="00B22D47">
            <w:pPr>
              <w:widowControl/>
              <w:suppressAutoHyphens w:val="0"/>
              <w:spacing w:line="105" w:lineRule="atLeast"/>
              <w:textAlignment w:val="auto"/>
              <w:rPr>
                <w:rFonts w:ascii="Arial Narrow" w:hAnsi="Arial Narrow" w:cs="Arial"/>
                <w:sz w:val="22"/>
                <w:szCs w:val="22"/>
              </w:rPr>
            </w:pPr>
            <w:r w:rsidRPr="005F46CB">
              <w:rPr>
                <w:rFonts w:ascii="Arial Narrow" w:hAnsi="Arial Narrow" w:cs="Arial"/>
                <w:sz w:val="22"/>
                <w:szCs w:val="22"/>
              </w:rPr>
              <w:t> </w:t>
            </w:r>
          </w:p>
        </w:tc>
        <w:tc>
          <w:tcPr>
            <w:tcW w:w="1527" w:type="dxa"/>
            <w:tcBorders>
              <w:bottom w:val="single" w:sz="8" w:space="0" w:color="000000"/>
              <w:right w:val="single" w:sz="8" w:space="0" w:color="000000"/>
            </w:tcBorders>
            <w:shd w:val="clear" w:color="auto" w:fill="auto"/>
            <w:tcMar>
              <w:top w:w="0" w:type="dxa"/>
              <w:left w:w="108" w:type="dxa"/>
              <w:bottom w:w="0" w:type="dxa"/>
              <w:right w:w="108" w:type="dxa"/>
            </w:tcMar>
          </w:tcPr>
          <w:p w:rsidR="00DF737E" w:rsidRPr="005F46CB" w:rsidRDefault="00DF737E" w:rsidP="00B22D47">
            <w:pPr>
              <w:widowControl/>
              <w:suppressAutoHyphens w:val="0"/>
              <w:jc w:val="both"/>
              <w:textAlignment w:val="auto"/>
              <w:rPr>
                <w:rFonts w:ascii="Arial Narrow" w:hAnsi="Arial Narrow" w:cs="Arial"/>
                <w:sz w:val="22"/>
                <w:szCs w:val="22"/>
              </w:rPr>
            </w:pPr>
            <w:r w:rsidRPr="005F46CB">
              <w:rPr>
                <w:rFonts w:ascii="Arial Narrow" w:hAnsi="Arial Narrow" w:cs="Arial"/>
                <w:sz w:val="22"/>
                <w:szCs w:val="22"/>
              </w:rPr>
              <w:t>Categoría I</w:t>
            </w:r>
          </w:p>
        </w:tc>
        <w:tc>
          <w:tcPr>
            <w:tcW w:w="3041" w:type="dxa"/>
            <w:tcBorders>
              <w:bottom w:val="single" w:sz="8" w:space="0" w:color="000000"/>
              <w:right w:val="single" w:sz="8" w:space="0" w:color="000000"/>
            </w:tcBorders>
            <w:shd w:val="clear" w:color="auto" w:fill="auto"/>
            <w:tcMar>
              <w:top w:w="0" w:type="dxa"/>
              <w:left w:w="108" w:type="dxa"/>
              <w:bottom w:w="0" w:type="dxa"/>
              <w:right w:w="108" w:type="dxa"/>
            </w:tcMar>
          </w:tcPr>
          <w:p w:rsidR="00DF737E" w:rsidRPr="005F46CB" w:rsidRDefault="00DF737E" w:rsidP="00B22D47">
            <w:pPr>
              <w:widowControl/>
              <w:suppressAutoHyphens w:val="0"/>
              <w:jc w:val="both"/>
              <w:textAlignment w:val="auto"/>
              <w:rPr>
                <w:rFonts w:ascii="Arial Narrow" w:hAnsi="Arial Narrow" w:cs="Arial"/>
                <w:sz w:val="22"/>
                <w:szCs w:val="22"/>
              </w:rPr>
            </w:pPr>
            <w:r w:rsidRPr="005F46CB">
              <w:rPr>
                <w:rFonts w:ascii="Arial Narrow" w:hAnsi="Arial Narrow" w:cs="Arial"/>
                <w:sz w:val="22"/>
                <w:szCs w:val="22"/>
              </w:rPr>
              <w:t>Automóviles, camperos y camionetas</w:t>
            </w:r>
          </w:p>
        </w:tc>
        <w:tc>
          <w:tcPr>
            <w:tcW w:w="1691" w:type="dxa"/>
            <w:tcBorders>
              <w:bottom w:val="single" w:sz="8" w:space="0" w:color="000000"/>
              <w:right w:val="single" w:sz="8" w:space="0" w:color="000000"/>
            </w:tcBorders>
            <w:shd w:val="clear" w:color="auto" w:fill="auto"/>
            <w:tcMar>
              <w:top w:w="0" w:type="dxa"/>
              <w:left w:w="108" w:type="dxa"/>
              <w:bottom w:w="0" w:type="dxa"/>
              <w:right w:w="108" w:type="dxa"/>
            </w:tcMar>
          </w:tcPr>
          <w:p w:rsidR="00DF737E" w:rsidRPr="005F46CB" w:rsidRDefault="00DF737E" w:rsidP="00B22D47">
            <w:pPr>
              <w:widowControl/>
              <w:suppressAutoHyphens w:val="0"/>
              <w:jc w:val="center"/>
              <w:textAlignment w:val="auto"/>
              <w:rPr>
                <w:rFonts w:ascii="Arial Narrow" w:hAnsi="Arial Narrow" w:cs="Arial"/>
                <w:sz w:val="22"/>
                <w:szCs w:val="22"/>
              </w:rPr>
            </w:pPr>
            <w:r w:rsidRPr="005F46CB">
              <w:rPr>
                <w:rFonts w:ascii="Arial Narrow" w:hAnsi="Arial Narrow" w:cs="Arial"/>
                <w:sz w:val="22"/>
                <w:szCs w:val="22"/>
              </w:rPr>
              <w:t>3.900</w:t>
            </w:r>
          </w:p>
        </w:tc>
      </w:tr>
      <w:tr w:rsidR="00DF737E" w:rsidRPr="006867DA" w:rsidTr="00B22D47">
        <w:trPr>
          <w:trHeight w:val="201"/>
          <w:jc w:val="center"/>
        </w:trPr>
        <w:tc>
          <w:tcPr>
            <w:tcW w:w="1389"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F737E" w:rsidRPr="005F46CB" w:rsidRDefault="00DF737E" w:rsidP="00B22D47">
            <w:pPr>
              <w:widowControl/>
              <w:suppressAutoHyphens w:val="0"/>
              <w:spacing w:line="105" w:lineRule="atLeast"/>
              <w:textAlignment w:val="auto"/>
              <w:rPr>
                <w:rFonts w:ascii="Arial Narrow" w:hAnsi="Arial Narrow" w:cs="Arial"/>
                <w:sz w:val="22"/>
                <w:szCs w:val="22"/>
              </w:rPr>
            </w:pPr>
          </w:p>
        </w:tc>
        <w:tc>
          <w:tcPr>
            <w:tcW w:w="1527" w:type="dxa"/>
            <w:tcBorders>
              <w:bottom w:val="single" w:sz="8" w:space="0" w:color="000000"/>
              <w:right w:val="single" w:sz="8" w:space="0" w:color="000000"/>
            </w:tcBorders>
            <w:shd w:val="clear" w:color="auto" w:fill="auto"/>
            <w:tcMar>
              <w:top w:w="0" w:type="dxa"/>
              <w:left w:w="108" w:type="dxa"/>
              <w:bottom w:w="0" w:type="dxa"/>
              <w:right w:w="108" w:type="dxa"/>
            </w:tcMar>
          </w:tcPr>
          <w:p w:rsidR="00DF737E" w:rsidRPr="005F46CB" w:rsidRDefault="00DF737E" w:rsidP="00B22D47">
            <w:pPr>
              <w:widowControl/>
              <w:suppressAutoHyphens w:val="0"/>
              <w:spacing w:line="201" w:lineRule="atLeast"/>
              <w:textAlignment w:val="auto"/>
              <w:rPr>
                <w:rFonts w:ascii="Arial Narrow" w:hAnsi="Arial Narrow" w:cs="Arial"/>
                <w:sz w:val="22"/>
                <w:szCs w:val="22"/>
              </w:rPr>
            </w:pPr>
            <w:r w:rsidRPr="005F46CB">
              <w:rPr>
                <w:rFonts w:ascii="Arial Narrow" w:hAnsi="Arial Narrow" w:cs="Arial"/>
                <w:sz w:val="22"/>
                <w:szCs w:val="22"/>
              </w:rPr>
              <w:t>Categoría II</w:t>
            </w:r>
          </w:p>
        </w:tc>
        <w:tc>
          <w:tcPr>
            <w:tcW w:w="3041" w:type="dxa"/>
            <w:tcBorders>
              <w:bottom w:val="single" w:sz="8" w:space="0" w:color="000000"/>
              <w:right w:val="single" w:sz="8" w:space="0" w:color="000000"/>
            </w:tcBorders>
            <w:shd w:val="clear" w:color="auto" w:fill="auto"/>
            <w:tcMar>
              <w:top w:w="0" w:type="dxa"/>
              <w:left w:w="108" w:type="dxa"/>
              <w:bottom w:w="0" w:type="dxa"/>
              <w:right w:w="108" w:type="dxa"/>
            </w:tcMar>
          </w:tcPr>
          <w:p w:rsidR="00DF737E" w:rsidRPr="005F46CB" w:rsidRDefault="00DF737E" w:rsidP="00B22D47">
            <w:pPr>
              <w:widowControl/>
              <w:suppressAutoHyphens w:val="0"/>
              <w:spacing w:line="201" w:lineRule="atLeast"/>
              <w:jc w:val="both"/>
              <w:textAlignment w:val="auto"/>
              <w:rPr>
                <w:rFonts w:ascii="Arial Narrow" w:hAnsi="Arial Narrow" w:cs="Arial"/>
                <w:sz w:val="22"/>
                <w:szCs w:val="22"/>
              </w:rPr>
            </w:pPr>
            <w:r w:rsidRPr="005F46CB">
              <w:rPr>
                <w:rFonts w:ascii="Arial Narrow" w:hAnsi="Arial Narrow" w:cs="Arial"/>
                <w:sz w:val="22"/>
                <w:szCs w:val="22"/>
              </w:rPr>
              <w:t>Buses, busetas, microbuses con eje trasero de doble llanta</w:t>
            </w:r>
          </w:p>
        </w:tc>
        <w:tc>
          <w:tcPr>
            <w:tcW w:w="1691" w:type="dxa"/>
            <w:tcBorders>
              <w:bottom w:val="single" w:sz="8" w:space="0" w:color="000000"/>
              <w:right w:val="single" w:sz="8" w:space="0" w:color="000000"/>
            </w:tcBorders>
            <w:shd w:val="clear" w:color="auto" w:fill="auto"/>
            <w:tcMar>
              <w:top w:w="0" w:type="dxa"/>
              <w:left w:w="108" w:type="dxa"/>
              <w:bottom w:w="0" w:type="dxa"/>
              <w:right w:w="108" w:type="dxa"/>
            </w:tcMar>
          </w:tcPr>
          <w:p w:rsidR="00DF737E" w:rsidRPr="005F46CB" w:rsidRDefault="00DF737E" w:rsidP="00B22D47">
            <w:pPr>
              <w:widowControl/>
              <w:suppressAutoHyphens w:val="0"/>
              <w:spacing w:line="201" w:lineRule="atLeast"/>
              <w:jc w:val="center"/>
              <w:textAlignment w:val="auto"/>
              <w:rPr>
                <w:rFonts w:ascii="Arial Narrow" w:hAnsi="Arial Narrow" w:cs="Arial"/>
                <w:sz w:val="22"/>
                <w:szCs w:val="22"/>
              </w:rPr>
            </w:pPr>
            <w:r w:rsidRPr="005F46CB">
              <w:rPr>
                <w:rFonts w:ascii="Arial Narrow" w:hAnsi="Arial Narrow" w:cs="Arial"/>
                <w:sz w:val="22"/>
                <w:szCs w:val="22"/>
              </w:rPr>
              <w:t>4.300</w:t>
            </w:r>
          </w:p>
        </w:tc>
      </w:tr>
      <w:tr w:rsidR="00DF737E" w:rsidRPr="006867DA" w:rsidTr="00B22D47">
        <w:trPr>
          <w:trHeight w:val="105"/>
          <w:jc w:val="center"/>
        </w:trPr>
        <w:tc>
          <w:tcPr>
            <w:tcW w:w="1389"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F737E" w:rsidRPr="005F46CB" w:rsidRDefault="00DF737E" w:rsidP="00B22D47">
            <w:pPr>
              <w:widowControl/>
              <w:suppressAutoHyphens w:val="0"/>
              <w:spacing w:line="105" w:lineRule="atLeast"/>
              <w:textAlignment w:val="auto"/>
              <w:rPr>
                <w:rFonts w:ascii="Arial Narrow" w:hAnsi="Arial Narrow" w:cs="Arial"/>
                <w:sz w:val="22"/>
                <w:szCs w:val="22"/>
              </w:rPr>
            </w:pPr>
          </w:p>
        </w:tc>
        <w:tc>
          <w:tcPr>
            <w:tcW w:w="1527" w:type="dxa"/>
            <w:tcBorders>
              <w:bottom w:val="single" w:sz="8" w:space="0" w:color="000000"/>
              <w:right w:val="single" w:sz="8" w:space="0" w:color="000000"/>
            </w:tcBorders>
            <w:shd w:val="clear" w:color="auto" w:fill="auto"/>
            <w:tcMar>
              <w:top w:w="0" w:type="dxa"/>
              <w:left w:w="108" w:type="dxa"/>
              <w:bottom w:w="0" w:type="dxa"/>
              <w:right w:w="108" w:type="dxa"/>
            </w:tcMar>
          </w:tcPr>
          <w:p w:rsidR="00DF737E" w:rsidRPr="005F46CB" w:rsidRDefault="00DF737E" w:rsidP="00B22D47">
            <w:pPr>
              <w:widowControl/>
              <w:suppressAutoHyphens w:val="0"/>
              <w:spacing w:line="105" w:lineRule="atLeast"/>
              <w:textAlignment w:val="auto"/>
              <w:rPr>
                <w:rFonts w:ascii="Arial Narrow" w:hAnsi="Arial Narrow" w:cs="Arial"/>
                <w:sz w:val="22"/>
                <w:szCs w:val="22"/>
              </w:rPr>
            </w:pPr>
            <w:r w:rsidRPr="005F46CB">
              <w:rPr>
                <w:rFonts w:ascii="Arial Narrow" w:hAnsi="Arial Narrow" w:cs="Arial"/>
                <w:sz w:val="22"/>
                <w:szCs w:val="22"/>
              </w:rPr>
              <w:t>Categoría III</w:t>
            </w:r>
          </w:p>
        </w:tc>
        <w:tc>
          <w:tcPr>
            <w:tcW w:w="3041" w:type="dxa"/>
            <w:tcBorders>
              <w:bottom w:val="single" w:sz="8" w:space="0" w:color="000000"/>
              <w:right w:val="single" w:sz="8" w:space="0" w:color="000000"/>
            </w:tcBorders>
            <w:shd w:val="clear" w:color="auto" w:fill="auto"/>
            <w:tcMar>
              <w:top w:w="0" w:type="dxa"/>
              <w:left w:w="108" w:type="dxa"/>
              <w:bottom w:w="0" w:type="dxa"/>
              <w:right w:w="108" w:type="dxa"/>
            </w:tcMar>
          </w:tcPr>
          <w:p w:rsidR="00DF737E" w:rsidRPr="005F46CB" w:rsidRDefault="00DF737E" w:rsidP="00B22D47">
            <w:pPr>
              <w:widowControl/>
              <w:suppressAutoHyphens w:val="0"/>
              <w:spacing w:line="105" w:lineRule="atLeast"/>
              <w:jc w:val="both"/>
              <w:textAlignment w:val="auto"/>
              <w:rPr>
                <w:rFonts w:ascii="Arial Narrow" w:hAnsi="Arial Narrow" w:cs="Arial"/>
                <w:sz w:val="22"/>
                <w:szCs w:val="22"/>
              </w:rPr>
            </w:pPr>
            <w:r w:rsidRPr="005F46CB">
              <w:rPr>
                <w:rFonts w:ascii="Arial Narrow" w:hAnsi="Arial Narrow" w:cs="Arial"/>
                <w:sz w:val="22"/>
                <w:szCs w:val="22"/>
              </w:rPr>
              <w:t>Camiones pequeños de dos ejes</w:t>
            </w:r>
          </w:p>
        </w:tc>
        <w:tc>
          <w:tcPr>
            <w:tcW w:w="1691" w:type="dxa"/>
            <w:tcBorders>
              <w:bottom w:val="single" w:sz="8" w:space="0" w:color="000000"/>
              <w:right w:val="single" w:sz="8" w:space="0" w:color="000000"/>
            </w:tcBorders>
            <w:shd w:val="clear" w:color="auto" w:fill="auto"/>
            <w:tcMar>
              <w:top w:w="0" w:type="dxa"/>
              <w:left w:w="108" w:type="dxa"/>
              <w:bottom w:w="0" w:type="dxa"/>
              <w:right w:w="108" w:type="dxa"/>
            </w:tcMar>
          </w:tcPr>
          <w:p w:rsidR="00DF737E" w:rsidRPr="005F46CB" w:rsidRDefault="00DF737E" w:rsidP="00B22D47">
            <w:pPr>
              <w:widowControl/>
              <w:suppressAutoHyphens w:val="0"/>
              <w:spacing w:line="105" w:lineRule="atLeast"/>
              <w:jc w:val="center"/>
              <w:textAlignment w:val="auto"/>
              <w:rPr>
                <w:rFonts w:ascii="Arial Narrow" w:hAnsi="Arial Narrow" w:cs="Arial"/>
                <w:sz w:val="22"/>
                <w:szCs w:val="22"/>
              </w:rPr>
            </w:pPr>
            <w:r w:rsidRPr="005F46CB">
              <w:rPr>
                <w:rFonts w:ascii="Arial Narrow" w:hAnsi="Arial Narrow" w:cs="Arial"/>
                <w:sz w:val="22"/>
                <w:szCs w:val="22"/>
              </w:rPr>
              <w:t>4.300</w:t>
            </w:r>
          </w:p>
        </w:tc>
      </w:tr>
      <w:tr w:rsidR="00DF737E" w:rsidRPr="006867DA" w:rsidTr="00B22D47">
        <w:trPr>
          <w:trHeight w:val="105"/>
          <w:jc w:val="center"/>
        </w:trPr>
        <w:tc>
          <w:tcPr>
            <w:tcW w:w="1389"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F737E" w:rsidRPr="005F46CB" w:rsidRDefault="00DF737E" w:rsidP="00B22D47">
            <w:pPr>
              <w:widowControl/>
              <w:suppressAutoHyphens w:val="0"/>
              <w:spacing w:line="105" w:lineRule="atLeast"/>
              <w:textAlignment w:val="auto"/>
              <w:rPr>
                <w:rFonts w:ascii="Arial Narrow" w:hAnsi="Arial Narrow" w:cs="Arial"/>
                <w:sz w:val="22"/>
                <w:szCs w:val="22"/>
              </w:rPr>
            </w:pPr>
          </w:p>
        </w:tc>
        <w:tc>
          <w:tcPr>
            <w:tcW w:w="1527" w:type="dxa"/>
            <w:tcBorders>
              <w:bottom w:val="single" w:sz="8" w:space="0" w:color="000000"/>
              <w:right w:val="single" w:sz="8" w:space="0" w:color="000000"/>
            </w:tcBorders>
            <w:shd w:val="clear" w:color="auto" w:fill="auto"/>
            <w:tcMar>
              <w:top w:w="0" w:type="dxa"/>
              <w:left w:w="108" w:type="dxa"/>
              <w:bottom w:w="0" w:type="dxa"/>
              <w:right w:w="108" w:type="dxa"/>
            </w:tcMar>
          </w:tcPr>
          <w:p w:rsidR="00DF737E" w:rsidRPr="005F46CB" w:rsidRDefault="00DF737E" w:rsidP="00B22D47">
            <w:pPr>
              <w:widowControl/>
              <w:suppressAutoHyphens w:val="0"/>
              <w:spacing w:line="105" w:lineRule="atLeast"/>
              <w:textAlignment w:val="auto"/>
              <w:rPr>
                <w:rFonts w:ascii="Arial Narrow" w:hAnsi="Arial Narrow" w:cs="Arial"/>
                <w:sz w:val="22"/>
                <w:szCs w:val="22"/>
              </w:rPr>
            </w:pPr>
            <w:r w:rsidRPr="005F46CB">
              <w:rPr>
                <w:rFonts w:ascii="Arial Narrow" w:hAnsi="Arial Narrow" w:cs="Arial"/>
                <w:sz w:val="22"/>
                <w:szCs w:val="22"/>
              </w:rPr>
              <w:t>Categoría IV</w:t>
            </w:r>
          </w:p>
        </w:tc>
        <w:tc>
          <w:tcPr>
            <w:tcW w:w="3041" w:type="dxa"/>
            <w:tcBorders>
              <w:bottom w:val="single" w:sz="8" w:space="0" w:color="000000"/>
              <w:right w:val="single" w:sz="8" w:space="0" w:color="000000"/>
            </w:tcBorders>
            <w:shd w:val="clear" w:color="auto" w:fill="auto"/>
            <w:tcMar>
              <w:top w:w="0" w:type="dxa"/>
              <w:left w:w="108" w:type="dxa"/>
              <w:bottom w:w="0" w:type="dxa"/>
              <w:right w:w="108" w:type="dxa"/>
            </w:tcMar>
          </w:tcPr>
          <w:p w:rsidR="00DF737E" w:rsidRPr="005F46CB" w:rsidRDefault="00DF737E" w:rsidP="00B22D47">
            <w:pPr>
              <w:widowControl/>
              <w:suppressAutoHyphens w:val="0"/>
              <w:spacing w:line="105" w:lineRule="atLeast"/>
              <w:jc w:val="both"/>
              <w:textAlignment w:val="auto"/>
              <w:rPr>
                <w:rFonts w:ascii="Arial Narrow" w:hAnsi="Arial Narrow" w:cs="Arial"/>
                <w:sz w:val="22"/>
                <w:szCs w:val="22"/>
              </w:rPr>
            </w:pPr>
            <w:r w:rsidRPr="005F46CB">
              <w:rPr>
                <w:rFonts w:ascii="Arial Narrow" w:hAnsi="Arial Narrow" w:cs="Arial"/>
                <w:sz w:val="22"/>
                <w:szCs w:val="22"/>
              </w:rPr>
              <w:t>Camiones grandes de dos ejes</w:t>
            </w:r>
          </w:p>
        </w:tc>
        <w:tc>
          <w:tcPr>
            <w:tcW w:w="1691" w:type="dxa"/>
            <w:tcBorders>
              <w:bottom w:val="single" w:sz="8" w:space="0" w:color="000000"/>
              <w:right w:val="single" w:sz="8" w:space="0" w:color="000000"/>
            </w:tcBorders>
            <w:shd w:val="clear" w:color="auto" w:fill="auto"/>
            <w:tcMar>
              <w:top w:w="0" w:type="dxa"/>
              <w:left w:w="108" w:type="dxa"/>
              <w:bottom w:w="0" w:type="dxa"/>
              <w:right w:w="108" w:type="dxa"/>
            </w:tcMar>
          </w:tcPr>
          <w:p w:rsidR="00DF737E" w:rsidRPr="005F46CB" w:rsidRDefault="00DF737E" w:rsidP="00B22D47">
            <w:pPr>
              <w:widowControl/>
              <w:suppressAutoHyphens w:val="0"/>
              <w:spacing w:line="105" w:lineRule="atLeast"/>
              <w:jc w:val="center"/>
              <w:textAlignment w:val="auto"/>
              <w:rPr>
                <w:rFonts w:ascii="Arial Narrow" w:hAnsi="Arial Narrow" w:cs="Arial"/>
                <w:sz w:val="22"/>
                <w:szCs w:val="22"/>
              </w:rPr>
            </w:pPr>
            <w:r w:rsidRPr="005F46CB">
              <w:rPr>
                <w:rFonts w:ascii="Arial Narrow" w:hAnsi="Arial Narrow" w:cs="Arial"/>
                <w:sz w:val="22"/>
                <w:szCs w:val="22"/>
              </w:rPr>
              <w:t>4.300</w:t>
            </w:r>
          </w:p>
        </w:tc>
      </w:tr>
      <w:tr w:rsidR="00DF737E" w:rsidRPr="006867DA" w:rsidTr="00B22D47">
        <w:trPr>
          <w:trHeight w:val="105"/>
          <w:jc w:val="center"/>
        </w:trPr>
        <w:tc>
          <w:tcPr>
            <w:tcW w:w="1389"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F737E" w:rsidRPr="005F46CB" w:rsidRDefault="00DF737E" w:rsidP="00B22D47">
            <w:pPr>
              <w:widowControl/>
              <w:suppressAutoHyphens w:val="0"/>
              <w:spacing w:line="105" w:lineRule="atLeast"/>
              <w:textAlignment w:val="auto"/>
              <w:rPr>
                <w:rFonts w:ascii="Arial Narrow" w:hAnsi="Arial Narrow" w:cs="Arial"/>
                <w:sz w:val="22"/>
                <w:szCs w:val="22"/>
              </w:rPr>
            </w:pPr>
          </w:p>
        </w:tc>
        <w:tc>
          <w:tcPr>
            <w:tcW w:w="1527" w:type="dxa"/>
            <w:tcBorders>
              <w:bottom w:val="single" w:sz="8" w:space="0" w:color="000000"/>
              <w:right w:val="single" w:sz="8" w:space="0" w:color="000000"/>
            </w:tcBorders>
            <w:shd w:val="clear" w:color="auto" w:fill="auto"/>
            <w:tcMar>
              <w:top w:w="0" w:type="dxa"/>
              <w:left w:w="108" w:type="dxa"/>
              <w:bottom w:w="0" w:type="dxa"/>
              <w:right w:w="108" w:type="dxa"/>
            </w:tcMar>
          </w:tcPr>
          <w:p w:rsidR="00DF737E" w:rsidRPr="005F46CB" w:rsidRDefault="00DF737E" w:rsidP="00B22D47">
            <w:pPr>
              <w:widowControl/>
              <w:suppressAutoHyphens w:val="0"/>
              <w:spacing w:line="105" w:lineRule="atLeast"/>
              <w:textAlignment w:val="auto"/>
              <w:rPr>
                <w:rFonts w:ascii="Arial Narrow" w:hAnsi="Arial Narrow" w:cs="Arial"/>
                <w:sz w:val="22"/>
                <w:szCs w:val="22"/>
              </w:rPr>
            </w:pPr>
            <w:r w:rsidRPr="005F46CB">
              <w:rPr>
                <w:rFonts w:ascii="Arial Narrow" w:hAnsi="Arial Narrow" w:cs="Arial"/>
                <w:sz w:val="22"/>
                <w:szCs w:val="22"/>
              </w:rPr>
              <w:t>Categoría V</w:t>
            </w:r>
          </w:p>
        </w:tc>
        <w:tc>
          <w:tcPr>
            <w:tcW w:w="3041" w:type="dxa"/>
            <w:tcBorders>
              <w:bottom w:val="single" w:sz="8" w:space="0" w:color="000000"/>
              <w:right w:val="single" w:sz="8" w:space="0" w:color="000000"/>
            </w:tcBorders>
            <w:shd w:val="clear" w:color="auto" w:fill="auto"/>
            <w:tcMar>
              <w:top w:w="0" w:type="dxa"/>
              <w:left w:w="108" w:type="dxa"/>
              <w:bottom w:w="0" w:type="dxa"/>
              <w:right w:w="108" w:type="dxa"/>
            </w:tcMar>
          </w:tcPr>
          <w:p w:rsidR="00DF737E" w:rsidRPr="005F46CB" w:rsidRDefault="00DF737E" w:rsidP="00B22D47">
            <w:pPr>
              <w:widowControl/>
              <w:suppressAutoHyphens w:val="0"/>
              <w:spacing w:line="105" w:lineRule="atLeast"/>
              <w:jc w:val="both"/>
              <w:textAlignment w:val="auto"/>
              <w:rPr>
                <w:rFonts w:ascii="Arial Narrow" w:hAnsi="Arial Narrow" w:cs="Arial"/>
                <w:sz w:val="22"/>
                <w:szCs w:val="22"/>
              </w:rPr>
            </w:pPr>
            <w:r w:rsidRPr="005F46CB">
              <w:rPr>
                <w:rFonts w:ascii="Arial Narrow" w:hAnsi="Arial Narrow" w:cs="Arial"/>
                <w:sz w:val="22"/>
                <w:szCs w:val="22"/>
              </w:rPr>
              <w:t>Camiones de tres y cuatro ejes</w:t>
            </w:r>
          </w:p>
        </w:tc>
        <w:tc>
          <w:tcPr>
            <w:tcW w:w="1691" w:type="dxa"/>
            <w:tcBorders>
              <w:bottom w:val="single" w:sz="8" w:space="0" w:color="000000"/>
              <w:right w:val="single" w:sz="8" w:space="0" w:color="000000"/>
            </w:tcBorders>
            <w:shd w:val="clear" w:color="auto" w:fill="auto"/>
            <w:tcMar>
              <w:top w:w="0" w:type="dxa"/>
              <w:left w:w="108" w:type="dxa"/>
              <w:bottom w:w="0" w:type="dxa"/>
              <w:right w:w="108" w:type="dxa"/>
            </w:tcMar>
          </w:tcPr>
          <w:p w:rsidR="00DF737E" w:rsidRPr="005F46CB" w:rsidRDefault="00DF737E" w:rsidP="00B22D47">
            <w:pPr>
              <w:widowControl/>
              <w:suppressAutoHyphens w:val="0"/>
              <w:spacing w:line="105" w:lineRule="atLeast"/>
              <w:jc w:val="center"/>
              <w:textAlignment w:val="auto"/>
              <w:rPr>
                <w:rFonts w:ascii="Arial Narrow" w:hAnsi="Arial Narrow" w:cs="Arial"/>
                <w:sz w:val="22"/>
                <w:szCs w:val="22"/>
              </w:rPr>
            </w:pPr>
            <w:r w:rsidRPr="005F46CB">
              <w:rPr>
                <w:rFonts w:ascii="Arial Narrow" w:hAnsi="Arial Narrow" w:cs="Arial"/>
                <w:sz w:val="22"/>
                <w:szCs w:val="22"/>
              </w:rPr>
              <w:t>18.200</w:t>
            </w:r>
          </w:p>
        </w:tc>
      </w:tr>
      <w:tr w:rsidR="00DF737E" w:rsidRPr="006867DA" w:rsidTr="00B22D47">
        <w:trPr>
          <w:trHeight w:val="105"/>
          <w:jc w:val="center"/>
        </w:trPr>
        <w:tc>
          <w:tcPr>
            <w:tcW w:w="1389"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F737E" w:rsidRPr="005F46CB" w:rsidRDefault="00DF737E" w:rsidP="00B22D47">
            <w:pPr>
              <w:widowControl/>
              <w:suppressAutoHyphens w:val="0"/>
              <w:spacing w:line="105" w:lineRule="atLeast"/>
              <w:textAlignment w:val="auto"/>
              <w:rPr>
                <w:rFonts w:ascii="Arial Narrow" w:hAnsi="Arial Narrow" w:cs="Arial"/>
                <w:sz w:val="22"/>
                <w:szCs w:val="22"/>
              </w:rPr>
            </w:pPr>
          </w:p>
        </w:tc>
        <w:tc>
          <w:tcPr>
            <w:tcW w:w="1527" w:type="dxa"/>
            <w:tcBorders>
              <w:bottom w:val="single" w:sz="8" w:space="0" w:color="000000"/>
              <w:right w:val="single" w:sz="8" w:space="0" w:color="000000"/>
            </w:tcBorders>
            <w:shd w:val="clear" w:color="auto" w:fill="auto"/>
            <w:tcMar>
              <w:top w:w="0" w:type="dxa"/>
              <w:left w:w="108" w:type="dxa"/>
              <w:bottom w:w="0" w:type="dxa"/>
              <w:right w:w="108" w:type="dxa"/>
            </w:tcMar>
          </w:tcPr>
          <w:p w:rsidR="00DF737E" w:rsidRPr="005F46CB" w:rsidRDefault="00DF737E" w:rsidP="00B22D47">
            <w:pPr>
              <w:widowControl/>
              <w:suppressAutoHyphens w:val="0"/>
              <w:spacing w:line="105" w:lineRule="atLeast"/>
              <w:textAlignment w:val="auto"/>
              <w:rPr>
                <w:rFonts w:ascii="Arial Narrow" w:hAnsi="Arial Narrow" w:cs="Arial"/>
                <w:sz w:val="22"/>
                <w:szCs w:val="22"/>
              </w:rPr>
            </w:pPr>
            <w:r w:rsidRPr="005F46CB">
              <w:rPr>
                <w:rFonts w:ascii="Arial Narrow" w:hAnsi="Arial Narrow" w:cs="Arial"/>
                <w:sz w:val="22"/>
                <w:szCs w:val="22"/>
              </w:rPr>
              <w:t>Categoría VI</w:t>
            </w:r>
          </w:p>
        </w:tc>
        <w:tc>
          <w:tcPr>
            <w:tcW w:w="3041" w:type="dxa"/>
            <w:tcBorders>
              <w:bottom w:val="single" w:sz="8" w:space="0" w:color="000000"/>
              <w:right w:val="single" w:sz="8" w:space="0" w:color="000000"/>
            </w:tcBorders>
            <w:shd w:val="clear" w:color="auto" w:fill="auto"/>
            <w:tcMar>
              <w:top w:w="0" w:type="dxa"/>
              <w:left w:w="108" w:type="dxa"/>
              <w:bottom w:w="0" w:type="dxa"/>
              <w:right w:w="108" w:type="dxa"/>
            </w:tcMar>
          </w:tcPr>
          <w:p w:rsidR="00DF737E" w:rsidRPr="005F46CB" w:rsidRDefault="00DF737E" w:rsidP="00B22D47">
            <w:pPr>
              <w:widowControl/>
              <w:suppressAutoHyphens w:val="0"/>
              <w:spacing w:line="105" w:lineRule="atLeast"/>
              <w:jc w:val="both"/>
              <w:textAlignment w:val="auto"/>
              <w:rPr>
                <w:rFonts w:ascii="Arial Narrow" w:hAnsi="Arial Narrow" w:cs="Arial"/>
                <w:sz w:val="22"/>
                <w:szCs w:val="22"/>
              </w:rPr>
            </w:pPr>
            <w:r w:rsidRPr="005F46CB">
              <w:rPr>
                <w:rFonts w:ascii="Arial Narrow" w:hAnsi="Arial Narrow" w:cs="Arial"/>
                <w:sz w:val="22"/>
                <w:szCs w:val="22"/>
              </w:rPr>
              <w:t>Camiones de cinco ejes</w:t>
            </w:r>
          </w:p>
        </w:tc>
        <w:tc>
          <w:tcPr>
            <w:tcW w:w="1691" w:type="dxa"/>
            <w:tcBorders>
              <w:bottom w:val="single" w:sz="8" w:space="0" w:color="000000"/>
              <w:right w:val="single" w:sz="8" w:space="0" w:color="000000"/>
            </w:tcBorders>
            <w:shd w:val="clear" w:color="auto" w:fill="auto"/>
            <w:tcMar>
              <w:top w:w="0" w:type="dxa"/>
              <w:left w:w="108" w:type="dxa"/>
              <w:bottom w:w="0" w:type="dxa"/>
              <w:right w:w="108" w:type="dxa"/>
            </w:tcMar>
          </w:tcPr>
          <w:p w:rsidR="00DF737E" w:rsidRPr="005F46CB" w:rsidRDefault="00DF737E" w:rsidP="00B22D47">
            <w:pPr>
              <w:widowControl/>
              <w:suppressAutoHyphens w:val="0"/>
              <w:spacing w:line="105" w:lineRule="atLeast"/>
              <w:jc w:val="center"/>
              <w:textAlignment w:val="auto"/>
              <w:rPr>
                <w:rFonts w:ascii="Arial Narrow" w:hAnsi="Arial Narrow" w:cs="Arial"/>
                <w:sz w:val="22"/>
                <w:szCs w:val="22"/>
              </w:rPr>
            </w:pPr>
            <w:r w:rsidRPr="005F46CB">
              <w:rPr>
                <w:rFonts w:ascii="Arial Narrow" w:hAnsi="Arial Narrow" w:cs="Arial"/>
                <w:sz w:val="22"/>
                <w:szCs w:val="22"/>
              </w:rPr>
              <w:t>23.100</w:t>
            </w:r>
          </w:p>
        </w:tc>
      </w:tr>
      <w:tr w:rsidR="00DF737E" w:rsidRPr="006867DA" w:rsidTr="00B22D47">
        <w:trPr>
          <w:trHeight w:val="105"/>
          <w:jc w:val="center"/>
        </w:trPr>
        <w:tc>
          <w:tcPr>
            <w:tcW w:w="1389"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F737E" w:rsidRPr="005F46CB" w:rsidRDefault="00DF737E" w:rsidP="00B22D47">
            <w:pPr>
              <w:widowControl/>
              <w:suppressAutoHyphens w:val="0"/>
              <w:spacing w:line="105" w:lineRule="atLeast"/>
              <w:textAlignment w:val="auto"/>
              <w:rPr>
                <w:rFonts w:ascii="Arial Narrow" w:hAnsi="Arial Narrow" w:cs="Arial"/>
                <w:sz w:val="22"/>
                <w:szCs w:val="22"/>
              </w:rPr>
            </w:pPr>
          </w:p>
        </w:tc>
        <w:tc>
          <w:tcPr>
            <w:tcW w:w="1527" w:type="dxa"/>
            <w:tcBorders>
              <w:bottom w:val="single" w:sz="8" w:space="0" w:color="000000"/>
              <w:right w:val="single" w:sz="8" w:space="0" w:color="000000"/>
            </w:tcBorders>
            <w:shd w:val="clear" w:color="auto" w:fill="auto"/>
            <w:tcMar>
              <w:top w:w="0" w:type="dxa"/>
              <w:left w:w="108" w:type="dxa"/>
              <w:bottom w:w="0" w:type="dxa"/>
              <w:right w:w="108" w:type="dxa"/>
            </w:tcMar>
          </w:tcPr>
          <w:p w:rsidR="00DF737E" w:rsidRPr="005F46CB" w:rsidRDefault="00DF737E" w:rsidP="00B22D47">
            <w:pPr>
              <w:widowControl/>
              <w:suppressAutoHyphens w:val="0"/>
              <w:spacing w:line="105" w:lineRule="atLeast"/>
              <w:textAlignment w:val="auto"/>
              <w:rPr>
                <w:rFonts w:ascii="Arial Narrow" w:hAnsi="Arial Narrow" w:cs="Arial"/>
                <w:sz w:val="22"/>
                <w:szCs w:val="22"/>
              </w:rPr>
            </w:pPr>
            <w:r w:rsidRPr="005F46CB">
              <w:rPr>
                <w:rFonts w:ascii="Arial Narrow" w:hAnsi="Arial Narrow" w:cs="Arial"/>
                <w:sz w:val="22"/>
                <w:szCs w:val="22"/>
              </w:rPr>
              <w:t>Categoría VII</w:t>
            </w:r>
          </w:p>
        </w:tc>
        <w:tc>
          <w:tcPr>
            <w:tcW w:w="3041" w:type="dxa"/>
            <w:tcBorders>
              <w:bottom w:val="single" w:sz="8" w:space="0" w:color="000000"/>
              <w:right w:val="single" w:sz="8" w:space="0" w:color="000000"/>
            </w:tcBorders>
            <w:shd w:val="clear" w:color="auto" w:fill="auto"/>
            <w:tcMar>
              <w:top w:w="0" w:type="dxa"/>
              <w:left w:w="108" w:type="dxa"/>
              <w:bottom w:w="0" w:type="dxa"/>
              <w:right w:w="108" w:type="dxa"/>
            </w:tcMar>
          </w:tcPr>
          <w:p w:rsidR="00DF737E" w:rsidRPr="005F46CB" w:rsidRDefault="00DF737E" w:rsidP="00B22D47">
            <w:pPr>
              <w:widowControl/>
              <w:suppressAutoHyphens w:val="0"/>
              <w:spacing w:line="105" w:lineRule="atLeast"/>
              <w:jc w:val="both"/>
              <w:textAlignment w:val="auto"/>
              <w:rPr>
                <w:rFonts w:ascii="Arial Narrow" w:hAnsi="Arial Narrow" w:cs="Arial"/>
                <w:sz w:val="22"/>
                <w:szCs w:val="22"/>
              </w:rPr>
            </w:pPr>
            <w:r w:rsidRPr="005F46CB">
              <w:rPr>
                <w:rFonts w:ascii="Arial Narrow" w:hAnsi="Arial Narrow" w:cs="Arial"/>
                <w:sz w:val="22"/>
                <w:szCs w:val="22"/>
              </w:rPr>
              <w:t>Camiones de seis ejes o más</w:t>
            </w:r>
          </w:p>
        </w:tc>
        <w:tc>
          <w:tcPr>
            <w:tcW w:w="1691" w:type="dxa"/>
            <w:tcBorders>
              <w:bottom w:val="single" w:sz="8" w:space="0" w:color="000000"/>
              <w:right w:val="single" w:sz="8" w:space="0" w:color="000000"/>
            </w:tcBorders>
            <w:shd w:val="clear" w:color="auto" w:fill="auto"/>
            <w:tcMar>
              <w:top w:w="0" w:type="dxa"/>
              <w:left w:w="108" w:type="dxa"/>
              <w:bottom w:w="0" w:type="dxa"/>
              <w:right w:w="108" w:type="dxa"/>
            </w:tcMar>
          </w:tcPr>
          <w:p w:rsidR="00DF737E" w:rsidRPr="005F46CB" w:rsidRDefault="00DF737E" w:rsidP="00B22D47">
            <w:pPr>
              <w:widowControl/>
              <w:suppressAutoHyphens w:val="0"/>
              <w:spacing w:line="105" w:lineRule="atLeast"/>
              <w:jc w:val="center"/>
              <w:textAlignment w:val="auto"/>
              <w:rPr>
                <w:rFonts w:ascii="Arial Narrow" w:hAnsi="Arial Narrow" w:cs="Arial"/>
                <w:sz w:val="22"/>
                <w:szCs w:val="22"/>
              </w:rPr>
            </w:pPr>
            <w:r w:rsidRPr="005F46CB">
              <w:rPr>
                <w:rFonts w:ascii="Arial Narrow" w:hAnsi="Arial Narrow" w:cs="Arial"/>
                <w:sz w:val="22"/>
                <w:szCs w:val="22"/>
              </w:rPr>
              <w:t>25.900</w:t>
            </w:r>
          </w:p>
        </w:tc>
      </w:tr>
    </w:tbl>
    <w:p w:rsidR="00DF737E" w:rsidRDefault="00DF737E" w:rsidP="00DF737E">
      <w:pPr>
        <w:widowControl/>
        <w:autoSpaceDE w:val="0"/>
        <w:jc w:val="both"/>
        <w:rPr>
          <w:rFonts w:ascii="Arial Narrow" w:hAnsi="Arial Narrow" w:cs="Arial"/>
          <w:sz w:val="20"/>
          <w:szCs w:val="20"/>
        </w:rPr>
      </w:pPr>
    </w:p>
    <w:p w:rsidR="00687078" w:rsidRPr="00687078" w:rsidRDefault="00687078" w:rsidP="00687078">
      <w:pPr>
        <w:widowControl/>
        <w:autoSpaceDE w:val="0"/>
        <w:jc w:val="both"/>
        <w:rPr>
          <w:rFonts w:ascii="Arial Narrow" w:hAnsi="Arial Narrow" w:cs="Arial"/>
          <w:sz w:val="20"/>
          <w:szCs w:val="20"/>
        </w:rPr>
      </w:pPr>
      <w:r w:rsidRPr="00687078">
        <w:rPr>
          <w:rFonts w:ascii="Arial Narrow" w:hAnsi="Arial Narrow" w:cs="Arial"/>
          <w:sz w:val="20"/>
          <w:szCs w:val="20"/>
        </w:rPr>
        <w:t>*No incluye Fosevi – ni IP/</w:t>
      </w:r>
      <w:r w:rsidR="00801948" w:rsidRPr="00687078">
        <w:rPr>
          <w:rFonts w:ascii="Arial Narrow" w:hAnsi="Arial Narrow" w:cs="Arial"/>
          <w:sz w:val="20"/>
          <w:szCs w:val="20"/>
        </w:rPr>
        <w:t>REV (</w:t>
      </w:r>
      <w:r w:rsidRPr="00687078">
        <w:rPr>
          <w:rFonts w:ascii="Arial Narrow" w:hAnsi="Arial Narrow" w:cs="Arial"/>
          <w:sz w:val="20"/>
          <w:szCs w:val="20"/>
        </w:rPr>
        <w:t>peaje electrónico).Tarifas expresadas en pesos de enero de 201</w:t>
      </w:r>
      <w:r w:rsidR="00801948">
        <w:rPr>
          <w:rFonts w:ascii="Arial Narrow" w:hAnsi="Arial Narrow" w:cs="Arial"/>
          <w:sz w:val="20"/>
          <w:szCs w:val="20"/>
        </w:rPr>
        <w:t>7</w:t>
      </w:r>
    </w:p>
    <w:p w:rsidR="0084407E" w:rsidRDefault="0084407E" w:rsidP="001B2ABF">
      <w:pPr>
        <w:widowControl/>
        <w:autoSpaceDE w:val="0"/>
        <w:jc w:val="both"/>
        <w:rPr>
          <w:rFonts w:ascii="Arial Narrow" w:hAnsi="Arial Narrow" w:cs="Arial"/>
          <w:b/>
        </w:rPr>
      </w:pPr>
    </w:p>
    <w:p w:rsidR="002B2CE5" w:rsidRDefault="00687078" w:rsidP="001B2ABF">
      <w:pPr>
        <w:widowControl/>
        <w:autoSpaceDE w:val="0"/>
        <w:jc w:val="both"/>
        <w:rPr>
          <w:rFonts w:ascii="Arial Narrow" w:hAnsi="Arial Narrow" w:cs="Arial"/>
        </w:rPr>
      </w:pPr>
      <w:r w:rsidRPr="001B2ABF">
        <w:rPr>
          <w:rFonts w:ascii="Arial Narrow" w:hAnsi="Arial Narrow" w:cs="Arial"/>
          <w:b/>
        </w:rPr>
        <w:t>Parágrafo 1°.</w:t>
      </w:r>
      <w:r w:rsidR="002B2CE5" w:rsidRPr="001B2ABF">
        <w:rPr>
          <w:rFonts w:ascii="Arial Narrow" w:hAnsi="Arial Narrow" w:cs="Arial"/>
        </w:rPr>
        <w:t xml:space="preserve"> </w:t>
      </w:r>
      <w:r w:rsidR="000E7CEE">
        <w:rPr>
          <w:rFonts w:ascii="Arial Narrow" w:hAnsi="Arial Narrow" w:cs="Arial"/>
        </w:rPr>
        <w:t>El presente esquema tarifario se actualizará anualmente con el IPC y se mantendrá hasta el momento en que se dé inicio a la etapa de construcción del Contrato No. 004 de 2015</w:t>
      </w:r>
      <w:r w:rsidR="001B2ABF" w:rsidRPr="001B2ABF">
        <w:rPr>
          <w:rFonts w:ascii="Arial Narrow" w:hAnsi="Arial Narrow" w:cs="Arial"/>
        </w:rPr>
        <w:t>, momento a partir del cual se empezará a realizar el recaudo en el valor y condiciones previstas por la Resolución No.0001</w:t>
      </w:r>
      <w:r w:rsidR="0084407E">
        <w:rPr>
          <w:rFonts w:ascii="Arial Narrow" w:hAnsi="Arial Narrow" w:cs="Arial"/>
        </w:rPr>
        <w:t>1</w:t>
      </w:r>
      <w:r w:rsidR="001B2ABF" w:rsidRPr="001B2ABF">
        <w:rPr>
          <w:rFonts w:ascii="Arial Narrow" w:hAnsi="Arial Narrow" w:cs="Arial"/>
        </w:rPr>
        <w:t>30 de 2015</w:t>
      </w:r>
      <w:r w:rsidR="0084407E">
        <w:rPr>
          <w:rFonts w:ascii="Arial Narrow" w:hAnsi="Arial Narrow" w:cs="Arial"/>
        </w:rPr>
        <w:t>.</w:t>
      </w:r>
      <w:r w:rsidR="001B2ABF" w:rsidRPr="001B2ABF">
        <w:rPr>
          <w:rFonts w:ascii="Arial Narrow" w:hAnsi="Arial Narrow" w:cs="Arial"/>
        </w:rPr>
        <w:t xml:space="preserve"> </w:t>
      </w:r>
    </w:p>
    <w:p w:rsidR="0084407E" w:rsidRPr="001B2ABF" w:rsidRDefault="0084407E" w:rsidP="001B2ABF">
      <w:pPr>
        <w:widowControl/>
        <w:autoSpaceDE w:val="0"/>
        <w:jc w:val="both"/>
        <w:rPr>
          <w:rFonts w:ascii="Arial Narrow" w:hAnsi="Arial Narrow" w:cs="Arial"/>
        </w:rPr>
      </w:pPr>
    </w:p>
    <w:p w:rsidR="00687078" w:rsidRDefault="001B2ABF" w:rsidP="001B2ABF">
      <w:pPr>
        <w:widowControl/>
        <w:autoSpaceDE w:val="0"/>
        <w:jc w:val="both"/>
        <w:rPr>
          <w:rFonts w:ascii="Arial Narrow" w:hAnsi="Arial Narrow" w:cs="Arial"/>
          <w:color w:val="000000" w:themeColor="text1"/>
        </w:rPr>
      </w:pPr>
      <w:r>
        <w:rPr>
          <w:rFonts w:ascii="Arial Narrow" w:hAnsi="Arial Narrow" w:cs="Arial"/>
          <w:b/>
        </w:rPr>
        <w:t xml:space="preserve">Parágrafo 2º. </w:t>
      </w:r>
      <w:r w:rsidR="00687078" w:rsidRPr="00DC55C7">
        <w:rPr>
          <w:rFonts w:ascii="Arial Narrow" w:hAnsi="Arial Narrow" w:cs="Arial"/>
          <w:color w:val="000000" w:themeColor="text1"/>
        </w:rPr>
        <w:t>Para las demás estaciones de peaje que conforma el proyecto, el valor de</w:t>
      </w:r>
      <w:r w:rsidR="00801948">
        <w:rPr>
          <w:rFonts w:ascii="Arial Narrow" w:hAnsi="Arial Narrow" w:cs="Arial"/>
          <w:color w:val="000000" w:themeColor="text1"/>
        </w:rPr>
        <w:t xml:space="preserve"> </w:t>
      </w:r>
      <w:r w:rsidR="00687078" w:rsidRPr="00DC55C7">
        <w:rPr>
          <w:rFonts w:ascii="Arial Narrow" w:hAnsi="Arial Narrow" w:cs="Arial"/>
          <w:color w:val="000000" w:themeColor="text1"/>
        </w:rPr>
        <w:t>l</w:t>
      </w:r>
      <w:r w:rsidR="00801948">
        <w:rPr>
          <w:rFonts w:ascii="Arial Narrow" w:hAnsi="Arial Narrow" w:cs="Arial"/>
          <w:color w:val="000000" w:themeColor="text1"/>
        </w:rPr>
        <w:t>as tarifas de peaje y sus categorías se mantienen indemne</w:t>
      </w:r>
      <w:r w:rsidR="006D2D76">
        <w:rPr>
          <w:rFonts w:ascii="Arial Narrow" w:hAnsi="Arial Narrow" w:cs="Arial"/>
          <w:color w:val="000000" w:themeColor="text1"/>
        </w:rPr>
        <w:t>s</w:t>
      </w:r>
      <w:r w:rsidR="00801948">
        <w:rPr>
          <w:rFonts w:ascii="Arial Narrow" w:hAnsi="Arial Narrow" w:cs="Arial"/>
          <w:color w:val="000000" w:themeColor="text1"/>
        </w:rPr>
        <w:t xml:space="preserve"> y continúan en las condiciones previstas por la Resolución  No.0001130 de 2015. </w:t>
      </w:r>
      <w:r w:rsidR="00687078" w:rsidRPr="00DC55C7">
        <w:rPr>
          <w:rFonts w:ascii="Arial Narrow" w:hAnsi="Arial Narrow" w:cs="Arial"/>
          <w:color w:val="000000" w:themeColor="text1"/>
        </w:rPr>
        <w:t xml:space="preserve"> </w:t>
      </w:r>
    </w:p>
    <w:p w:rsidR="00801948" w:rsidRPr="00DC55C7" w:rsidRDefault="00801948" w:rsidP="001B2ABF">
      <w:pPr>
        <w:widowControl/>
        <w:autoSpaceDE w:val="0"/>
        <w:jc w:val="both"/>
        <w:rPr>
          <w:rFonts w:ascii="Arial Narrow" w:hAnsi="Arial Narrow" w:cs="Arial"/>
          <w:b/>
        </w:rPr>
      </w:pPr>
    </w:p>
    <w:p w:rsidR="000E7CEE" w:rsidRDefault="00687078" w:rsidP="000E7CEE">
      <w:pPr>
        <w:widowControl/>
        <w:autoSpaceDE w:val="0"/>
        <w:jc w:val="both"/>
        <w:rPr>
          <w:rFonts w:ascii="Arial Narrow" w:hAnsi="Arial Narrow" w:cs="Arial"/>
        </w:rPr>
      </w:pPr>
      <w:r w:rsidRPr="00801948">
        <w:rPr>
          <w:rFonts w:ascii="Arial Narrow" w:hAnsi="Arial Narrow" w:cs="Arial"/>
          <w:b/>
        </w:rPr>
        <w:t xml:space="preserve">ARTÍCULO </w:t>
      </w:r>
      <w:r w:rsidR="00801948" w:rsidRPr="00801948">
        <w:rPr>
          <w:rFonts w:ascii="Arial Narrow" w:hAnsi="Arial Narrow" w:cs="Arial"/>
          <w:b/>
        </w:rPr>
        <w:t>SEGUNDO</w:t>
      </w:r>
      <w:r w:rsidRPr="00801948">
        <w:rPr>
          <w:rFonts w:ascii="Arial Narrow" w:hAnsi="Arial Narrow" w:cs="Arial"/>
          <w:b/>
        </w:rPr>
        <w:t>.-</w:t>
      </w:r>
      <w:r w:rsidRPr="00801948">
        <w:rPr>
          <w:rFonts w:ascii="Arial Narrow" w:hAnsi="Arial Narrow" w:cs="Arial"/>
        </w:rPr>
        <w:t xml:space="preserve"> </w:t>
      </w:r>
      <w:r w:rsidR="000E7CEE">
        <w:rPr>
          <w:rFonts w:ascii="Arial Narrow" w:hAnsi="Arial Narrow" w:cs="Arial"/>
        </w:rPr>
        <w:t>Prescindir d</w:t>
      </w:r>
      <w:r w:rsidR="000E7CEE" w:rsidRPr="00F00282">
        <w:rPr>
          <w:rFonts w:ascii="Arial Narrow" w:hAnsi="Arial Narrow" w:cs="Arial"/>
        </w:rPr>
        <w:t>el incremento del valor adicional al IPC de las tarifas de peaje en las estaciones de peaje Iracá, Ocoa y Libertad,</w:t>
      </w:r>
      <w:r w:rsidR="000E7CEE">
        <w:rPr>
          <w:rFonts w:ascii="Arial Narrow" w:hAnsi="Arial Narrow" w:cs="Arial"/>
        </w:rPr>
        <w:t xml:space="preserve"> que hacen parte del Proyecto Malla Vial del Meta,</w:t>
      </w:r>
      <w:r w:rsidR="000E7CEE" w:rsidRPr="00F00282">
        <w:rPr>
          <w:rFonts w:ascii="Arial Narrow" w:hAnsi="Arial Narrow" w:cs="Arial"/>
        </w:rPr>
        <w:t xml:space="preserve"> </w:t>
      </w:r>
      <w:r w:rsidR="000E7CEE">
        <w:rPr>
          <w:rFonts w:ascii="Arial Narrow" w:hAnsi="Arial Narrow" w:cs="Arial"/>
        </w:rPr>
        <w:t>hasta el momento en que se dé inicio a la etapa de construcción del Contrato No. 004 de 2015; Para estas estaciones sólo se incrementará el valor correspondiente al IPC.</w:t>
      </w:r>
    </w:p>
    <w:p w:rsidR="000E7CEE" w:rsidRDefault="000E7CEE" w:rsidP="001B2ABF">
      <w:pPr>
        <w:contextualSpacing/>
        <w:jc w:val="both"/>
        <w:outlineLvl w:val="0"/>
        <w:rPr>
          <w:rFonts w:ascii="Arial Narrow" w:hAnsi="Arial Narrow" w:cs="Arial"/>
        </w:rPr>
      </w:pPr>
    </w:p>
    <w:p w:rsidR="00801948" w:rsidRPr="00801948" w:rsidRDefault="000E7CEE" w:rsidP="001B2ABF">
      <w:pPr>
        <w:contextualSpacing/>
        <w:jc w:val="both"/>
        <w:outlineLvl w:val="0"/>
        <w:rPr>
          <w:rFonts w:ascii="Arial Narrow" w:hAnsi="Arial Narrow"/>
          <w:lang w:val="es-ES_tradnl"/>
        </w:rPr>
      </w:pPr>
      <w:r w:rsidRPr="000E7CEE">
        <w:rPr>
          <w:rFonts w:ascii="Arial Narrow" w:hAnsi="Arial Narrow" w:cs="Arial"/>
          <w:b/>
        </w:rPr>
        <w:t>ARTICULO TERCERO. -</w:t>
      </w:r>
      <w:r>
        <w:rPr>
          <w:rFonts w:ascii="Arial Narrow" w:hAnsi="Arial Narrow" w:cs="Arial"/>
        </w:rPr>
        <w:t xml:space="preserve"> </w:t>
      </w:r>
      <w:r w:rsidR="00687078" w:rsidRPr="00801948">
        <w:rPr>
          <w:rFonts w:ascii="Arial Narrow" w:hAnsi="Arial Narrow" w:cs="Arial"/>
        </w:rPr>
        <w:t xml:space="preserve">La presente Resolución rige a partir de la fecha de su publicación </w:t>
      </w:r>
      <w:r w:rsidR="00801948" w:rsidRPr="00801948">
        <w:rPr>
          <w:rFonts w:ascii="Arial Narrow" w:hAnsi="Arial Narrow" w:cs="Arial"/>
        </w:rPr>
        <w:t xml:space="preserve">las </w:t>
      </w:r>
      <w:r w:rsidR="00801948" w:rsidRPr="00801948">
        <w:rPr>
          <w:rFonts w:ascii="Arial Narrow" w:hAnsi="Arial Narrow"/>
          <w:lang w:val="es-ES_tradnl"/>
        </w:rPr>
        <w:t xml:space="preserve"> condiciones </w:t>
      </w:r>
      <w:r w:rsidR="00801948">
        <w:rPr>
          <w:rFonts w:ascii="Arial Narrow" w:hAnsi="Arial Narrow"/>
          <w:lang w:val="es-ES_tradnl"/>
        </w:rPr>
        <w:t>previstas por la Resolución No.0003126 de 2014 y</w:t>
      </w:r>
      <w:r w:rsidR="00801948" w:rsidRPr="00801948">
        <w:rPr>
          <w:rFonts w:ascii="Arial Narrow" w:hAnsi="Arial Narrow"/>
          <w:lang w:val="es-ES_tradnl"/>
        </w:rPr>
        <w:t xml:space="preserve"> la Resolución No.0001130 de 2015 no modificadas por el presente documento conservan su vigencia y validez.</w:t>
      </w:r>
    </w:p>
    <w:p w:rsidR="00687078" w:rsidRDefault="00687078" w:rsidP="001B2ABF">
      <w:pPr>
        <w:widowControl/>
        <w:autoSpaceDE w:val="0"/>
        <w:jc w:val="both"/>
        <w:rPr>
          <w:rFonts w:ascii="Arial Narrow" w:hAnsi="Arial Narrow" w:cs="Arial"/>
        </w:rPr>
      </w:pPr>
    </w:p>
    <w:p w:rsidR="00C13DB2" w:rsidRPr="00DC55C7" w:rsidRDefault="00C13DB2" w:rsidP="001B2ABF">
      <w:pPr>
        <w:widowControl/>
        <w:autoSpaceDE w:val="0"/>
        <w:jc w:val="both"/>
        <w:rPr>
          <w:rFonts w:ascii="Arial Narrow" w:hAnsi="Arial Narrow" w:cs="Arial"/>
        </w:rPr>
      </w:pPr>
    </w:p>
    <w:p w:rsidR="00687078" w:rsidRPr="00DC55C7" w:rsidRDefault="00687078" w:rsidP="001B2ABF">
      <w:pPr>
        <w:widowControl/>
        <w:autoSpaceDE w:val="0"/>
        <w:jc w:val="center"/>
        <w:rPr>
          <w:rFonts w:ascii="Arial Narrow" w:hAnsi="Arial Narrow" w:cs="Arial"/>
          <w:b/>
        </w:rPr>
      </w:pPr>
      <w:r w:rsidRPr="00DC55C7">
        <w:rPr>
          <w:rFonts w:ascii="Arial Narrow" w:hAnsi="Arial Narrow" w:cs="Arial"/>
          <w:b/>
        </w:rPr>
        <w:t>PUBLÍQUESE Y CÚMPLASE,</w:t>
      </w:r>
    </w:p>
    <w:p w:rsidR="00687078" w:rsidRPr="00DC55C7" w:rsidRDefault="00687078" w:rsidP="001B2ABF">
      <w:pPr>
        <w:widowControl/>
        <w:autoSpaceDE w:val="0"/>
        <w:jc w:val="both"/>
        <w:rPr>
          <w:rFonts w:ascii="Arial Narrow" w:hAnsi="Arial Narrow" w:cs="Arial"/>
          <w:b/>
        </w:rPr>
      </w:pPr>
    </w:p>
    <w:p w:rsidR="00687078" w:rsidRPr="00DC55C7" w:rsidRDefault="00687078" w:rsidP="001B2ABF">
      <w:pPr>
        <w:widowControl/>
        <w:autoSpaceDE w:val="0"/>
        <w:jc w:val="both"/>
        <w:rPr>
          <w:rFonts w:ascii="Arial Narrow" w:hAnsi="Arial Narrow" w:cs="Arial"/>
          <w:b/>
        </w:rPr>
      </w:pPr>
      <w:r w:rsidRPr="00DC55C7">
        <w:rPr>
          <w:rFonts w:ascii="Arial Narrow" w:hAnsi="Arial Narrow" w:cs="Arial"/>
          <w:b/>
        </w:rPr>
        <w:t>Dada en Bogotá, D. C</w:t>
      </w:r>
      <w:r w:rsidR="0084407E">
        <w:rPr>
          <w:rFonts w:ascii="Arial Narrow" w:hAnsi="Arial Narrow" w:cs="Arial"/>
          <w:b/>
        </w:rPr>
        <w:t>.</w:t>
      </w:r>
      <w:r w:rsidRPr="00DC55C7">
        <w:rPr>
          <w:rFonts w:ascii="Arial Narrow" w:hAnsi="Arial Narrow" w:cs="Arial"/>
          <w:b/>
        </w:rPr>
        <w:t xml:space="preserve">  </w:t>
      </w:r>
    </w:p>
    <w:p w:rsidR="00687078" w:rsidRPr="00DC55C7" w:rsidRDefault="00687078" w:rsidP="001B2ABF">
      <w:pPr>
        <w:widowControl/>
        <w:tabs>
          <w:tab w:val="left" w:pos="0"/>
        </w:tabs>
        <w:suppressAutoHyphens w:val="0"/>
        <w:jc w:val="center"/>
        <w:textAlignment w:val="auto"/>
        <w:rPr>
          <w:rFonts w:ascii="Arial Narrow" w:hAnsi="Arial Narrow" w:cs="Arial"/>
        </w:rPr>
      </w:pPr>
    </w:p>
    <w:p w:rsidR="00687078" w:rsidRPr="00DC55C7" w:rsidRDefault="00687078" w:rsidP="001B2ABF">
      <w:pPr>
        <w:widowControl/>
        <w:tabs>
          <w:tab w:val="left" w:pos="0"/>
        </w:tabs>
        <w:suppressAutoHyphens w:val="0"/>
        <w:jc w:val="center"/>
        <w:textAlignment w:val="auto"/>
        <w:rPr>
          <w:rFonts w:ascii="Arial Narrow" w:hAnsi="Arial Narrow" w:cs="Arial"/>
        </w:rPr>
      </w:pPr>
    </w:p>
    <w:p w:rsidR="00687078" w:rsidRDefault="00687078" w:rsidP="001B2ABF">
      <w:pPr>
        <w:widowControl/>
        <w:tabs>
          <w:tab w:val="left" w:pos="0"/>
        </w:tabs>
        <w:suppressAutoHyphens w:val="0"/>
        <w:jc w:val="center"/>
        <w:textAlignment w:val="auto"/>
        <w:rPr>
          <w:rFonts w:ascii="Arial Narrow" w:hAnsi="Arial Narrow" w:cs="Arial"/>
        </w:rPr>
      </w:pPr>
    </w:p>
    <w:p w:rsidR="0084407E" w:rsidRPr="00DC55C7" w:rsidRDefault="0084407E" w:rsidP="001B2ABF">
      <w:pPr>
        <w:widowControl/>
        <w:tabs>
          <w:tab w:val="left" w:pos="0"/>
        </w:tabs>
        <w:suppressAutoHyphens w:val="0"/>
        <w:jc w:val="center"/>
        <w:textAlignment w:val="auto"/>
        <w:rPr>
          <w:rFonts w:ascii="Arial Narrow" w:hAnsi="Arial Narrow" w:cs="Arial"/>
        </w:rPr>
      </w:pPr>
    </w:p>
    <w:p w:rsidR="00687078" w:rsidRPr="00DC55C7" w:rsidRDefault="00687078" w:rsidP="001B2ABF">
      <w:pPr>
        <w:widowControl/>
        <w:tabs>
          <w:tab w:val="left" w:pos="0"/>
        </w:tabs>
        <w:suppressAutoHyphens w:val="0"/>
        <w:jc w:val="center"/>
        <w:textAlignment w:val="auto"/>
        <w:rPr>
          <w:rFonts w:ascii="Arial Narrow" w:hAnsi="Arial Narrow" w:cs="Arial"/>
          <w:b/>
        </w:rPr>
      </w:pPr>
      <w:r w:rsidRPr="00DC55C7">
        <w:rPr>
          <w:rFonts w:ascii="Arial Narrow" w:hAnsi="Arial Narrow" w:cs="Arial"/>
          <w:b/>
        </w:rPr>
        <w:t xml:space="preserve">JORGE EDUARDO ROJAS </w:t>
      </w:r>
    </w:p>
    <w:p w:rsidR="00687078" w:rsidRPr="00DC55C7" w:rsidRDefault="00687078" w:rsidP="001B2ABF">
      <w:pPr>
        <w:widowControl/>
        <w:tabs>
          <w:tab w:val="left" w:pos="0"/>
        </w:tabs>
        <w:suppressAutoHyphens w:val="0"/>
        <w:jc w:val="center"/>
        <w:textAlignment w:val="auto"/>
        <w:rPr>
          <w:rFonts w:ascii="Arial Narrow" w:hAnsi="Arial Narrow" w:cs="Arial"/>
        </w:rPr>
      </w:pPr>
      <w:r w:rsidRPr="00DC55C7">
        <w:rPr>
          <w:rFonts w:ascii="Arial Narrow" w:hAnsi="Arial Narrow" w:cs="Arial"/>
          <w:b/>
        </w:rPr>
        <w:t>MINISTRO DE TRANSPORTE</w:t>
      </w:r>
    </w:p>
    <w:p w:rsidR="00687078" w:rsidRPr="00DC55C7" w:rsidRDefault="00687078" w:rsidP="00687078">
      <w:pPr>
        <w:widowControl/>
        <w:tabs>
          <w:tab w:val="left" w:pos="0"/>
        </w:tabs>
        <w:suppressAutoHyphens w:val="0"/>
        <w:textAlignment w:val="auto"/>
        <w:rPr>
          <w:rFonts w:ascii="Arial Narrow" w:hAnsi="Arial Narrow" w:cs="Arial"/>
        </w:rPr>
      </w:pPr>
    </w:p>
    <w:p w:rsidR="00C13DB2" w:rsidRDefault="00C13DB2" w:rsidP="00687078">
      <w:pPr>
        <w:widowControl/>
        <w:suppressAutoHyphens w:val="0"/>
        <w:textAlignment w:val="auto"/>
        <w:rPr>
          <w:rFonts w:ascii="Arial Narrow" w:hAnsi="Arial Narrow" w:cs="Arial"/>
          <w:sz w:val="16"/>
          <w:szCs w:val="16"/>
        </w:rPr>
      </w:pPr>
    </w:p>
    <w:p w:rsidR="00C13DB2" w:rsidRDefault="00C13DB2" w:rsidP="00687078">
      <w:pPr>
        <w:widowControl/>
        <w:suppressAutoHyphens w:val="0"/>
        <w:textAlignment w:val="auto"/>
        <w:rPr>
          <w:rFonts w:ascii="Arial Narrow" w:hAnsi="Arial Narrow" w:cs="Arial"/>
          <w:sz w:val="16"/>
          <w:szCs w:val="16"/>
        </w:rPr>
      </w:pPr>
    </w:p>
    <w:p w:rsidR="00687078" w:rsidRPr="00DC55C7" w:rsidRDefault="00687078" w:rsidP="006D2D76">
      <w:pPr>
        <w:widowControl/>
        <w:tabs>
          <w:tab w:val="left" w:pos="1701"/>
        </w:tabs>
        <w:suppressAutoHyphens w:val="0"/>
        <w:textAlignment w:val="auto"/>
        <w:rPr>
          <w:rFonts w:ascii="Arial Narrow" w:hAnsi="Arial Narrow" w:cs="Arial"/>
          <w:sz w:val="16"/>
          <w:szCs w:val="16"/>
        </w:rPr>
      </w:pPr>
      <w:r w:rsidRPr="00DC55C7">
        <w:rPr>
          <w:rFonts w:ascii="Arial Narrow" w:hAnsi="Arial Narrow" w:cs="Arial"/>
          <w:sz w:val="16"/>
          <w:szCs w:val="16"/>
        </w:rPr>
        <w:t>Andres Figueredo Serpa</w:t>
      </w:r>
      <w:r w:rsidR="006D2D76">
        <w:rPr>
          <w:rFonts w:ascii="Arial Narrow" w:hAnsi="Arial Narrow" w:cs="Arial"/>
          <w:sz w:val="16"/>
          <w:szCs w:val="16"/>
        </w:rPr>
        <w:tab/>
      </w:r>
      <w:r w:rsidR="006D2D76">
        <w:rPr>
          <w:rFonts w:ascii="Arial Narrow" w:hAnsi="Arial Narrow" w:cs="Arial"/>
          <w:sz w:val="16"/>
          <w:szCs w:val="16"/>
        </w:rPr>
        <w:tab/>
      </w:r>
      <w:r w:rsidRPr="00DC55C7">
        <w:rPr>
          <w:rFonts w:ascii="Arial Narrow" w:hAnsi="Arial Narrow" w:cs="Arial"/>
          <w:sz w:val="16"/>
          <w:szCs w:val="16"/>
        </w:rPr>
        <w:t xml:space="preserve">– </w:t>
      </w:r>
      <w:r w:rsidR="00801948">
        <w:rPr>
          <w:rFonts w:ascii="Arial Narrow" w:hAnsi="Arial Narrow" w:cs="Arial"/>
          <w:sz w:val="16"/>
          <w:szCs w:val="16"/>
        </w:rPr>
        <w:t xml:space="preserve"> </w:t>
      </w:r>
      <w:r w:rsidRPr="00DC55C7">
        <w:rPr>
          <w:rFonts w:ascii="Arial Narrow" w:hAnsi="Arial Narrow" w:cs="Arial"/>
          <w:sz w:val="16"/>
          <w:szCs w:val="16"/>
        </w:rPr>
        <w:t>Vicepresidente de Gestión Contractual, ANI.</w:t>
      </w:r>
    </w:p>
    <w:p w:rsidR="00687078" w:rsidRPr="00DC55C7" w:rsidRDefault="006D2D76" w:rsidP="00687078">
      <w:pPr>
        <w:widowControl/>
        <w:shd w:val="clear" w:color="auto" w:fill="FFFFFF"/>
        <w:suppressAutoHyphens w:val="0"/>
        <w:autoSpaceDE w:val="0"/>
        <w:jc w:val="both"/>
        <w:textAlignment w:val="auto"/>
        <w:rPr>
          <w:rFonts w:ascii="Arial Narrow" w:hAnsi="Arial Narrow" w:cs="Arial"/>
          <w:sz w:val="16"/>
          <w:szCs w:val="16"/>
        </w:rPr>
      </w:pPr>
      <w:r>
        <w:rPr>
          <w:rFonts w:ascii="Arial Narrow" w:hAnsi="Arial Narrow" w:cs="Arial"/>
          <w:sz w:val="16"/>
          <w:szCs w:val="16"/>
        </w:rPr>
        <w:t xml:space="preserve">Fernando </w:t>
      </w:r>
      <w:r w:rsidR="00486965">
        <w:rPr>
          <w:rFonts w:ascii="Arial Narrow" w:hAnsi="Arial Narrow" w:cs="Arial"/>
          <w:sz w:val="16"/>
          <w:szCs w:val="16"/>
        </w:rPr>
        <w:t xml:space="preserve">Iregui </w:t>
      </w:r>
      <w:r w:rsidR="00687078" w:rsidRPr="00DC55C7">
        <w:rPr>
          <w:rFonts w:ascii="Arial Narrow" w:hAnsi="Arial Narrow" w:cs="Arial"/>
          <w:sz w:val="16"/>
          <w:szCs w:val="16"/>
        </w:rPr>
        <w:t xml:space="preserve"> </w:t>
      </w:r>
      <w:r>
        <w:rPr>
          <w:rFonts w:ascii="Arial Narrow" w:hAnsi="Arial Narrow" w:cs="Arial"/>
          <w:sz w:val="16"/>
          <w:szCs w:val="16"/>
        </w:rPr>
        <w:tab/>
      </w:r>
      <w:r>
        <w:rPr>
          <w:rFonts w:ascii="Arial Narrow" w:hAnsi="Arial Narrow" w:cs="Arial"/>
          <w:sz w:val="16"/>
          <w:szCs w:val="16"/>
        </w:rPr>
        <w:tab/>
      </w:r>
      <w:r w:rsidR="00687078" w:rsidRPr="00DC55C7">
        <w:rPr>
          <w:rFonts w:ascii="Arial Narrow" w:hAnsi="Arial Narrow" w:cs="Arial"/>
          <w:sz w:val="16"/>
          <w:szCs w:val="16"/>
        </w:rPr>
        <w:t>– Vicepresidente Jurídico</w:t>
      </w:r>
      <w:r w:rsidR="00486965">
        <w:rPr>
          <w:rFonts w:ascii="Arial Narrow" w:hAnsi="Arial Narrow" w:cs="Arial"/>
          <w:sz w:val="16"/>
          <w:szCs w:val="16"/>
        </w:rPr>
        <w:t>,</w:t>
      </w:r>
      <w:r w:rsidR="00687078" w:rsidRPr="00DC55C7">
        <w:rPr>
          <w:rFonts w:ascii="Arial Narrow" w:hAnsi="Arial Narrow" w:cs="Arial"/>
          <w:sz w:val="16"/>
          <w:szCs w:val="16"/>
        </w:rPr>
        <w:t xml:space="preserve">  ANI</w:t>
      </w:r>
    </w:p>
    <w:p w:rsidR="00687078" w:rsidRPr="00DC55C7" w:rsidRDefault="00687078" w:rsidP="00687078">
      <w:pPr>
        <w:widowControl/>
        <w:shd w:val="clear" w:color="auto" w:fill="FFFFFF"/>
        <w:suppressAutoHyphens w:val="0"/>
        <w:autoSpaceDE w:val="0"/>
        <w:jc w:val="both"/>
        <w:textAlignment w:val="auto"/>
        <w:rPr>
          <w:rFonts w:ascii="Arial Narrow" w:hAnsi="Arial Narrow" w:cs="Arial"/>
          <w:sz w:val="16"/>
          <w:szCs w:val="16"/>
        </w:rPr>
      </w:pPr>
      <w:r w:rsidRPr="00DC55C7">
        <w:rPr>
          <w:rFonts w:ascii="Arial Narrow" w:hAnsi="Arial Narrow" w:cs="Arial"/>
          <w:sz w:val="16"/>
          <w:szCs w:val="16"/>
        </w:rPr>
        <w:t>Luis Eduardo Gutierrez</w:t>
      </w:r>
      <w:r w:rsidR="002B2CE5">
        <w:rPr>
          <w:rFonts w:ascii="Arial Narrow" w:hAnsi="Arial Narrow" w:cs="Arial"/>
          <w:sz w:val="16"/>
          <w:szCs w:val="16"/>
        </w:rPr>
        <w:t xml:space="preserve">  </w:t>
      </w:r>
      <w:r w:rsidR="006D2D76">
        <w:rPr>
          <w:rFonts w:ascii="Arial Narrow" w:hAnsi="Arial Narrow" w:cs="Arial"/>
          <w:sz w:val="16"/>
          <w:szCs w:val="16"/>
        </w:rPr>
        <w:tab/>
      </w:r>
      <w:r w:rsidR="006D2D76">
        <w:rPr>
          <w:rFonts w:ascii="Arial Narrow" w:hAnsi="Arial Narrow" w:cs="Arial"/>
          <w:sz w:val="16"/>
          <w:szCs w:val="16"/>
        </w:rPr>
        <w:tab/>
      </w:r>
      <w:r w:rsidRPr="00DC55C7">
        <w:rPr>
          <w:rFonts w:ascii="Arial Narrow" w:hAnsi="Arial Narrow" w:cs="Arial"/>
          <w:sz w:val="16"/>
          <w:szCs w:val="16"/>
        </w:rPr>
        <w:t xml:space="preserve">– </w:t>
      </w:r>
      <w:r w:rsidR="002B2CE5">
        <w:rPr>
          <w:rFonts w:ascii="Arial Narrow" w:hAnsi="Arial Narrow" w:cs="Arial"/>
          <w:sz w:val="16"/>
          <w:szCs w:val="16"/>
        </w:rPr>
        <w:t xml:space="preserve"> </w:t>
      </w:r>
      <w:r w:rsidRPr="00DC55C7">
        <w:rPr>
          <w:rFonts w:ascii="Arial Narrow" w:hAnsi="Arial Narrow" w:cs="Arial"/>
          <w:sz w:val="16"/>
          <w:szCs w:val="16"/>
        </w:rPr>
        <w:t>Gerente Modo Carretero 2</w:t>
      </w:r>
      <w:r w:rsidR="00486965">
        <w:rPr>
          <w:rFonts w:ascii="Arial Narrow" w:hAnsi="Arial Narrow" w:cs="Arial"/>
          <w:sz w:val="16"/>
          <w:szCs w:val="16"/>
        </w:rPr>
        <w:t>,</w:t>
      </w:r>
      <w:r w:rsidRPr="00DC55C7">
        <w:rPr>
          <w:rFonts w:ascii="Arial Narrow" w:hAnsi="Arial Narrow" w:cs="Arial"/>
          <w:sz w:val="16"/>
          <w:szCs w:val="16"/>
        </w:rPr>
        <w:t xml:space="preserve"> </w:t>
      </w:r>
      <w:r w:rsidR="00486965" w:rsidRPr="00DC55C7">
        <w:rPr>
          <w:rFonts w:ascii="Arial Narrow" w:hAnsi="Arial Narrow" w:cs="Arial"/>
          <w:sz w:val="16"/>
          <w:szCs w:val="16"/>
        </w:rPr>
        <w:t>Vicepresiden</w:t>
      </w:r>
      <w:r w:rsidR="00486965">
        <w:rPr>
          <w:rFonts w:ascii="Arial Narrow" w:hAnsi="Arial Narrow" w:cs="Arial"/>
          <w:sz w:val="16"/>
          <w:szCs w:val="16"/>
        </w:rPr>
        <w:t xml:space="preserve">cia </w:t>
      </w:r>
      <w:r w:rsidR="00486965" w:rsidRPr="00DC55C7">
        <w:rPr>
          <w:rFonts w:ascii="Arial Narrow" w:hAnsi="Arial Narrow" w:cs="Arial"/>
          <w:sz w:val="16"/>
          <w:szCs w:val="16"/>
        </w:rPr>
        <w:t>de Gestión Contractual, ANI.</w:t>
      </w:r>
    </w:p>
    <w:p w:rsidR="00687078" w:rsidRPr="00DC55C7" w:rsidRDefault="00687078" w:rsidP="00687078">
      <w:pPr>
        <w:widowControl/>
        <w:suppressAutoHyphens w:val="0"/>
        <w:textAlignment w:val="auto"/>
        <w:rPr>
          <w:rFonts w:ascii="Arial Narrow" w:hAnsi="Arial Narrow" w:cs="Arial"/>
          <w:sz w:val="16"/>
          <w:szCs w:val="16"/>
        </w:rPr>
      </w:pPr>
      <w:r w:rsidRPr="00DC55C7">
        <w:rPr>
          <w:rFonts w:ascii="Arial Narrow" w:hAnsi="Arial Narrow" w:cs="Arial"/>
          <w:sz w:val="16"/>
          <w:szCs w:val="16"/>
        </w:rPr>
        <w:t>Priscila Sanchez</w:t>
      </w:r>
      <w:r w:rsidR="006D2D76">
        <w:rPr>
          <w:rFonts w:ascii="Arial Narrow" w:hAnsi="Arial Narrow" w:cs="Arial"/>
          <w:sz w:val="16"/>
          <w:szCs w:val="16"/>
        </w:rPr>
        <w:tab/>
      </w:r>
      <w:r w:rsidR="006D2D76">
        <w:rPr>
          <w:rFonts w:ascii="Arial Narrow" w:hAnsi="Arial Narrow" w:cs="Arial"/>
          <w:sz w:val="16"/>
          <w:szCs w:val="16"/>
        </w:rPr>
        <w:tab/>
      </w:r>
      <w:r w:rsidRPr="00DC55C7">
        <w:rPr>
          <w:rFonts w:ascii="Arial Narrow" w:hAnsi="Arial Narrow" w:cs="Arial"/>
          <w:sz w:val="16"/>
          <w:szCs w:val="16"/>
        </w:rPr>
        <w:t xml:space="preserve">– </w:t>
      </w:r>
      <w:r w:rsidR="00801948">
        <w:rPr>
          <w:rFonts w:ascii="Arial Narrow" w:hAnsi="Arial Narrow" w:cs="Arial"/>
          <w:sz w:val="16"/>
          <w:szCs w:val="16"/>
        </w:rPr>
        <w:t xml:space="preserve"> </w:t>
      </w:r>
      <w:r w:rsidRPr="00DC55C7">
        <w:rPr>
          <w:rFonts w:ascii="Arial Narrow" w:hAnsi="Arial Narrow" w:cs="Arial"/>
          <w:sz w:val="16"/>
          <w:szCs w:val="16"/>
        </w:rPr>
        <w:t>Gerente Gestión Contractual 2</w:t>
      </w:r>
      <w:r w:rsidR="00486965">
        <w:rPr>
          <w:rFonts w:ascii="Arial Narrow" w:hAnsi="Arial Narrow" w:cs="Arial"/>
          <w:sz w:val="16"/>
          <w:szCs w:val="16"/>
        </w:rPr>
        <w:t>,</w:t>
      </w:r>
      <w:r w:rsidRPr="00DC55C7">
        <w:rPr>
          <w:rFonts w:ascii="Arial Narrow" w:hAnsi="Arial Narrow" w:cs="Arial"/>
          <w:sz w:val="16"/>
          <w:szCs w:val="16"/>
        </w:rPr>
        <w:t xml:space="preserve">  Vicepresidencia Jurídica ANI</w:t>
      </w:r>
    </w:p>
    <w:p w:rsidR="00687078" w:rsidRDefault="00486965" w:rsidP="00687078">
      <w:pPr>
        <w:widowControl/>
        <w:suppressAutoHyphens w:val="0"/>
        <w:textAlignment w:val="auto"/>
        <w:rPr>
          <w:rFonts w:ascii="Arial Narrow" w:hAnsi="Arial Narrow" w:cs="Arial"/>
          <w:sz w:val="16"/>
          <w:szCs w:val="16"/>
        </w:rPr>
      </w:pPr>
      <w:r>
        <w:rPr>
          <w:rFonts w:ascii="Arial Narrow" w:hAnsi="Arial Narrow" w:cs="Arial"/>
          <w:sz w:val="16"/>
          <w:szCs w:val="16"/>
        </w:rPr>
        <w:t xml:space="preserve">Oscar Rosero </w:t>
      </w:r>
      <w:r w:rsidR="006D2D76">
        <w:rPr>
          <w:rFonts w:ascii="Arial Narrow" w:hAnsi="Arial Narrow" w:cs="Arial"/>
          <w:sz w:val="16"/>
          <w:szCs w:val="16"/>
        </w:rPr>
        <w:tab/>
      </w:r>
      <w:r w:rsidR="006D2D76">
        <w:rPr>
          <w:rFonts w:ascii="Arial Narrow" w:hAnsi="Arial Narrow" w:cs="Arial"/>
          <w:sz w:val="16"/>
          <w:szCs w:val="16"/>
        </w:rPr>
        <w:tab/>
      </w:r>
      <w:r w:rsidR="00687078" w:rsidRPr="00DC55C7">
        <w:rPr>
          <w:rFonts w:ascii="Arial Narrow" w:hAnsi="Arial Narrow" w:cs="Arial"/>
          <w:sz w:val="16"/>
          <w:szCs w:val="16"/>
        </w:rPr>
        <w:t xml:space="preserve">– </w:t>
      </w:r>
      <w:r w:rsidR="00801948">
        <w:rPr>
          <w:rFonts w:ascii="Arial Narrow" w:hAnsi="Arial Narrow" w:cs="Arial"/>
          <w:sz w:val="16"/>
          <w:szCs w:val="16"/>
        </w:rPr>
        <w:t xml:space="preserve"> </w:t>
      </w:r>
      <w:r w:rsidR="00687078" w:rsidRPr="00DC55C7">
        <w:rPr>
          <w:rFonts w:ascii="Arial Narrow" w:hAnsi="Arial Narrow" w:cs="Arial"/>
          <w:sz w:val="16"/>
          <w:szCs w:val="16"/>
        </w:rPr>
        <w:t>Gerente Financiero, Vicepresidencia de Gestión Contractual ANI</w:t>
      </w:r>
    </w:p>
    <w:p w:rsidR="002B2CE5" w:rsidRPr="00DC55C7" w:rsidRDefault="006D2D76" w:rsidP="00687078">
      <w:pPr>
        <w:widowControl/>
        <w:suppressAutoHyphens w:val="0"/>
        <w:textAlignment w:val="auto"/>
        <w:rPr>
          <w:rFonts w:ascii="Arial Narrow" w:hAnsi="Arial Narrow" w:cs="Arial"/>
        </w:rPr>
      </w:pPr>
      <w:r>
        <w:rPr>
          <w:rFonts w:ascii="Arial Narrow" w:hAnsi="Arial Narrow" w:cs="Arial"/>
          <w:sz w:val="16"/>
          <w:szCs w:val="16"/>
        </w:rPr>
        <w:t>Poldy Paola Osorio Alvarez</w:t>
      </w:r>
      <w:r>
        <w:rPr>
          <w:rFonts w:ascii="Arial Narrow" w:hAnsi="Arial Narrow" w:cs="Arial"/>
          <w:sz w:val="16"/>
          <w:szCs w:val="16"/>
        </w:rPr>
        <w:tab/>
        <w:t xml:space="preserve">- </w:t>
      </w:r>
      <w:r w:rsidR="002B2CE5">
        <w:rPr>
          <w:rFonts w:ascii="Arial Narrow" w:hAnsi="Arial Narrow" w:cs="Arial"/>
          <w:sz w:val="16"/>
          <w:szCs w:val="16"/>
        </w:rPr>
        <w:t xml:space="preserve"> Gerente Planeación Riesgos y Entorno.</w:t>
      </w:r>
    </w:p>
    <w:p w:rsidR="00687078" w:rsidRPr="00DC55C7" w:rsidRDefault="00687078" w:rsidP="00687078">
      <w:pPr>
        <w:widowControl/>
        <w:suppressAutoHyphens w:val="0"/>
        <w:textAlignment w:val="auto"/>
        <w:rPr>
          <w:rFonts w:ascii="Arial Narrow" w:hAnsi="Arial Narrow" w:cs="Arial"/>
          <w:sz w:val="16"/>
          <w:szCs w:val="16"/>
        </w:rPr>
      </w:pPr>
      <w:r w:rsidRPr="00DC55C7">
        <w:rPr>
          <w:rFonts w:ascii="Arial Narrow" w:hAnsi="Arial Narrow" w:cs="Arial"/>
          <w:sz w:val="16"/>
          <w:szCs w:val="16"/>
        </w:rPr>
        <w:t>Frank López Jimenez</w:t>
      </w:r>
      <w:r w:rsidR="006D2D76">
        <w:rPr>
          <w:rFonts w:ascii="Arial Narrow" w:hAnsi="Arial Narrow" w:cs="Arial"/>
          <w:sz w:val="16"/>
          <w:szCs w:val="16"/>
        </w:rPr>
        <w:tab/>
      </w:r>
      <w:r w:rsidR="006D2D76">
        <w:rPr>
          <w:rFonts w:ascii="Arial Narrow" w:hAnsi="Arial Narrow" w:cs="Arial"/>
          <w:sz w:val="16"/>
          <w:szCs w:val="16"/>
        </w:rPr>
        <w:tab/>
      </w:r>
      <w:r w:rsidRPr="00DC55C7">
        <w:rPr>
          <w:rFonts w:ascii="Arial Narrow" w:hAnsi="Arial Narrow" w:cs="Arial"/>
          <w:sz w:val="16"/>
          <w:szCs w:val="16"/>
        </w:rPr>
        <w:t xml:space="preserve">– </w:t>
      </w:r>
      <w:r w:rsidR="00801948">
        <w:rPr>
          <w:rFonts w:ascii="Arial Narrow" w:hAnsi="Arial Narrow" w:cs="Arial"/>
          <w:sz w:val="16"/>
          <w:szCs w:val="16"/>
        </w:rPr>
        <w:t xml:space="preserve"> </w:t>
      </w:r>
      <w:r w:rsidR="002B2CE5">
        <w:rPr>
          <w:rFonts w:ascii="Arial Narrow" w:hAnsi="Arial Narrow" w:cs="Arial"/>
          <w:sz w:val="16"/>
          <w:szCs w:val="16"/>
        </w:rPr>
        <w:t xml:space="preserve"> </w:t>
      </w:r>
      <w:r w:rsidR="00801948">
        <w:rPr>
          <w:rFonts w:ascii="Arial Narrow" w:hAnsi="Arial Narrow" w:cs="Arial"/>
          <w:sz w:val="16"/>
          <w:szCs w:val="16"/>
        </w:rPr>
        <w:t xml:space="preserve">Apoyo de la Supervisión </w:t>
      </w:r>
      <w:r w:rsidRPr="00DC55C7">
        <w:rPr>
          <w:rFonts w:ascii="Arial Narrow" w:hAnsi="Arial Narrow" w:cs="Arial"/>
          <w:sz w:val="16"/>
          <w:szCs w:val="16"/>
        </w:rPr>
        <w:t xml:space="preserve">Supervisor del Proyecto ANI  </w:t>
      </w:r>
      <w:r w:rsidR="002B2CE5">
        <w:rPr>
          <w:rFonts w:ascii="Arial Narrow" w:hAnsi="Arial Narrow" w:cs="Arial"/>
          <w:sz w:val="16"/>
          <w:szCs w:val="16"/>
        </w:rPr>
        <w:t>- VGC</w:t>
      </w:r>
    </w:p>
    <w:p w:rsidR="00687078" w:rsidRDefault="006D2D76" w:rsidP="00687078">
      <w:pPr>
        <w:widowControl/>
        <w:suppressAutoHyphens w:val="0"/>
        <w:textAlignment w:val="auto"/>
        <w:rPr>
          <w:rFonts w:ascii="Arial Narrow" w:hAnsi="Arial Narrow" w:cs="Arial"/>
          <w:sz w:val="16"/>
          <w:szCs w:val="16"/>
        </w:rPr>
      </w:pPr>
      <w:r>
        <w:rPr>
          <w:rFonts w:ascii="Arial Narrow" w:hAnsi="Arial Narrow" w:cs="Arial"/>
          <w:sz w:val="16"/>
          <w:szCs w:val="16"/>
        </w:rPr>
        <w:t xml:space="preserve">Martha Castellanos </w:t>
      </w:r>
      <w:r>
        <w:rPr>
          <w:rFonts w:ascii="Arial Narrow" w:hAnsi="Arial Narrow" w:cs="Arial"/>
          <w:sz w:val="16"/>
          <w:szCs w:val="16"/>
        </w:rPr>
        <w:tab/>
      </w:r>
      <w:r>
        <w:rPr>
          <w:rFonts w:ascii="Arial Narrow" w:hAnsi="Arial Narrow" w:cs="Arial"/>
          <w:sz w:val="16"/>
          <w:szCs w:val="16"/>
        </w:rPr>
        <w:tab/>
      </w:r>
      <w:r w:rsidR="002B2CE5">
        <w:rPr>
          <w:rFonts w:ascii="Arial Narrow" w:hAnsi="Arial Narrow" w:cs="Arial"/>
          <w:sz w:val="16"/>
          <w:szCs w:val="16"/>
        </w:rPr>
        <w:t xml:space="preserve">-    </w:t>
      </w:r>
      <w:r w:rsidR="00687078" w:rsidRPr="00DC55C7">
        <w:rPr>
          <w:rFonts w:ascii="Arial Narrow" w:hAnsi="Arial Narrow" w:cs="Arial"/>
          <w:sz w:val="16"/>
          <w:szCs w:val="16"/>
        </w:rPr>
        <w:t xml:space="preserve">Apoyo a la Supervisión </w:t>
      </w:r>
      <w:r w:rsidR="00486965">
        <w:rPr>
          <w:rFonts w:ascii="Arial Narrow" w:hAnsi="Arial Narrow" w:cs="Arial"/>
          <w:sz w:val="16"/>
          <w:szCs w:val="16"/>
        </w:rPr>
        <w:t>ANI</w:t>
      </w:r>
      <w:r w:rsidR="002B2CE5">
        <w:rPr>
          <w:rFonts w:ascii="Arial Narrow" w:hAnsi="Arial Narrow" w:cs="Arial"/>
          <w:sz w:val="16"/>
          <w:szCs w:val="16"/>
        </w:rPr>
        <w:t xml:space="preserve"> – VGC</w:t>
      </w:r>
    </w:p>
    <w:p w:rsidR="002B2CE5" w:rsidRPr="00DC55C7" w:rsidRDefault="002B2CE5" w:rsidP="00687078">
      <w:pPr>
        <w:widowControl/>
        <w:suppressAutoHyphens w:val="0"/>
        <w:textAlignment w:val="auto"/>
        <w:rPr>
          <w:rFonts w:ascii="Arial Narrow" w:hAnsi="Arial Narrow" w:cs="Arial"/>
          <w:sz w:val="16"/>
          <w:szCs w:val="16"/>
        </w:rPr>
      </w:pPr>
      <w:r>
        <w:rPr>
          <w:rFonts w:ascii="Arial Narrow" w:hAnsi="Arial Narrow" w:cs="Arial"/>
          <w:sz w:val="16"/>
          <w:szCs w:val="16"/>
        </w:rPr>
        <w:t xml:space="preserve">Lina Leidy Leal Diaz </w:t>
      </w:r>
      <w:r w:rsidR="006D2D76">
        <w:rPr>
          <w:rFonts w:ascii="Arial Narrow" w:hAnsi="Arial Narrow" w:cs="Arial"/>
          <w:sz w:val="16"/>
          <w:szCs w:val="16"/>
        </w:rPr>
        <w:tab/>
      </w:r>
      <w:r w:rsidR="006D2D76">
        <w:rPr>
          <w:rFonts w:ascii="Arial Narrow" w:hAnsi="Arial Narrow" w:cs="Arial"/>
          <w:sz w:val="16"/>
          <w:szCs w:val="16"/>
        </w:rPr>
        <w:tab/>
      </w:r>
      <w:r>
        <w:rPr>
          <w:rFonts w:ascii="Arial Narrow" w:hAnsi="Arial Narrow" w:cs="Arial"/>
          <w:sz w:val="16"/>
          <w:szCs w:val="16"/>
        </w:rPr>
        <w:t>-    Apoyo Vicepresidencia de Riesgos</w:t>
      </w:r>
    </w:p>
    <w:p w:rsidR="00687078" w:rsidRPr="00DC55C7" w:rsidRDefault="00687078" w:rsidP="00687078">
      <w:pPr>
        <w:widowControl/>
        <w:suppressAutoHyphens w:val="0"/>
        <w:textAlignment w:val="auto"/>
        <w:rPr>
          <w:rFonts w:ascii="Arial Narrow" w:hAnsi="Arial Narrow" w:cs="Arial"/>
          <w:sz w:val="16"/>
          <w:szCs w:val="16"/>
        </w:rPr>
      </w:pPr>
      <w:r w:rsidRPr="00DC55C7">
        <w:rPr>
          <w:rFonts w:ascii="Arial Narrow" w:hAnsi="Arial Narrow" w:cs="Arial"/>
          <w:sz w:val="16"/>
          <w:szCs w:val="16"/>
        </w:rPr>
        <w:t>S</w:t>
      </w:r>
      <w:r w:rsidR="006D2D76">
        <w:rPr>
          <w:rFonts w:ascii="Arial Narrow" w:hAnsi="Arial Narrow" w:cs="Arial"/>
          <w:sz w:val="16"/>
          <w:szCs w:val="16"/>
        </w:rPr>
        <w:t xml:space="preserve">andra Silva  </w:t>
      </w:r>
      <w:r w:rsidR="006D2D76">
        <w:rPr>
          <w:rFonts w:ascii="Arial Narrow" w:hAnsi="Arial Narrow" w:cs="Arial"/>
          <w:sz w:val="16"/>
          <w:szCs w:val="16"/>
        </w:rPr>
        <w:tab/>
      </w:r>
      <w:r w:rsidR="006D2D76">
        <w:rPr>
          <w:rFonts w:ascii="Arial Narrow" w:hAnsi="Arial Narrow" w:cs="Arial"/>
          <w:sz w:val="16"/>
          <w:szCs w:val="16"/>
        </w:rPr>
        <w:tab/>
      </w:r>
      <w:r w:rsidR="002B2CE5">
        <w:rPr>
          <w:rFonts w:ascii="Arial Narrow" w:hAnsi="Arial Narrow" w:cs="Arial"/>
          <w:sz w:val="16"/>
          <w:szCs w:val="16"/>
        </w:rPr>
        <w:t xml:space="preserve">-    Apoyo Jurídico </w:t>
      </w:r>
      <w:r w:rsidRPr="00DC55C7">
        <w:rPr>
          <w:rFonts w:ascii="Arial Narrow" w:hAnsi="Arial Narrow" w:cs="Arial"/>
          <w:sz w:val="16"/>
          <w:szCs w:val="16"/>
        </w:rPr>
        <w:t xml:space="preserve"> –</w:t>
      </w:r>
      <w:r w:rsidR="002B2CE5">
        <w:rPr>
          <w:rFonts w:ascii="Arial Narrow" w:hAnsi="Arial Narrow" w:cs="Arial"/>
          <w:sz w:val="16"/>
          <w:szCs w:val="16"/>
        </w:rPr>
        <w:t xml:space="preserve"> Gerencia Jurídica -  </w:t>
      </w:r>
      <w:r w:rsidRPr="00DC55C7">
        <w:rPr>
          <w:rFonts w:ascii="Arial Narrow" w:hAnsi="Arial Narrow" w:cs="Arial"/>
          <w:sz w:val="16"/>
          <w:szCs w:val="16"/>
        </w:rPr>
        <w:t xml:space="preserve"> </w:t>
      </w:r>
      <w:r w:rsidR="002B2CE5">
        <w:rPr>
          <w:rFonts w:ascii="Arial Narrow" w:hAnsi="Arial Narrow" w:cs="Arial"/>
          <w:sz w:val="16"/>
          <w:szCs w:val="16"/>
        </w:rPr>
        <w:t>VJ</w:t>
      </w:r>
    </w:p>
    <w:p w:rsidR="00687078" w:rsidRPr="00DC55C7" w:rsidRDefault="006D2D76" w:rsidP="00687078">
      <w:pPr>
        <w:widowControl/>
        <w:suppressAutoHyphens w:val="0"/>
        <w:textAlignment w:val="auto"/>
        <w:rPr>
          <w:rFonts w:ascii="Arial Narrow" w:hAnsi="Arial Narrow" w:cs="Arial"/>
          <w:sz w:val="16"/>
          <w:szCs w:val="16"/>
        </w:rPr>
      </w:pPr>
      <w:r>
        <w:rPr>
          <w:rFonts w:ascii="Arial Narrow" w:hAnsi="Arial Narrow" w:cs="Arial"/>
          <w:sz w:val="16"/>
          <w:szCs w:val="16"/>
        </w:rPr>
        <w:t xml:space="preserve">Omar Jimenez </w:t>
      </w:r>
      <w:r>
        <w:rPr>
          <w:rFonts w:ascii="Arial Narrow" w:hAnsi="Arial Narrow" w:cs="Arial"/>
          <w:sz w:val="16"/>
          <w:szCs w:val="16"/>
        </w:rPr>
        <w:tab/>
      </w:r>
      <w:r>
        <w:rPr>
          <w:rFonts w:ascii="Arial Narrow" w:hAnsi="Arial Narrow" w:cs="Arial"/>
          <w:sz w:val="16"/>
          <w:szCs w:val="16"/>
        </w:rPr>
        <w:tab/>
      </w:r>
      <w:r w:rsidR="002B2CE5">
        <w:rPr>
          <w:rFonts w:ascii="Arial Narrow" w:hAnsi="Arial Narrow" w:cs="Arial"/>
          <w:sz w:val="16"/>
          <w:szCs w:val="16"/>
        </w:rPr>
        <w:t xml:space="preserve">–   Apoyo </w:t>
      </w:r>
      <w:r w:rsidR="00687078" w:rsidRPr="00DC55C7">
        <w:rPr>
          <w:rFonts w:ascii="Arial Narrow" w:hAnsi="Arial Narrow" w:cs="Arial"/>
          <w:sz w:val="16"/>
          <w:szCs w:val="16"/>
        </w:rPr>
        <w:t>financiero – Gerencia Financiera, ANI</w:t>
      </w:r>
      <w:r w:rsidR="002B2CE5">
        <w:rPr>
          <w:rFonts w:ascii="Arial Narrow" w:hAnsi="Arial Narrow" w:cs="Arial"/>
          <w:sz w:val="16"/>
          <w:szCs w:val="16"/>
        </w:rPr>
        <w:t xml:space="preserve"> - VGC</w:t>
      </w:r>
    </w:p>
    <w:p w:rsidR="00486965" w:rsidRDefault="00486965" w:rsidP="00687078">
      <w:pPr>
        <w:widowControl/>
        <w:shd w:val="clear" w:color="auto" w:fill="FFFFFF"/>
        <w:suppressAutoHyphens w:val="0"/>
        <w:autoSpaceDE w:val="0"/>
        <w:jc w:val="both"/>
        <w:textAlignment w:val="auto"/>
        <w:rPr>
          <w:rFonts w:ascii="Arial Narrow" w:hAnsi="Arial Narrow" w:cs="Arial"/>
          <w:sz w:val="16"/>
          <w:szCs w:val="16"/>
        </w:rPr>
      </w:pPr>
    </w:p>
    <w:p w:rsidR="00687078" w:rsidRPr="00DC55C7" w:rsidRDefault="006D2D76" w:rsidP="00687078">
      <w:pPr>
        <w:widowControl/>
        <w:shd w:val="clear" w:color="auto" w:fill="FFFFFF"/>
        <w:suppressAutoHyphens w:val="0"/>
        <w:autoSpaceDE w:val="0"/>
        <w:jc w:val="both"/>
        <w:textAlignment w:val="auto"/>
        <w:rPr>
          <w:rFonts w:ascii="Arial Narrow" w:hAnsi="Arial Narrow" w:cs="Arial"/>
          <w:sz w:val="16"/>
          <w:szCs w:val="16"/>
        </w:rPr>
      </w:pPr>
      <w:r>
        <w:rPr>
          <w:rFonts w:ascii="Arial Narrow" w:hAnsi="Arial Narrow" w:cs="Arial"/>
          <w:sz w:val="16"/>
          <w:szCs w:val="16"/>
        </w:rPr>
        <w:t>Amparo Lotero</w:t>
      </w:r>
      <w:r>
        <w:rPr>
          <w:rFonts w:ascii="Arial Narrow" w:hAnsi="Arial Narrow" w:cs="Arial"/>
          <w:sz w:val="16"/>
          <w:szCs w:val="16"/>
        </w:rPr>
        <w:tab/>
      </w:r>
      <w:r>
        <w:rPr>
          <w:rFonts w:ascii="Arial Narrow" w:hAnsi="Arial Narrow" w:cs="Arial"/>
          <w:sz w:val="16"/>
          <w:szCs w:val="16"/>
        </w:rPr>
        <w:tab/>
      </w:r>
      <w:r w:rsidR="00687078" w:rsidRPr="00DC55C7">
        <w:rPr>
          <w:rFonts w:ascii="Arial Narrow" w:hAnsi="Arial Narrow" w:cs="Arial"/>
          <w:sz w:val="16"/>
          <w:szCs w:val="16"/>
        </w:rPr>
        <w:t>– Jefe Oficina Asesora Jurídica, Ministerio de Transporte</w:t>
      </w:r>
    </w:p>
    <w:p w:rsidR="00687078" w:rsidRPr="00DC55C7" w:rsidRDefault="00687078" w:rsidP="00687078">
      <w:pPr>
        <w:widowControl/>
        <w:suppressAutoHyphens w:val="0"/>
        <w:textAlignment w:val="auto"/>
        <w:rPr>
          <w:rFonts w:ascii="Arial Narrow" w:hAnsi="Arial Narrow" w:cs="Arial"/>
          <w:sz w:val="16"/>
          <w:szCs w:val="16"/>
        </w:rPr>
      </w:pPr>
      <w:r w:rsidRPr="00DC55C7">
        <w:rPr>
          <w:rFonts w:ascii="Arial Narrow" w:hAnsi="Arial Narrow" w:cs="Arial"/>
          <w:sz w:val="16"/>
          <w:szCs w:val="16"/>
        </w:rPr>
        <w:t xml:space="preserve">Lucas Rodríguez Gómez </w:t>
      </w:r>
      <w:r w:rsidR="006D2D76">
        <w:rPr>
          <w:rFonts w:ascii="Arial Narrow" w:hAnsi="Arial Narrow" w:cs="Arial"/>
          <w:sz w:val="16"/>
          <w:szCs w:val="16"/>
        </w:rPr>
        <w:tab/>
      </w:r>
      <w:r w:rsidRPr="00DC55C7">
        <w:rPr>
          <w:rFonts w:ascii="Arial Narrow" w:hAnsi="Arial Narrow" w:cs="Arial"/>
          <w:sz w:val="16"/>
          <w:szCs w:val="16"/>
        </w:rPr>
        <w:t>– Jefe Oficina de Regulación Económica, Ministerio de Transporte</w:t>
      </w:r>
    </w:p>
    <w:p w:rsidR="00D05197" w:rsidRPr="00012239" w:rsidRDefault="00687078" w:rsidP="001B2ABF">
      <w:pPr>
        <w:widowControl/>
        <w:suppressAutoHyphens w:val="0"/>
        <w:textAlignment w:val="auto"/>
        <w:rPr>
          <w:rFonts w:ascii="Futura Bk BT" w:hAnsi="Futura Bk BT" w:cs="Times New Roman"/>
          <w:sz w:val="22"/>
          <w:szCs w:val="22"/>
        </w:rPr>
      </w:pPr>
      <w:r w:rsidRPr="00DC55C7">
        <w:rPr>
          <w:rFonts w:ascii="Arial Narrow" w:hAnsi="Arial Narrow" w:cs="Arial"/>
          <w:sz w:val="16"/>
          <w:szCs w:val="16"/>
        </w:rPr>
        <w:t xml:space="preserve">Mario Franco Morales </w:t>
      </w:r>
      <w:r w:rsidR="006D2D76">
        <w:rPr>
          <w:rFonts w:ascii="Arial Narrow" w:hAnsi="Arial Narrow" w:cs="Arial"/>
          <w:sz w:val="16"/>
          <w:szCs w:val="16"/>
        </w:rPr>
        <w:tab/>
      </w:r>
      <w:r w:rsidR="006D2D76">
        <w:rPr>
          <w:rFonts w:ascii="Arial Narrow" w:hAnsi="Arial Narrow" w:cs="Arial"/>
          <w:sz w:val="16"/>
          <w:szCs w:val="16"/>
        </w:rPr>
        <w:tab/>
      </w:r>
      <w:r w:rsidRPr="00DC55C7">
        <w:rPr>
          <w:rFonts w:ascii="Arial Narrow" w:hAnsi="Arial Narrow" w:cs="Arial"/>
          <w:sz w:val="16"/>
          <w:szCs w:val="16"/>
        </w:rPr>
        <w:t>– Coordinador Grupo Económico Financiero - Oficina de Regulación Económica Mintransporte</w:t>
      </w:r>
    </w:p>
    <w:sectPr w:rsidR="00D05197" w:rsidRPr="00012239" w:rsidSect="009761D8">
      <w:headerReference w:type="default" r:id="rId8"/>
      <w:headerReference w:type="first" r:id="rId9"/>
      <w:pgSz w:w="12242" w:h="18722"/>
      <w:pgMar w:top="1418" w:right="1701" w:bottom="1418" w:left="1701" w:header="1021" w:footer="567" w:gutter="0"/>
      <w:pgBorders>
        <w:top w:val="single" w:sz="4" w:space="15" w:color="000000"/>
        <w:left w:val="single" w:sz="4" w:space="15" w:color="000000"/>
        <w:bottom w:val="single" w:sz="4" w:space="15" w:color="000000"/>
        <w:right w:val="single" w:sz="4" w:space="15" w:color="000000"/>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CD2" w:rsidRDefault="00605CD2">
      <w:r>
        <w:separator/>
      </w:r>
    </w:p>
  </w:endnote>
  <w:endnote w:type="continuationSeparator" w:id="0">
    <w:p w:rsidR="00605CD2" w:rsidRDefault="00605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DejaVu Sans">
    <w:altName w:val="Arial"/>
    <w:charset w:val="00"/>
    <w:family w:val="swiss"/>
    <w:pitch w:val="variable"/>
  </w:font>
  <w:font w:name="Lohit Devanagari">
    <w:altName w:val="Times New Roman"/>
    <w:charset w:val="00"/>
    <w:family w:val="auto"/>
    <w:pitch w:val="variable"/>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utura Bk BT">
    <w:altName w:val="Vrinda"/>
    <w:charset w:val="00"/>
    <w:family w:val="swiss"/>
    <w:pitch w:val="variable"/>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CD2" w:rsidRDefault="00605CD2">
      <w:r>
        <w:rPr>
          <w:color w:val="000000"/>
        </w:rPr>
        <w:separator/>
      </w:r>
    </w:p>
  </w:footnote>
  <w:footnote w:type="continuationSeparator" w:id="0">
    <w:p w:rsidR="00605CD2" w:rsidRDefault="00605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619" w:rsidRDefault="00427619">
    <w:pPr>
      <w:pStyle w:val="Standard"/>
      <w:tabs>
        <w:tab w:val="left" w:pos="-720"/>
      </w:tabs>
      <w:jc w:val="both"/>
    </w:pPr>
    <w:r>
      <w:rPr>
        <w:rFonts w:ascii="Garamond" w:hAnsi="Garamond" w:cs="Garamond"/>
        <w:b/>
        <w:spacing w:val="-3"/>
        <w:sz w:val="22"/>
        <w:szCs w:val="22"/>
      </w:rPr>
      <w:t>RESOLUCIÓN</w:t>
    </w:r>
    <w:r>
      <w:rPr>
        <w:rFonts w:ascii="Garamond" w:eastAsia="Garamond" w:hAnsi="Garamond" w:cs="Garamond"/>
        <w:b/>
        <w:spacing w:val="-3"/>
        <w:sz w:val="22"/>
        <w:szCs w:val="22"/>
      </w:rPr>
      <w:t xml:space="preserve"> </w:t>
    </w:r>
    <w:r>
      <w:rPr>
        <w:rFonts w:ascii="Garamond" w:hAnsi="Garamond" w:cs="Garamond"/>
        <w:b/>
        <w:spacing w:val="-3"/>
        <w:sz w:val="22"/>
        <w:szCs w:val="22"/>
      </w:rPr>
      <w:t>NÚMERO</w:t>
    </w:r>
    <w:r>
      <w:rPr>
        <w:rFonts w:ascii="Garamond" w:eastAsia="Garamond" w:hAnsi="Garamond" w:cs="Garamond"/>
        <w:b/>
        <w:spacing w:val="-3"/>
        <w:sz w:val="22"/>
        <w:szCs w:val="22"/>
      </w:rPr>
      <w:t xml:space="preserve">                         </w:t>
    </w:r>
    <w:r>
      <w:rPr>
        <w:rFonts w:ascii="Garamond" w:hAnsi="Garamond" w:cs="Garamond"/>
        <w:b/>
        <w:spacing w:val="-3"/>
        <w:sz w:val="22"/>
        <w:szCs w:val="22"/>
      </w:rPr>
      <w:t>DEL</w:t>
    </w:r>
    <w:r>
      <w:rPr>
        <w:rFonts w:ascii="Garamond" w:eastAsia="Garamond" w:hAnsi="Garamond" w:cs="Garamond"/>
        <w:b/>
        <w:spacing w:val="-3"/>
        <w:sz w:val="22"/>
        <w:szCs w:val="22"/>
      </w:rPr>
      <w:t xml:space="preserve"> </w:t>
    </w:r>
    <w:r w:rsidR="00012239">
      <w:rPr>
        <w:rFonts w:ascii="Garamond" w:eastAsia="Garamond" w:hAnsi="Garamond" w:cs="Garamond"/>
        <w:b/>
        <w:spacing w:val="-3"/>
        <w:sz w:val="22"/>
        <w:szCs w:val="22"/>
      </w:rPr>
      <w:t xml:space="preserve">           </w:t>
    </w:r>
    <w:r>
      <w:rPr>
        <w:rFonts w:ascii="Garamond" w:eastAsia="Garamond" w:hAnsi="Garamond" w:cs="Garamond"/>
        <w:b/>
        <w:spacing w:val="-3"/>
        <w:sz w:val="22"/>
        <w:szCs w:val="22"/>
      </w:rPr>
      <w:t xml:space="preserve">             </w:t>
    </w:r>
    <w:r>
      <w:rPr>
        <w:rFonts w:ascii="Garamond" w:hAnsi="Garamond" w:cs="Garamond"/>
        <w:b/>
        <w:spacing w:val="-3"/>
        <w:sz w:val="22"/>
        <w:szCs w:val="22"/>
      </w:rPr>
      <w:t>DE</w:t>
    </w:r>
    <w:r>
      <w:rPr>
        <w:rFonts w:ascii="Garamond" w:eastAsia="Garamond" w:hAnsi="Garamond" w:cs="Garamond"/>
        <w:b/>
        <w:spacing w:val="-3"/>
        <w:sz w:val="22"/>
        <w:szCs w:val="22"/>
      </w:rPr>
      <w:t xml:space="preserve"> </w:t>
    </w:r>
    <w:r w:rsidR="00012239">
      <w:rPr>
        <w:rFonts w:ascii="Garamond" w:eastAsia="Garamond" w:hAnsi="Garamond" w:cs="Garamond"/>
        <w:b/>
        <w:spacing w:val="-3"/>
        <w:sz w:val="22"/>
        <w:szCs w:val="22"/>
      </w:rPr>
      <w:t xml:space="preserve">          </w:t>
    </w:r>
    <w:r>
      <w:rPr>
        <w:rFonts w:ascii="Garamond" w:eastAsia="Garamond" w:hAnsi="Garamond" w:cs="Garamond"/>
        <w:b/>
        <w:spacing w:val="-3"/>
        <w:sz w:val="22"/>
        <w:szCs w:val="22"/>
      </w:rPr>
      <w:t xml:space="preserve">              </w:t>
    </w:r>
    <w:r>
      <w:rPr>
        <w:rFonts w:ascii="Garamond" w:hAnsi="Garamond" w:cs="Garamond"/>
        <w:b/>
        <w:spacing w:val="-3"/>
        <w:sz w:val="22"/>
        <w:szCs w:val="22"/>
      </w:rPr>
      <w:t>HOJA</w:t>
    </w:r>
    <w:r>
      <w:rPr>
        <w:rFonts w:ascii="Garamond" w:eastAsia="Garamond" w:hAnsi="Garamond" w:cs="Garamond"/>
        <w:b/>
        <w:spacing w:val="-3"/>
        <w:sz w:val="22"/>
        <w:szCs w:val="22"/>
      </w:rPr>
      <w:t xml:space="preserve"> </w:t>
    </w:r>
    <w:r>
      <w:rPr>
        <w:rFonts w:ascii="Garamond" w:hAnsi="Garamond" w:cs="Garamond"/>
        <w:b/>
        <w:spacing w:val="-3"/>
        <w:sz w:val="22"/>
        <w:szCs w:val="22"/>
      </w:rPr>
      <w:t>No.</w:t>
    </w:r>
    <w:r>
      <w:rPr>
        <w:rFonts w:ascii="Garamond" w:eastAsia="Garamond" w:hAnsi="Garamond" w:cs="Garamond"/>
        <w:b/>
        <w:spacing w:val="-3"/>
        <w:sz w:val="22"/>
        <w:szCs w:val="22"/>
      </w:rPr>
      <w:t xml:space="preserve"> </w:t>
    </w:r>
    <w:r w:rsidR="009761D8">
      <w:rPr>
        <w:rStyle w:val="Nmerodepgina"/>
        <w:rFonts w:ascii="Garamond" w:hAnsi="Garamond" w:cs="Garamond"/>
        <w:b/>
        <w:sz w:val="22"/>
        <w:szCs w:val="22"/>
      </w:rPr>
      <w:fldChar w:fldCharType="begin"/>
    </w:r>
    <w:r>
      <w:rPr>
        <w:rStyle w:val="Nmerodepgina"/>
        <w:rFonts w:ascii="Garamond" w:hAnsi="Garamond" w:cs="Garamond"/>
        <w:b/>
        <w:sz w:val="22"/>
        <w:szCs w:val="22"/>
      </w:rPr>
      <w:instrText xml:space="preserve"> PAGE </w:instrText>
    </w:r>
    <w:r w:rsidR="009761D8">
      <w:rPr>
        <w:rStyle w:val="Nmerodepgina"/>
        <w:rFonts w:ascii="Garamond" w:hAnsi="Garamond" w:cs="Garamond"/>
        <w:b/>
        <w:sz w:val="22"/>
        <w:szCs w:val="22"/>
      </w:rPr>
      <w:fldChar w:fldCharType="separate"/>
    </w:r>
    <w:r w:rsidR="00DF737E">
      <w:rPr>
        <w:rStyle w:val="Nmerodepgina"/>
        <w:rFonts w:ascii="Garamond" w:hAnsi="Garamond" w:cs="Garamond"/>
        <w:b/>
        <w:noProof/>
        <w:sz w:val="22"/>
        <w:szCs w:val="22"/>
      </w:rPr>
      <w:t>3</w:t>
    </w:r>
    <w:r w:rsidR="009761D8">
      <w:rPr>
        <w:rStyle w:val="Nmerodepgina"/>
        <w:rFonts w:ascii="Garamond" w:hAnsi="Garamond" w:cs="Garamond"/>
        <w:b/>
        <w:sz w:val="22"/>
        <w:szCs w:val="22"/>
      </w:rPr>
      <w:fldChar w:fldCharType="end"/>
    </w:r>
  </w:p>
  <w:p w:rsidR="00427619" w:rsidRDefault="00427619">
    <w:pPr>
      <w:pStyle w:val="Standard"/>
      <w:ind w:right="360"/>
      <w:jc w:val="both"/>
      <w:rPr>
        <w:rFonts w:ascii="Garamond" w:hAnsi="Garamond" w:cs="Garamond"/>
        <w:i/>
        <w:spacing w:val="-3"/>
        <w:sz w:val="22"/>
        <w:szCs w:val="22"/>
      </w:rPr>
    </w:pPr>
  </w:p>
  <w:p w:rsidR="00427619" w:rsidRDefault="00427619" w:rsidP="000E7CEE">
    <w:pPr>
      <w:widowControl/>
      <w:autoSpaceDE w:val="0"/>
      <w:jc w:val="center"/>
    </w:pPr>
    <w:r w:rsidRPr="00012239">
      <w:rPr>
        <w:rFonts w:ascii="Futura Bk BT" w:hAnsi="Futura Bk BT" w:cs="Times New Roman"/>
        <w:sz w:val="20"/>
        <w:szCs w:val="20"/>
      </w:rPr>
      <w:t>“</w:t>
    </w:r>
    <w:r w:rsidR="000E7CEE">
      <w:rPr>
        <w:rFonts w:ascii="Arial Narrow" w:hAnsi="Arial Narrow" w:cs="Arial"/>
        <w:i/>
      </w:rPr>
      <w:t xml:space="preserve">Mediante la cual se </w:t>
    </w:r>
    <w:r w:rsidR="000E7CEE" w:rsidRPr="00C553C4">
      <w:rPr>
        <w:rFonts w:ascii="Arial Narrow" w:hAnsi="Arial Narrow" w:cs="Arial"/>
        <w:i/>
      </w:rPr>
      <w:t>modifica</w:t>
    </w:r>
    <w:r w:rsidR="000E7CEE">
      <w:rPr>
        <w:rFonts w:ascii="Arial Narrow" w:hAnsi="Arial Narrow" w:cs="Arial"/>
        <w:i/>
      </w:rPr>
      <w:t xml:space="preserve"> parcial y temporalmente el Articulo 3 de</w:t>
    </w:r>
    <w:r w:rsidR="000E7CEE" w:rsidRPr="00C553C4">
      <w:rPr>
        <w:rFonts w:ascii="Arial Narrow" w:hAnsi="Arial Narrow" w:cs="Arial"/>
        <w:i/>
      </w:rPr>
      <w:t xml:space="preserve"> la Resolución 1130 de 2015</w:t>
    </w:r>
    <w:r w:rsidR="000E7CEE">
      <w:rPr>
        <w:rFonts w:ascii="Arial Narrow" w:hAnsi="Arial Narrow" w:cs="Arial"/>
        <w:i/>
      </w:rPr>
      <w:t xml:space="preserve">, exclusivamente respecto al esquema tarifario </w:t>
    </w:r>
    <w:r w:rsidR="000E7CEE" w:rsidRPr="00C553C4">
      <w:rPr>
        <w:rFonts w:ascii="Arial Narrow" w:hAnsi="Arial Narrow" w:cs="Arial"/>
        <w:i/>
      </w:rPr>
      <w:t>del Proyecto vial de Iniciativa Privada Malla Vial del Meta “I.P. Malla Vial del Meta” y se dictan otras disposiciones</w:t>
    </w:r>
    <w:r w:rsidRPr="00012239">
      <w:rPr>
        <w:rFonts w:ascii="Futura Bk BT" w:hAnsi="Futura Bk BT" w:cs="Times New Roman"/>
        <w:sz w:val="20"/>
        <w:szCs w:val="20"/>
      </w:rPr>
      <w:t>”</w:t>
    </w:r>
  </w:p>
  <w:p w:rsidR="001B2ABF" w:rsidRDefault="001B2AB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619" w:rsidRDefault="00A35A54">
    <w:pPr>
      <w:pStyle w:val="Encabezado"/>
    </w:pPr>
    <w:r>
      <w:rPr>
        <w:noProof/>
        <w:lang w:val="es-MX" w:eastAsia="es-MX" w:bidi="ar-SA"/>
      </w:rPr>
      <w:drawing>
        <wp:anchor distT="0" distB="0" distL="114300" distR="114300" simplePos="0" relativeHeight="251656192" behindDoc="0" locked="0" layoutInCell="1" allowOverlap="1" wp14:anchorId="4CCC982A" wp14:editId="5FF659E0">
          <wp:simplePos x="0" y="0"/>
          <wp:positionH relativeFrom="margin">
            <wp:posOffset>-89535</wp:posOffset>
          </wp:positionH>
          <wp:positionV relativeFrom="margin">
            <wp:posOffset>-1093470</wp:posOffset>
          </wp:positionV>
          <wp:extent cx="3653155" cy="992505"/>
          <wp:effectExtent l="0" t="0" r="0" b="0"/>
          <wp:wrapThrough wrapText="bothSides">
            <wp:wrapPolygon edited="0">
              <wp:start x="14080" y="1658"/>
              <wp:lineTo x="901" y="7048"/>
              <wp:lineTo x="451" y="7463"/>
              <wp:lineTo x="1464" y="9121"/>
              <wp:lineTo x="1126" y="10779"/>
              <wp:lineTo x="563" y="14925"/>
              <wp:lineTo x="563" y="16169"/>
              <wp:lineTo x="11602" y="17827"/>
              <wp:lineTo x="12841" y="18656"/>
              <wp:lineTo x="16558" y="18656"/>
              <wp:lineTo x="20950" y="17827"/>
              <wp:lineTo x="21288" y="16169"/>
              <wp:lineTo x="21401" y="7877"/>
              <wp:lineTo x="14530" y="1658"/>
              <wp:lineTo x="14080" y="1658"/>
            </wp:wrapPolygon>
          </wp:wrapThrough>
          <wp:docPr id="1" name="Imagen 6" descr="logo-y-lema-de-gobiern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grayscl/>
                  </a:blip>
                  <a:srcRect/>
                  <a:stretch>
                    <a:fillRect/>
                  </a:stretch>
                </pic:blipFill>
                <pic:spPr>
                  <a:xfrm>
                    <a:off x="0" y="0"/>
                    <a:ext cx="3653155" cy="992505"/>
                  </a:xfrm>
                  <a:prstGeom prst="rect">
                    <a:avLst/>
                  </a:prstGeom>
                  <a:noFill/>
                  <a:ln>
                    <a:noFill/>
                    <a:prstDash/>
                  </a:ln>
                </pic:spPr>
              </pic:pic>
            </a:graphicData>
          </a:graphic>
        </wp:anchor>
      </w:drawing>
    </w:r>
    <w:r>
      <w:rPr>
        <w:noProof/>
        <w:lang w:val="es-MX" w:eastAsia="es-MX" w:bidi="ar-SA"/>
      </w:rPr>
      <w:drawing>
        <wp:anchor distT="0" distB="0" distL="114300" distR="114300" simplePos="0" relativeHeight="251658240" behindDoc="0" locked="0" layoutInCell="1" allowOverlap="1" wp14:anchorId="08E2BF52" wp14:editId="7DD25133">
          <wp:simplePos x="0" y="0"/>
          <wp:positionH relativeFrom="column">
            <wp:posOffset>4158615</wp:posOffset>
          </wp:positionH>
          <wp:positionV relativeFrom="paragraph">
            <wp:posOffset>1270</wp:posOffset>
          </wp:positionV>
          <wp:extent cx="1238253" cy="552453"/>
          <wp:effectExtent l="0" t="0" r="0" b="0"/>
          <wp:wrapThrough wrapText="bothSides">
            <wp:wrapPolygon edited="0">
              <wp:start x="3323" y="0"/>
              <wp:lineTo x="1329" y="2979"/>
              <wp:lineTo x="332" y="7448"/>
              <wp:lineTo x="665" y="14152"/>
              <wp:lineTo x="4320" y="20110"/>
              <wp:lineTo x="5317" y="20855"/>
              <wp:lineTo x="16948" y="20855"/>
              <wp:lineTo x="17612" y="20110"/>
              <wp:lineTo x="20935" y="14152"/>
              <wp:lineTo x="21268" y="7448"/>
              <wp:lineTo x="19938" y="2234"/>
              <wp:lineTo x="18277" y="0"/>
              <wp:lineTo x="3323" y="0"/>
            </wp:wrapPolygon>
          </wp:wrapThrough>
          <wp:docPr id="2" name="Imagen 5" descr="C:\Users\Angieleyy85\AppData\Local\Microsoft\Windows\INetCache\Content.Word\Sello-certificacion-Cotecn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238253" cy="552453"/>
                  </a:xfrm>
                  <a:prstGeom prst="rect">
                    <a:avLst/>
                  </a:prstGeom>
                  <a:noFill/>
                  <a:ln>
                    <a:noFill/>
                    <a:prstDash/>
                  </a:ln>
                </pic:spPr>
              </pic:pic>
            </a:graphicData>
          </a:graphic>
        </wp:anchor>
      </w:drawing>
    </w:r>
  </w:p>
  <w:p w:rsidR="00427619" w:rsidRDefault="00427619">
    <w:pPr>
      <w:pStyle w:val="Encabezado"/>
    </w:pPr>
  </w:p>
  <w:p w:rsidR="00427619" w:rsidRDefault="00427619">
    <w:pPr>
      <w:pStyle w:val="Encabezado"/>
      <w:tabs>
        <w:tab w:val="clear" w:pos="4419"/>
        <w:tab w:val="clear" w:pos="8838"/>
        <w:tab w:val="left" w:pos="3695"/>
      </w:tabs>
    </w:pPr>
    <w:r>
      <w:rPr>
        <w:lang w:val="es-MX"/>
      </w:rPr>
      <w:tab/>
    </w:r>
  </w:p>
  <w:p w:rsidR="00427619" w:rsidRDefault="00427619">
    <w:pPr>
      <w:pStyle w:val="Encabezado"/>
      <w:tabs>
        <w:tab w:val="clear" w:pos="4419"/>
        <w:tab w:val="clear" w:pos="8838"/>
        <w:tab w:val="left" w:pos="7336"/>
      </w:tabs>
      <w:ind w:left="142"/>
    </w:pPr>
    <w:r>
      <w:rPr>
        <w:rFonts w:ascii="Futura Bk BT" w:hAnsi="Futura Bk BT" w:cs="Arial"/>
        <w:sz w:val="16"/>
        <w:szCs w:val="16"/>
      </w:rPr>
      <w:t>NIT.899.999.055-4</w:t>
    </w:r>
  </w:p>
  <w:p w:rsidR="00427619" w:rsidRDefault="00427619">
    <w:pPr>
      <w:pStyle w:val="Encabezado"/>
      <w:tabs>
        <w:tab w:val="left" w:pos="434"/>
        <w:tab w:val="center" w:pos="4252"/>
        <w:tab w:val="right" w:pos="8504"/>
      </w:tabs>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02A23"/>
    <w:multiLevelType w:val="multilevel"/>
    <w:tmpl w:val="96B048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F00827"/>
    <w:multiLevelType w:val="multilevel"/>
    <w:tmpl w:val="D6BA2B36"/>
    <w:styleLink w:val="WW8Num8"/>
    <w:lvl w:ilvl="0">
      <w:start w:val="1"/>
      <w:numFmt w:val="decimal"/>
      <w:lvlText w:val="%1."/>
      <w:lvlJc w:val="left"/>
      <w:rPr>
        <w:rFonts w:ascii="Arial" w:hAnsi="Arial" w:cs="Arial"/>
        <w:b w:val="0"/>
        <w:i w:val="0"/>
        <w:sz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095113CB"/>
    <w:multiLevelType w:val="multilevel"/>
    <w:tmpl w:val="069281A2"/>
    <w:styleLink w:val="WW8Num6"/>
    <w:lvl w:ilvl="0">
      <w:start w:val="1"/>
      <w:numFmt w:val="decimal"/>
      <w:pStyle w:val="titulotres"/>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17054102"/>
    <w:multiLevelType w:val="multilevel"/>
    <w:tmpl w:val="6BDA0C16"/>
    <w:styleLink w:val="WW8Num5"/>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1A40317C"/>
    <w:multiLevelType w:val="multilevel"/>
    <w:tmpl w:val="496E64CC"/>
    <w:styleLink w:val="WW8Num11"/>
    <w:lvl w:ilvl="0">
      <w:start w:val="1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1BF259DD"/>
    <w:multiLevelType w:val="multilevel"/>
    <w:tmpl w:val="983E166C"/>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15:restartNumberingAfterBreak="0">
    <w:nsid w:val="20B57168"/>
    <w:multiLevelType w:val="multilevel"/>
    <w:tmpl w:val="C3FE60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6222580"/>
    <w:multiLevelType w:val="hybridMultilevel"/>
    <w:tmpl w:val="A56C94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E85417"/>
    <w:multiLevelType w:val="multilevel"/>
    <w:tmpl w:val="82D47B24"/>
    <w:styleLink w:val="WW8Num1"/>
    <w:lvl w:ilvl="0">
      <w:start w:val="1"/>
      <w:numFmt w:val="decimal"/>
      <w:lvlText w:val="%1."/>
      <w:lvlJc w:val="left"/>
      <w:rPr>
        <w:rFonts w:ascii="Arial" w:hAnsi="Arial" w:cs="Arial"/>
        <w:spacing w:val="6"/>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2CD06195"/>
    <w:multiLevelType w:val="multilevel"/>
    <w:tmpl w:val="D6AC20A8"/>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2B46FF6"/>
    <w:multiLevelType w:val="multilevel"/>
    <w:tmpl w:val="0D90B3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8D90EDA"/>
    <w:multiLevelType w:val="multilevel"/>
    <w:tmpl w:val="D4740FCE"/>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3A3C443C"/>
    <w:multiLevelType w:val="hybridMultilevel"/>
    <w:tmpl w:val="B54A5DA0"/>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3" w15:restartNumberingAfterBreak="0">
    <w:nsid w:val="3A70198F"/>
    <w:multiLevelType w:val="hybridMultilevel"/>
    <w:tmpl w:val="4FF272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AC5676C"/>
    <w:multiLevelType w:val="multilevel"/>
    <w:tmpl w:val="E3E68E6E"/>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3D022387"/>
    <w:multiLevelType w:val="multilevel"/>
    <w:tmpl w:val="40F2D3FA"/>
    <w:styleLink w:val="WW8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3EBB46CC"/>
    <w:multiLevelType w:val="multilevel"/>
    <w:tmpl w:val="793ED3B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37B11B0"/>
    <w:multiLevelType w:val="multilevel"/>
    <w:tmpl w:val="9EFA4F52"/>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43F968F4"/>
    <w:multiLevelType w:val="multilevel"/>
    <w:tmpl w:val="40B02172"/>
    <w:styleLink w:val="WW8Num2"/>
    <w:lvl w:ilvl="0">
      <w:start w:val="1"/>
      <w:numFmt w:val="decimal"/>
      <w:lvlText w:val="%1."/>
      <w:lvlJc w:val="left"/>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48FD4701"/>
    <w:multiLevelType w:val="multilevel"/>
    <w:tmpl w:val="808E32E6"/>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4AB72383"/>
    <w:multiLevelType w:val="multilevel"/>
    <w:tmpl w:val="0A98D876"/>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4B2E5BF1"/>
    <w:multiLevelType w:val="multilevel"/>
    <w:tmpl w:val="108885B2"/>
    <w:styleLink w:val="WW8Num14"/>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4BF077D4"/>
    <w:multiLevelType w:val="multilevel"/>
    <w:tmpl w:val="ADA8AAB4"/>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4C31266C"/>
    <w:multiLevelType w:val="hybridMultilevel"/>
    <w:tmpl w:val="18CC93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0546B3F"/>
    <w:multiLevelType w:val="multilevel"/>
    <w:tmpl w:val="4C8E45A6"/>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5EE8397C"/>
    <w:multiLevelType w:val="multilevel"/>
    <w:tmpl w:val="250A515E"/>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654E3DD9"/>
    <w:multiLevelType w:val="multilevel"/>
    <w:tmpl w:val="EF4A8B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49F3F05"/>
    <w:multiLevelType w:val="multilevel"/>
    <w:tmpl w:val="D24AD6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783D1119"/>
    <w:multiLevelType w:val="multilevel"/>
    <w:tmpl w:val="56D22C2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8"/>
  </w:num>
  <w:num w:numId="3">
    <w:abstractNumId w:val="17"/>
  </w:num>
  <w:num w:numId="4">
    <w:abstractNumId w:val="19"/>
  </w:num>
  <w:num w:numId="5">
    <w:abstractNumId w:val="3"/>
  </w:num>
  <w:num w:numId="6">
    <w:abstractNumId w:val="2"/>
  </w:num>
  <w:num w:numId="7">
    <w:abstractNumId w:val="25"/>
  </w:num>
  <w:num w:numId="8">
    <w:abstractNumId w:val="1"/>
  </w:num>
  <w:num w:numId="9">
    <w:abstractNumId w:val="5"/>
  </w:num>
  <w:num w:numId="10">
    <w:abstractNumId w:val="22"/>
  </w:num>
  <w:num w:numId="11">
    <w:abstractNumId w:val="4"/>
  </w:num>
  <w:num w:numId="12">
    <w:abstractNumId w:val="14"/>
  </w:num>
  <w:num w:numId="13">
    <w:abstractNumId w:val="15"/>
  </w:num>
  <w:num w:numId="14">
    <w:abstractNumId w:val="21"/>
  </w:num>
  <w:num w:numId="15">
    <w:abstractNumId w:val="11"/>
  </w:num>
  <w:num w:numId="16">
    <w:abstractNumId w:val="20"/>
  </w:num>
  <w:num w:numId="17">
    <w:abstractNumId w:val="27"/>
  </w:num>
  <w:num w:numId="18">
    <w:abstractNumId w:val="24"/>
  </w:num>
  <w:num w:numId="19">
    <w:abstractNumId w:val="9"/>
  </w:num>
  <w:num w:numId="20">
    <w:abstractNumId w:val="28"/>
  </w:num>
  <w:num w:numId="21">
    <w:abstractNumId w:val="16"/>
  </w:num>
  <w:num w:numId="22">
    <w:abstractNumId w:val="10"/>
  </w:num>
  <w:num w:numId="23">
    <w:abstractNumId w:val="0"/>
  </w:num>
  <w:num w:numId="24">
    <w:abstractNumId w:val="6"/>
  </w:num>
  <w:num w:numId="25">
    <w:abstractNumId w:val="26"/>
  </w:num>
  <w:num w:numId="26">
    <w:abstractNumId w:val="13"/>
  </w:num>
  <w:num w:numId="27">
    <w:abstractNumId w:val="12"/>
  </w:num>
  <w:num w:numId="28">
    <w:abstractNumId w:val="7"/>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197"/>
    <w:rsid w:val="00012239"/>
    <w:rsid w:val="00063990"/>
    <w:rsid w:val="000A1FC4"/>
    <w:rsid w:val="000B2D0B"/>
    <w:rsid w:val="000C5B77"/>
    <w:rsid w:val="000D51ED"/>
    <w:rsid w:val="000E5F2B"/>
    <w:rsid w:val="000E7CEE"/>
    <w:rsid w:val="000F33E0"/>
    <w:rsid w:val="0010318F"/>
    <w:rsid w:val="00105142"/>
    <w:rsid w:val="0011356B"/>
    <w:rsid w:val="001166CE"/>
    <w:rsid w:val="001473EB"/>
    <w:rsid w:val="001A1705"/>
    <w:rsid w:val="001A4960"/>
    <w:rsid w:val="001B2ABF"/>
    <w:rsid w:val="002207D4"/>
    <w:rsid w:val="002377D7"/>
    <w:rsid w:val="00240394"/>
    <w:rsid w:val="002555B6"/>
    <w:rsid w:val="0026672F"/>
    <w:rsid w:val="00294D86"/>
    <w:rsid w:val="002B2CE5"/>
    <w:rsid w:val="002C1373"/>
    <w:rsid w:val="002D6D4A"/>
    <w:rsid w:val="003042B7"/>
    <w:rsid w:val="00305B64"/>
    <w:rsid w:val="00310619"/>
    <w:rsid w:val="0033598C"/>
    <w:rsid w:val="00347795"/>
    <w:rsid w:val="0035695A"/>
    <w:rsid w:val="003A4232"/>
    <w:rsid w:val="003D5FDF"/>
    <w:rsid w:val="00416446"/>
    <w:rsid w:val="00427619"/>
    <w:rsid w:val="00436F45"/>
    <w:rsid w:val="00440244"/>
    <w:rsid w:val="00442967"/>
    <w:rsid w:val="00463503"/>
    <w:rsid w:val="0048044F"/>
    <w:rsid w:val="00486965"/>
    <w:rsid w:val="00491492"/>
    <w:rsid w:val="004A2FAC"/>
    <w:rsid w:val="004B7C91"/>
    <w:rsid w:val="004E02A6"/>
    <w:rsid w:val="004F71A0"/>
    <w:rsid w:val="00514E97"/>
    <w:rsid w:val="00594947"/>
    <w:rsid w:val="005C3867"/>
    <w:rsid w:val="005D7270"/>
    <w:rsid w:val="005F65F8"/>
    <w:rsid w:val="006021CF"/>
    <w:rsid w:val="00605CD2"/>
    <w:rsid w:val="00606A6A"/>
    <w:rsid w:val="00607155"/>
    <w:rsid w:val="006130E7"/>
    <w:rsid w:val="00614ECE"/>
    <w:rsid w:val="0063502B"/>
    <w:rsid w:val="006354B2"/>
    <w:rsid w:val="00636E94"/>
    <w:rsid w:val="00687078"/>
    <w:rsid w:val="00687D95"/>
    <w:rsid w:val="00690B62"/>
    <w:rsid w:val="006D2D76"/>
    <w:rsid w:val="007214A3"/>
    <w:rsid w:val="0075322F"/>
    <w:rsid w:val="00764593"/>
    <w:rsid w:val="007912A7"/>
    <w:rsid w:val="007A0027"/>
    <w:rsid w:val="007A405A"/>
    <w:rsid w:val="007A4F41"/>
    <w:rsid w:val="007C4807"/>
    <w:rsid w:val="00801948"/>
    <w:rsid w:val="00821061"/>
    <w:rsid w:val="00822164"/>
    <w:rsid w:val="00841AD0"/>
    <w:rsid w:val="0084407E"/>
    <w:rsid w:val="008579C6"/>
    <w:rsid w:val="008767A3"/>
    <w:rsid w:val="00883583"/>
    <w:rsid w:val="008A5D4D"/>
    <w:rsid w:val="008B26F2"/>
    <w:rsid w:val="008E192F"/>
    <w:rsid w:val="008F4069"/>
    <w:rsid w:val="00931B46"/>
    <w:rsid w:val="00944191"/>
    <w:rsid w:val="009469ED"/>
    <w:rsid w:val="00973116"/>
    <w:rsid w:val="009761D8"/>
    <w:rsid w:val="009E2B9F"/>
    <w:rsid w:val="00A23FD3"/>
    <w:rsid w:val="00A35558"/>
    <w:rsid w:val="00A35A54"/>
    <w:rsid w:val="00A409B6"/>
    <w:rsid w:val="00A54593"/>
    <w:rsid w:val="00A571CE"/>
    <w:rsid w:val="00A77A78"/>
    <w:rsid w:val="00A85012"/>
    <w:rsid w:val="00AC1ADA"/>
    <w:rsid w:val="00AD6C9B"/>
    <w:rsid w:val="00AE7729"/>
    <w:rsid w:val="00AF72E9"/>
    <w:rsid w:val="00B32FF1"/>
    <w:rsid w:val="00B47944"/>
    <w:rsid w:val="00B744AF"/>
    <w:rsid w:val="00BC47FF"/>
    <w:rsid w:val="00BC7750"/>
    <w:rsid w:val="00C13DB2"/>
    <w:rsid w:val="00C23579"/>
    <w:rsid w:val="00C553C4"/>
    <w:rsid w:val="00C75A10"/>
    <w:rsid w:val="00C96E51"/>
    <w:rsid w:val="00CB6A35"/>
    <w:rsid w:val="00CC00DE"/>
    <w:rsid w:val="00CC75BE"/>
    <w:rsid w:val="00CE1FA0"/>
    <w:rsid w:val="00CE59BB"/>
    <w:rsid w:val="00D05197"/>
    <w:rsid w:val="00D325BA"/>
    <w:rsid w:val="00D40DE5"/>
    <w:rsid w:val="00D50FC7"/>
    <w:rsid w:val="00D75B49"/>
    <w:rsid w:val="00DC2F4C"/>
    <w:rsid w:val="00DC3FEC"/>
    <w:rsid w:val="00DF737E"/>
    <w:rsid w:val="00DF7477"/>
    <w:rsid w:val="00E31DE6"/>
    <w:rsid w:val="00E379EE"/>
    <w:rsid w:val="00E8359D"/>
    <w:rsid w:val="00EA4861"/>
    <w:rsid w:val="00EB0204"/>
    <w:rsid w:val="00EC46F4"/>
    <w:rsid w:val="00ED31FC"/>
    <w:rsid w:val="00ED4B0E"/>
    <w:rsid w:val="00F02E40"/>
    <w:rsid w:val="00F11718"/>
    <w:rsid w:val="00F575E4"/>
    <w:rsid w:val="00F70430"/>
    <w:rsid w:val="00F8181B"/>
    <w:rsid w:val="00F8708E"/>
    <w:rsid w:val="00F90915"/>
    <w:rsid w:val="00F96834"/>
    <w:rsid w:val="00F96882"/>
    <w:rsid w:val="00FB018C"/>
    <w:rsid w:val="00FC362F"/>
    <w:rsid w:val="00FE30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7C702F-7FFC-4DB5-95F9-C6AD5CB7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ejaVu Sans" w:hAnsi="Liberation Serif" w:cs="Lohit Devanagari"/>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Standard"/>
    <w:next w:val="Standard"/>
    <w:pPr>
      <w:keepNext/>
      <w:tabs>
        <w:tab w:val="left" w:pos="-720"/>
        <w:tab w:val="left" w:pos="4395"/>
      </w:tabs>
      <w:jc w:val="center"/>
      <w:outlineLvl w:val="0"/>
    </w:pPr>
    <w:rPr>
      <w:rFonts w:ascii="Arial" w:hAnsi="Arial" w:cs="Arial"/>
      <w:b/>
      <w:spacing w:val="-3"/>
      <w:sz w:val="28"/>
    </w:rPr>
  </w:style>
  <w:style w:type="paragraph" w:styleId="Ttulo2">
    <w:name w:val="heading 2"/>
    <w:basedOn w:val="Standard"/>
    <w:next w:val="Standard"/>
    <w:pPr>
      <w:keepNext/>
      <w:widowControl w:val="0"/>
      <w:jc w:val="center"/>
      <w:outlineLvl w:val="1"/>
    </w:pPr>
    <w:rPr>
      <w:rFonts w:ascii="Arial" w:hAnsi="Arial" w:cs="Arial"/>
      <w:b/>
    </w:rPr>
  </w:style>
  <w:style w:type="paragraph" w:styleId="Ttulo3">
    <w:name w:val="heading 3"/>
    <w:basedOn w:val="Standard"/>
    <w:next w:val="Standard"/>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pPr>
      <w:keepNext/>
      <w:outlineLvl w:val="4"/>
    </w:pPr>
    <w:rPr>
      <w:rFonts w:ascii="Arial" w:hAnsi="Arial" w:cs="Arial"/>
      <w:b/>
      <w:bCs/>
      <w:sz w:val="28"/>
    </w:rPr>
  </w:style>
  <w:style w:type="paragraph" w:styleId="Ttulo6">
    <w:name w:val="heading 6"/>
    <w:basedOn w:val="Standard"/>
    <w:next w:val="Standard"/>
    <w:pPr>
      <w:keepNext/>
      <w:tabs>
        <w:tab w:val="left" w:pos="-720"/>
      </w:tabs>
      <w:jc w:val="both"/>
      <w:outlineLvl w:val="5"/>
    </w:pPr>
    <w:rPr>
      <w:rFonts w:ascii="Arial" w:hAnsi="Arial" w:cs="Arial"/>
      <w:spacing w:val="-3"/>
      <w:sz w:val="28"/>
    </w:rPr>
  </w:style>
  <w:style w:type="paragraph" w:styleId="Ttulo7">
    <w:name w:val="heading 7"/>
    <w:basedOn w:val="Standard"/>
    <w:next w:val="Standard"/>
    <w:pPr>
      <w:keepNext/>
      <w:outlineLvl w:val="6"/>
    </w:pPr>
    <w:rPr>
      <w:rFonts w:ascii="Arial" w:hAnsi="Arial" w:cs="Arial"/>
    </w:rPr>
  </w:style>
  <w:style w:type="paragraph" w:styleId="Ttulo8">
    <w:name w:val="heading 8"/>
    <w:basedOn w:val="Standard"/>
    <w:next w:val="Standard"/>
    <w:pPr>
      <w:keepNext/>
      <w:tabs>
        <w:tab w:val="left" w:pos="-720"/>
      </w:tabs>
      <w:jc w:val="center"/>
      <w:outlineLvl w:val="7"/>
    </w:pPr>
    <w:rPr>
      <w:sz w:val="28"/>
    </w:rPr>
  </w:style>
  <w:style w:type="paragraph" w:styleId="Ttulo9">
    <w:name w:val="heading 9"/>
    <w:basedOn w:val="Standard"/>
    <w:next w:val="Standard"/>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
    <w:pPr>
      <w:tabs>
        <w:tab w:val="clear" w:pos="4395"/>
      </w:tabs>
      <w:suppressAutoHyphens w:val="0"/>
      <w:jc w:val="both"/>
    </w:pPr>
    <w:rPr>
      <w:bCs/>
      <w:spacing w:val="0"/>
      <w:sz w:val="24"/>
      <w:szCs w:val="24"/>
    </w:rPr>
  </w:style>
  <w:style w:type="paragraph" w:customStyle="1" w:styleId="Standard">
    <w:name w:val="Standard"/>
    <w:pPr>
      <w:widowControl/>
      <w:suppressAutoHyphens/>
    </w:pPr>
    <w:rPr>
      <w:rFonts w:ascii="Courier New" w:eastAsia="Times New Roman" w:hAnsi="Courier New" w:cs="Courier New"/>
      <w:szCs w:val="20"/>
      <w:lang w:bidi="ar-SA"/>
    </w:rPr>
  </w:style>
  <w:style w:type="paragraph" w:customStyle="1" w:styleId="Heading">
    <w:name w:val="Heading"/>
    <w:basedOn w:val="Standard"/>
    <w:next w:val="Textbody"/>
    <w:pPr>
      <w:spacing w:before="240" w:after="60"/>
      <w:jc w:val="center"/>
    </w:pPr>
    <w:rPr>
      <w:rFonts w:ascii="Arial" w:hAnsi="Arial" w:cs="Arial"/>
      <w:b/>
      <w:sz w:val="32"/>
    </w:rPr>
  </w:style>
  <w:style w:type="paragraph" w:customStyle="1" w:styleId="Textbody">
    <w:name w:val="Text body"/>
    <w:basedOn w:val="Standard"/>
    <w:pPr>
      <w:tabs>
        <w:tab w:val="left" w:pos="-720"/>
      </w:tabs>
      <w:jc w:val="both"/>
    </w:pPr>
    <w:rPr>
      <w:rFonts w:ascii="Arial" w:hAnsi="Arial" w:cs="Arial"/>
      <w:spacing w:val="-3"/>
      <w:sz w:val="28"/>
    </w:rPr>
  </w:style>
  <w:style w:type="paragraph" w:styleId="Lista">
    <w:name w:val="List"/>
    <w:basedOn w:val="Standard"/>
    <w:pPr>
      <w:ind w:left="283" w:hanging="283"/>
    </w:pPr>
    <w:rPr>
      <w:rFonts w:ascii="Times New Roman" w:hAnsi="Times New Roman" w:cs="Times New Roman"/>
      <w:lang w:val="es-CO"/>
    </w:rPr>
  </w:style>
  <w:style w:type="paragraph" w:styleId="Descripcin">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pPr>
      <w:tabs>
        <w:tab w:val="right" w:pos="4867"/>
      </w:tabs>
      <w:ind w:left="240" w:hanging="240"/>
    </w:pPr>
    <w:rPr>
      <w:rFonts w:ascii="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pPr>
      <w:spacing w:before="240" w:after="120"/>
      <w:jc w:val="center"/>
    </w:pPr>
    <w:rPr>
      <w:rFonts w:ascii="Times New Roman" w:hAnsi="Times New Roman" w:cs="Times New Roman"/>
      <w:b/>
      <w:sz w:val="26"/>
    </w:rPr>
  </w:style>
  <w:style w:type="paragraph" w:styleId="Encabezado">
    <w:name w:val="header"/>
    <w:basedOn w:val="Normal"/>
    <w:pPr>
      <w:tabs>
        <w:tab w:val="center" w:pos="4419"/>
        <w:tab w:val="right" w:pos="8838"/>
      </w:tabs>
    </w:pPr>
    <w:rPr>
      <w:rFonts w:cs="Mangal"/>
      <w:szCs w:val="21"/>
    </w:rPr>
  </w:style>
  <w:style w:type="paragraph" w:styleId="Piedepgina">
    <w:name w:val="footer"/>
    <w:basedOn w:val="Normal"/>
    <w:pPr>
      <w:tabs>
        <w:tab w:val="center" w:pos="4419"/>
        <w:tab w:val="right" w:pos="8838"/>
      </w:tabs>
    </w:pPr>
    <w:rPr>
      <w:rFonts w:cs="Mangal"/>
      <w:szCs w:val="21"/>
    </w:rPr>
  </w:style>
  <w:style w:type="paragraph" w:customStyle="1" w:styleId="Textbodyindent">
    <w:name w:val="Text body indent"/>
    <w:basedOn w:val="Standard"/>
    <w:pPr>
      <w:tabs>
        <w:tab w:val="left" w:pos="4383"/>
        <w:tab w:val="left" w:pos="10206"/>
      </w:tabs>
      <w:ind w:left="5103" w:hanging="5103"/>
      <w:jc w:val="both"/>
    </w:pPr>
    <w:rPr>
      <w:rFonts w:ascii="Arial" w:hAnsi="Arial" w:cs="Arial"/>
      <w:spacing w:val="-3"/>
      <w:sz w:val="28"/>
    </w:rPr>
  </w:style>
  <w:style w:type="paragraph" w:styleId="Textoindependiente2">
    <w:name w:val="Body Text 2"/>
    <w:basedOn w:val="Standard"/>
    <w:pPr>
      <w:tabs>
        <w:tab w:val="left" w:pos="-720"/>
      </w:tabs>
      <w:ind w:right="851"/>
      <w:jc w:val="both"/>
    </w:pPr>
    <w:rPr>
      <w:rFonts w:ascii="Arial" w:hAnsi="Arial" w:cs="Arial"/>
      <w:spacing w:val="-3"/>
      <w:sz w:val="28"/>
    </w:rPr>
  </w:style>
  <w:style w:type="paragraph" w:styleId="Textoindependiente3">
    <w:name w:val="Body Text 3"/>
    <w:basedOn w:val="Standard"/>
    <w:rPr>
      <w:rFonts w:ascii="Arial" w:hAnsi="Arial" w:cs="Arial"/>
      <w:sz w:val="28"/>
    </w:rPr>
  </w:style>
  <w:style w:type="paragraph" w:styleId="Textodebloque">
    <w:name w:val="Block Text"/>
    <w:basedOn w:val="Standard"/>
    <w:pPr>
      <w:ind w:left="851" w:right="851"/>
      <w:jc w:val="both"/>
    </w:pPr>
    <w:rPr>
      <w:rFonts w:ascii="Bookman Old Style" w:hAnsi="Bookman Old Style" w:cs="Bookman Old Style"/>
      <w:sz w:val="22"/>
    </w:rPr>
  </w:style>
  <w:style w:type="paragraph" w:customStyle="1" w:styleId="Documento1">
    <w:name w:val="Documento 1"/>
    <w:pPr>
      <w:keepNext/>
      <w:keepLines/>
      <w:widowControl/>
      <w:tabs>
        <w:tab w:val="left" w:pos="-720"/>
      </w:tabs>
      <w:suppressAutoHyphens/>
    </w:pPr>
    <w:rPr>
      <w:rFonts w:ascii="Courier" w:eastAsia="Times New Roman" w:hAnsi="Courier" w:cs="Courier"/>
      <w:szCs w:val="20"/>
      <w:lang w:val="en-US" w:bidi="ar-SA"/>
    </w:rPr>
  </w:style>
  <w:style w:type="paragraph" w:styleId="Textocomentario">
    <w:name w:val="annotation text"/>
    <w:basedOn w:val="Standard"/>
    <w:rPr>
      <w:rFonts w:ascii="Arial" w:hAnsi="Arial" w:cs="Arial"/>
      <w:sz w:val="20"/>
    </w:rPr>
  </w:style>
  <w:style w:type="paragraph" w:customStyle="1" w:styleId="TITULODOS">
    <w:name w:val="TITULO DOS"/>
    <w:basedOn w:val="Ttulo1"/>
    <w:pPr>
      <w:tabs>
        <w:tab w:val="clear" w:pos="4395"/>
        <w:tab w:val="left" w:pos="567"/>
      </w:tabs>
      <w:suppressAutoHyphens w:val="0"/>
      <w:jc w:val="both"/>
    </w:pPr>
    <w:rPr>
      <w:bCs/>
      <w:spacing w:val="0"/>
      <w:sz w:val="24"/>
      <w:szCs w:val="24"/>
    </w:rPr>
  </w:style>
  <w:style w:type="paragraph" w:customStyle="1" w:styleId="titulotres">
    <w:name w:val="titulo tres"/>
    <w:basedOn w:val="Ttulo1"/>
    <w:pPr>
      <w:widowControl w:val="0"/>
      <w:numPr>
        <w:numId w:val="6"/>
      </w:numPr>
      <w:tabs>
        <w:tab w:val="clear" w:pos="4395"/>
      </w:tabs>
      <w:suppressAutoHyphens w:val="0"/>
      <w:jc w:val="both"/>
    </w:pPr>
    <w:rPr>
      <w:rFonts w:eastAsia="DejaVu Sans"/>
      <w:bCs/>
      <w:spacing w:val="0"/>
      <w:sz w:val="24"/>
      <w:szCs w:val="22"/>
      <w:lang w:bidi="hi-IN"/>
    </w:rPr>
  </w:style>
  <w:style w:type="paragraph" w:customStyle="1" w:styleId="BodyText23">
    <w:name w:val="Body Text 23"/>
    <w:basedOn w:val="Standard"/>
    <w:pPr>
      <w:widowControl w:val="0"/>
      <w:jc w:val="both"/>
    </w:pPr>
    <w:rPr>
      <w:rFonts w:ascii="Arial" w:hAnsi="Arial" w:cs="Arial"/>
      <w:b/>
    </w:rPr>
  </w:style>
  <w:style w:type="paragraph" w:customStyle="1" w:styleId="Car">
    <w:name w:val="Car"/>
    <w:basedOn w:val="Standard"/>
    <w:pPr>
      <w:spacing w:after="160" w:line="240" w:lineRule="exact"/>
    </w:pPr>
    <w:rPr>
      <w:rFonts w:ascii="Tahoma" w:hAnsi="Tahoma" w:cs="Tahoma"/>
      <w:sz w:val="20"/>
      <w:lang w:val="en-US"/>
    </w:rPr>
  </w:style>
  <w:style w:type="paragraph" w:styleId="NormalWeb">
    <w:name w:val="Normal (Web)"/>
    <w:basedOn w:val="Standard"/>
    <w:pPr>
      <w:spacing w:before="100" w:after="100"/>
    </w:pPr>
    <w:rPr>
      <w:rFonts w:ascii="Times New Roman" w:hAnsi="Times New Roman" w:cs="Times New Roman"/>
      <w:szCs w:val="24"/>
      <w:lang w:val="es-CO"/>
    </w:rPr>
  </w:style>
  <w:style w:type="paragraph" w:styleId="Sinespaciado">
    <w:name w:val="No Spacing"/>
    <w:pPr>
      <w:widowControl/>
      <w:suppressAutoHyphens/>
    </w:pPr>
    <w:rPr>
      <w:rFonts w:ascii="Courier New" w:eastAsia="Times New Roman" w:hAnsi="Courier New" w:cs="Courier New"/>
      <w:szCs w:val="20"/>
      <w:lang w:bidi="ar-SA"/>
    </w:rPr>
  </w:style>
  <w:style w:type="paragraph" w:customStyle="1" w:styleId="WW-Default">
    <w:name w:val="WW-Default"/>
    <w:pPr>
      <w:widowControl/>
      <w:suppressAutoHyphens/>
      <w:autoSpaceDE w:val="0"/>
    </w:pPr>
    <w:rPr>
      <w:rFonts w:ascii="Verdana" w:eastAsia="Times New Roman" w:hAnsi="Verdana" w:cs="Verdana"/>
      <w:color w:val="000000"/>
      <w:lang w:bidi="ar-SA"/>
    </w:rPr>
  </w:style>
  <w:style w:type="paragraph" w:styleId="Prrafodelista">
    <w:name w:val="List Paragraph"/>
    <w:aliases w:val="HOJA,Colorful List Accent 1,Colorful List - Accent 11,Guión,BOLA,Estilo 3,Titulo 8,ViÃ±eta 2,Pбrrafo de lista,Lista vistosa - Énfasis 11,parrafo,Bolita,Viñeta 2,Párrafo de lista3,Párrafo de lista21,Lista HD"/>
    <w:basedOn w:val="Standard"/>
    <w:uiPriority w:val="34"/>
    <w:qFormat/>
    <w:pPr>
      <w:ind w:left="708"/>
    </w:pPr>
  </w:style>
  <w:style w:type="paragraph" w:customStyle="1" w:styleId="Style1">
    <w:name w:val="Style 1"/>
    <w:pPr>
      <w:suppressAutoHyphens/>
      <w:autoSpaceDE w:val="0"/>
    </w:pPr>
    <w:rPr>
      <w:rFonts w:ascii="Times New Roman" w:eastAsia="Times New Roman" w:hAnsi="Times New Roman" w:cs="Times New Roman"/>
      <w:sz w:val="20"/>
      <w:szCs w:val="20"/>
      <w:lang w:val="en-US" w:bidi="ar-SA"/>
    </w:rPr>
  </w:style>
  <w:style w:type="paragraph" w:customStyle="1" w:styleId="Style2">
    <w:name w:val="Style 2"/>
    <w:pPr>
      <w:suppressAutoHyphens/>
      <w:autoSpaceDE w:val="0"/>
      <w:spacing w:before="144" w:line="312" w:lineRule="auto"/>
    </w:pPr>
    <w:rPr>
      <w:rFonts w:ascii="Bookman Old Style" w:eastAsia="Times New Roman" w:hAnsi="Bookman Old Style" w:cs="Bookman Old Style"/>
      <w:sz w:val="22"/>
      <w:szCs w:val="22"/>
      <w:lang w:val="en-US" w:bidi="ar-SA"/>
    </w:rPr>
  </w:style>
  <w:style w:type="paragraph" w:customStyle="1" w:styleId="Style3">
    <w:name w:val="Style 3"/>
    <w:pPr>
      <w:suppressAutoHyphens/>
      <w:autoSpaceDE w:val="0"/>
      <w:ind w:left="360"/>
    </w:pPr>
    <w:rPr>
      <w:rFonts w:ascii="Times New Roman" w:eastAsia="Times New Roman" w:hAnsi="Times New Roman" w:cs="Times New Roman"/>
      <w:sz w:val="26"/>
      <w:szCs w:val="26"/>
      <w:lang w:val="en-US" w:bidi="ar-SA"/>
    </w:rPr>
  </w:style>
  <w:style w:type="paragraph" w:customStyle="1" w:styleId="Style7">
    <w:name w:val="Style 7"/>
    <w:pPr>
      <w:suppressAutoHyphens/>
      <w:autoSpaceDE w:val="0"/>
    </w:pPr>
    <w:rPr>
      <w:rFonts w:ascii="Times New Roman" w:eastAsia="Times New Roman" w:hAnsi="Times New Roman" w:cs="Times New Roman"/>
      <w:sz w:val="20"/>
      <w:szCs w:val="20"/>
      <w:lang w:val="en-US" w:bidi="ar-SA"/>
    </w:rPr>
  </w:style>
  <w:style w:type="paragraph" w:customStyle="1" w:styleId="Style8">
    <w:name w:val="Style 8"/>
    <w:pPr>
      <w:suppressAutoHyphens/>
      <w:autoSpaceDE w:val="0"/>
      <w:ind w:left="936" w:hanging="504"/>
    </w:pPr>
    <w:rPr>
      <w:rFonts w:ascii="Arial" w:eastAsia="Times New Roman" w:hAnsi="Arial" w:cs="Arial"/>
      <w:lang w:val="en-US" w:bidi="ar-SA"/>
    </w:rPr>
  </w:style>
  <w:style w:type="paragraph" w:customStyle="1" w:styleId="Style6">
    <w:name w:val="Style 6"/>
    <w:pPr>
      <w:suppressAutoHyphens/>
      <w:autoSpaceDE w:val="0"/>
      <w:spacing w:line="204" w:lineRule="auto"/>
      <w:ind w:left="288"/>
    </w:pPr>
    <w:rPr>
      <w:rFonts w:ascii="Arial" w:eastAsia="Times New Roman" w:hAnsi="Arial" w:cs="Arial"/>
      <w:lang w:val="en-US" w:bidi="ar-SA"/>
    </w:rPr>
  </w:style>
  <w:style w:type="character" w:customStyle="1" w:styleId="WW8Num1z0">
    <w:name w:val="WW8Num1z0"/>
    <w:rPr>
      <w:rFonts w:ascii="Arial" w:hAnsi="Arial" w:cs="Arial"/>
      <w:spacing w:val="6"/>
      <w:sz w:val="22"/>
      <w:szCs w:val="22"/>
    </w:rPr>
  </w:style>
  <w:style w:type="character" w:customStyle="1" w:styleId="WW8Num2z0">
    <w:name w:val="WW8Num2z0"/>
    <w:rPr>
      <w:rFonts w:ascii="Arial" w:hAnsi="Arial" w:cs="Arial"/>
      <w:sz w:val="24"/>
      <w:szCs w:val="24"/>
    </w:rPr>
  </w:style>
  <w:style w:type="character" w:customStyle="1" w:styleId="WW8Num5z0">
    <w:name w:val="WW8Num5z0"/>
    <w:rPr>
      <w:b w:val="0"/>
    </w:rPr>
  </w:style>
  <w:style w:type="character" w:customStyle="1" w:styleId="WW8Num8z0">
    <w:name w:val="WW8Num8z0"/>
    <w:rPr>
      <w:rFonts w:ascii="Arial" w:hAnsi="Arial" w:cs="Arial"/>
      <w:b w:val="0"/>
      <w:i w:val="0"/>
      <w:sz w:val="22"/>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4z0">
    <w:name w:val="WW8Num14z0"/>
    <w:rPr>
      <w:b w:val="0"/>
    </w:rPr>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basedOn w:val="Fuentedeprrafopredeter"/>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CharacterStyle1">
    <w:name w:val="Character Style 1"/>
    <w:rPr>
      <w:rFonts w:ascii="Bookman Old Style" w:hAnsi="Bookman Old Style" w:cs="Bookman Old Style"/>
      <w:sz w:val="22"/>
    </w:rPr>
  </w:style>
  <w:style w:type="character" w:customStyle="1" w:styleId="CharacterStyle2">
    <w:name w:val="Character Style 2"/>
    <w:rPr>
      <w:sz w:val="26"/>
    </w:rPr>
  </w:style>
  <w:style w:type="character" w:customStyle="1" w:styleId="EncabezadoCar">
    <w:name w:val="Encabezado Car"/>
    <w:basedOn w:val="Fuentedeprrafopredeter"/>
    <w:rPr>
      <w:rFonts w:cs="Mangal"/>
      <w:szCs w:val="21"/>
    </w:rPr>
  </w:style>
  <w:style w:type="character" w:customStyle="1" w:styleId="PiedepginaCar">
    <w:name w:val="Pie de página Car"/>
    <w:basedOn w:val="Fuentedeprrafopredeter"/>
    <w:rPr>
      <w:rFonts w:cs="Mangal"/>
      <w:szCs w:val="21"/>
    </w:rPr>
  </w:style>
  <w:style w:type="paragraph" w:customStyle="1" w:styleId="Normal1">
    <w:name w:val="Normal 1"/>
    <w:basedOn w:val="Sangranormal"/>
    <w:pPr>
      <w:widowControl/>
      <w:tabs>
        <w:tab w:val="left" w:pos="2880"/>
      </w:tabs>
      <w:suppressAutoHyphens w:val="0"/>
      <w:ind w:left="2880" w:hanging="360"/>
      <w:jc w:val="both"/>
      <w:textAlignment w:val="auto"/>
    </w:pPr>
    <w:rPr>
      <w:rFonts w:ascii="Times New Roman" w:eastAsia="MS Mincho" w:hAnsi="Times New Roman" w:cs="Times New Roman"/>
      <w:kern w:val="0"/>
      <w:szCs w:val="24"/>
      <w:lang w:val="es" w:eastAsia="es-ES" w:bidi="ar-SA"/>
    </w:rPr>
  </w:style>
  <w:style w:type="paragraph" w:styleId="Sangranormal">
    <w:name w:val="Normal Indent"/>
    <w:basedOn w:val="Normal"/>
    <w:pPr>
      <w:ind w:left="708"/>
    </w:pPr>
    <w:rPr>
      <w:rFonts w:cs="Mangal"/>
      <w:szCs w:val="21"/>
    </w:rPr>
  </w:style>
  <w:style w:type="paragraph" w:styleId="Textodeglobo">
    <w:name w:val="Balloon Text"/>
    <w:basedOn w:val="Normal"/>
    <w:rPr>
      <w:rFonts w:ascii="Segoe UI" w:hAnsi="Segoe UI" w:cs="Mangal"/>
      <w:sz w:val="18"/>
      <w:szCs w:val="16"/>
    </w:rPr>
  </w:style>
  <w:style w:type="character" w:customStyle="1" w:styleId="TextodegloboCar">
    <w:name w:val="Texto de globo Car"/>
    <w:basedOn w:val="Fuentedeprrafopredeter"/>
    <w:rPr>
      <w:rFonts w:ascii="Segoe UI" w:hAnsi="Segoe UI" w:cs="Mangal"/>
      <w:sz w:val="18"/>
      <w:szCs w:val="16"/>
    </w:rPr>
  </w:style>
  <w:style w:type="character" w:customStyle="1" w:styleId="PrrafodelistaCar">
    <w:name w:val="Párrafo de lista Car"/>
    <w:rPr>
      <w:rFonts w:ascii="Courier New" w:eastAsia="Times New Roman" w:hAnsi="Courier New" w:cs="Courier New"/>
      <w:szCs w:val="20"/>
      <w:lang w:bidi="ar-SA"/>
    </w:rPr>
  </w:style>
  <w:style w:type="character" w:styleId="Refdecomentario">
    <w:name w:val="annotation reference"/>
    <w:basedOn w:val="Fuentedeprrafopredeter"/>
    <w:rPr>
      <w:sz w:val="16"/>
      <w:szCs w:val="16"/>
    </w:rPr>
  </w:style>
  <w:style w:type="paragraph" w:styleId="Asuntodelcomentario">
    <w:name w:val="annotation subject"/>
    <w:basedOn w:val="Textocomentario"/>
    <w:next w:val="Textocomentario"/>
    <w:pPr>
      <w:widowControl w:val="0"/>
    </w:pPr>
    <w:rPr>
      <w:rFonts w:ascii="Liberation Serif" w:eastAsia="DejaVu Sans" w:hAnsi="Liberation Serif" w:cs="Mangal"/>
      <w:b/>
      <w:bCs/>
      <w:szCs w:val="18"/>
      <w:lang w:bidi="hi-IN"/>
    </w:rPr>
  </w:style>
  <w:style w:type="character" w:customStyle="1" w:styleId="StandardCar">
    <w:name w:val="Standard Car"/>
    <w:basedOn w:val="Fuentedeprrafopredeter"/>
    <w:rPr>
      <w:rFonts w:ascii="Courier New" w:eastAsia="Times New Roman" w:hAnsi="Courier New" w:cs="Courier New"/>
      <w:szCs w:val="20"/>
      <w:lang w:bidi="ar-SA"/>
    </w:rPr>
  </w:style>
  <w:style w:type="character" w:customStyle="1" w:styleId="TextocomentarioCar">
    <w:name w:val="Texto comentario Car"/>
    <w:basedOn w:val="StandardCar"/>
    <w:rPr>
      <w:rFonts w:ascii="Arial" w:eastAsia="Times New Roman" w:hAnsi="Arial" w:cs="Arial"/>
      <w:sz w:val="20"/>
      <w:szCs w:val="20"/>
      <w:lang w:bidi="ar-SA"/>
    </w:rPr>
  </w:style>
  <w:style w:type="character" w:customStyle="1" w:styleId="AsuntodelcomentarioCar">
    <w:name w:val="Asunto del comentario Car"/>
    <w:basedOn w:val="TextocomentarioCar"/>
    <w:rPr>
      <w:rFonts w:ascii="Arial" w:eastAsia="Times New Roman" w:hAnsi="Arial" w:cs="Mangal"/>
      <w:b/>
      <w:bCs/>
      <w:sz w:val="20"/>
      <w:szCs w:val="18"/>
      <w:lang w:bidi="ar-SA"/>
    </w:rPr>
  </w:style>
  <w:style w:type="paragraph" w:styleId="Revisin">
    <w:name w:val="Revision"/>
    <w:pPr>
      <w:widowControl/>
      <w:textAlignment w:val="auto"/>
    </w:pPr>
    <w:rPr>
      <w:rFonts w:cs="Mangal"/>
      <w:szCs w:val="21"/>
    </w:rPr>
  </w:style>
  <w:style w:type="paragraph" w:customStyle="1" w:styleId="Default">
    <w:name w:val="Default"/>
    <w:pPr>
      <w:widowControl/>
      <w:autoSpaceDE w:val="0"/>
      <w:textAlignment w:val="auto"/>
    </w:pPr>
    <w:rPr>
      <w:rFonts w:ascii="Verdana" w:eastAsia="Times New Roman" w:hAnsi="Verdana" w:cs="Verdana"/>
      <w:color w:val="000000"/>
      <w:kern w:val="0"/>
      <w:lang w:eastAsia="es-ES" w:bidi="ar-SA"/>
    </w:rPr>
  </w:style>
  <w:style w:type="paragraph" w:styleId="Textoindependiente">
    <w:name w:val="Body Text"/>
    <w:basedOn w:val="Normal"/>
    <w:pPr>
      <w:spacing w:after="120"/>
    </w:pPr>
    <w:rPr>
      <w:rFonts w:cs="Mangal"/>
      <w:szCs w:val="21"/>
    </w:rPr>
  </w:style>
  <w:style w:type="character" w:customStyle="1" w:styleId="TextoindependienteCar">
    <w:name w:val="Texto independiente Car"/>
    <w:basedOn w:val="Fuentedeprrafopredeter"/>
    <w:rPr>
      <w:rFonts w:cs="Mangal"/>
      <w:szCs w:val="21"/>
    </w:rPr>
  </w:style>
  <w:style w:type="character" w:customStyle="1" w:styleId="Ttulo2Car">
    <w:name w:val="Título 2 Car"/>
    <w:basedOn w:val="Fuentedeprrafopredeter"/>
    <w:rPr>
      <w:rFonts w:ascii="Arial" w:eastAsia="Times New Roman" w:hAnsi="Arial" w:cs="Arial"/>
      <w:b/>
      <w:szCs w:val="20"/>
      <w:lang w:bidi="ar-SA"/>
    </w:rPr>
  </w:style>
  <w:style w:type="paragraph" w:styleId="Textonotaalfinal">
    <w:name w:val="endnote text"/>
    <w:basedOn w:val="Normal"/>
    <w:pPr>
      <w:widowControl/>
      <w:suppressAutoHyphens w:val="0"/>
      <w:textAlignment w:val="auto"/>
    </w:pPr>
    <w:rPr>
      <w:rFonts w:ascii="Courier New" w:eastAsia="Times New Roman" w:hAnsi="Courier New" w:cs="Times New Roman"/>
      <w:kern w:val="0"/>
      <w:sz w:val="20"/>
      <w:szCs w:val="20"/>
      <w:lang w:val="es" w:eastAsia="es-ES" w:bidi="ar-SA"/>
    </w:rPr>
  </w:style>
  <w:style w:type="character" w:customStyle="1" w:styleId="TextonotaalfinalCar">
    <w:name w:val="Texto nota al final Car"/>
    <w:basedOn w:val="Fuentedeprrafopredeter"/>
    <w:rPr>
      <w:rFonts w:ascii="Courier New" w:eastAsia="Times New Roman" w:hAnsi="Courier New" w:cs="Times New Roman"/>
      <w:kern w:val="0"/>
      <w:sz w:val="20"/>
      <w:szCs w:val="20"/>
      <w:lang w:val="es" w:eastAsia="es-ES" w:bidi="ar-SA"/>
    </w:rPr>
  </w:style>
  <w:style w:type="character" w:styleId="Refdenotaalfinal">
    <w:name w:val="endnote reference"/>
    <w:basedOn w:val="Fuentedeprrafopredeter"/>
    <w:rPr>
      <w:position w:val="0"/>
      <w:vertAlign w:val="superscript"/>
    </w:rPr>
  </w:style>
  <w:style w:type="paragraph" w:styleId="Textonotapie">
    <w:name w:val="footnote text"/>
    <w:basedOn w:val="Normal"/>
    <w:pPr>
      <w:widowControl/>
      <w:suppressAutoHyphens w:val="0"/>
      <w:textAlignment w:val="auto"/>
    </w:pPr>
    <w:rPr>
      <w:rFonts w:ascii="Courier New" w:eastAsia="Times New Roman" w:hAnsi="Courier New" w:cs="Times New Roman"/>
      <w:kern w:val="0"/>
      <w:sz w:val="20"/>
      <w:szCs w:val="20"/>
      <w:lang w:val="es" w:eastAsia="es-ES" w:bidi="ar-SA"/>
    </w:rPr>
  </w:style>
  <w:style w:type="character" w:customStyle="1" w:styleId="TextonotapieCar">
    <w:name w:val="Texto nota pie Car"/>
    <w:basedOn w:val="Fuentedeprrafopredeter"/>
    <w:rPr>
      <w:rFonts w:ascii="Courier New" w:eastAsia="Times New Roman" w:hAnsi="Courier New" w:cs="Times New Roman"/>
      <w:kern w:val="0"/>
      <w:sz w:val="20"/>
      <w:szCs w:val="20"/>
      <w:lang w:val="es" w:eastAsia="es-ES" w:bidi="ar-SA"/>
    </w:rPr>
  </w:style>
  <w:style w:type="character" w:styleId="Refdenotaalpie">
    <w:name w:val="footnote reference"/>
    <w:basedOn w:val="Fuentedeprrafopredeter"/>
    <w:rPr>
      <w:position w:val="0"/>
      <w:vertAlign w:val="superscript"/>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numbering" w:customStyle="1" w:styleId="WW8Num5">
    <w:name w:val="WW8Num5"/>
    <w:basedOn w:val="Sinlista"/>
    <w:pPr>
      <w:numPr>
        <w:numId w:val="5"/>
      </w:numPr>
    </w:pPr>
  </w:style>
  <w:style w:type="numbering" w:customStyle="1" w:styleId="WW8Num6">
    <w:name w:val="WW8Num6"/>
    <w:basedOn w:val="Sinlista"/>
    <w:pPr>
      <w:numPr>
        <w:numId w:val="6"/>
      </w:numPr>
    </w:pPr>
  </w:style>
  <w:style w:type="numbering" w:customStyle="1" w:styleId="WW8Num7">
    <w:name w:val="WW8Num7"/>
    <w:basedOn w:val="Sinlista"/>
    <w:pPr>
      <w:numPr>
        <w:numId w:val="7"/>
      </w:numPr>
    </w:pPr>
  </w:style>
  <w:style w:type="numbering" w:customStyle="1" w:styleId="WW8Num8">
    <w:name w:val="WW8Num8"/>
    <w:basedOn w:val="Sinlista"/>
    <w:pPr>
      <w:numPr>
        <w:numId w:val="8"/>
      </w:numPr>
    </w:pPr>
  </w:style>
  <w:style w:type="numbering" w:customStyle="1" w:styleId="WW8Num9">
    <w:name w:val="WW8Num9"/>
    <w:basedOn w:val="Sinlista"/>
    <w:pPr>
      <w:numPr>
        <w:numId w:val="9"/>
      </w:numPr>
    </w:pPr>
  </w:style>
  <w:style w:type="numbering" w:customStyle="1" w:styleId="WW8Num10">
    <w:name w:val="WW8Num10"/>
    <w:basedOn w:val="Sinlista"/>
    <w:pPr>
      <w:numPr>
        <w:numId w:val="10"/>
      </w:numPr>
    </w:pPr>
  </w:style>
  <w:style w:type="numbering" w:customStyle="1" w:styleId="WW8Num11">
    <w:name w:val="WW8Num11"/>
    <w:basedOn w:val="Sinlista"/>
    <w:pPr>
      <w:numPr>
        <w:numId w:val="11"/>
      </w:numPr>
    </w:pPr>
  </w:style>
  <w:style w:type="numbering" w:customStyle="1" w:styleId="WW8Num12">
    <w:name w:val="WW8Num12"/>
    <w:basedOn w:val="Sinlista"/>
    <w:pPr>
      <w:numPr>
        <w:numId w:val="12"/>
      </w:numPr>
    </w:pPr>
  </w:style>
  <w:style w:type="numbering" w:customStyle="1" w:styleId="WW8Num13">
    <w:name w:val="WW8Num13"/>
    <w:basedOn w:val="Sinlista"/>
    <w:pPr>
      <w:numPr>
        <w:numId w:val="13"/>
      </w:numPr>
    </w:pPr>
  </w:style>
  <w:style w:type="numbering" w:customStyle="1" w:styleId="WW8Num14">
    <w:name w:val="WW8Num14"/>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7">
    <w:name w:val="WW8Num17"/>
    <w:basedOn w:val="Sinlista"/>
    <w:pPr>
      <w:numPr>
        <w:numId w:val="17"/>
      </w:numPr>
    </w:pPr>
  </w:style>
  <w:style w:type="numbering" w:customStyle="1" w:styleId="WW8Num18">
    <w:name w:val="WW8Num18"/>
    <w:basedOn w:val="Sinlista"/>
    <w:pPr>
      <w:numPr>
        <w:numId w:val="18"/>
      </w:numPr>
    </w:pPr>
  </w:style>
  <w:style w:type="numbering" w:customStyle="1" w:styleId="WW8Num19">
    <w:name w:val="WW8Num19"/>
    <w:basedOn w:val="Sinlista"/>
    <w:pPr>
      <w:numPr>
        <w:numId w:val="19"/>
      </w:numPr>
    </w:pPr>
  </w:style>
  <w:style w:type="paragraph" w:customStyle="1" w:styleId="Estilo">
    <w:name w:val="Estilo"/>
    <w:rsid w:val="007C4807"/>
    <w:pPr>
      <w:autoSpaceDE w:val="0"/>
      <w:adjustRightInd w:val="0"/>
      <w:textAlignment w:val="auto"/>
    </w:pPr>
    <w:rPr>
      <w:rFonts w:ascii="Arial" w:eastAsia="Times New Roman" w:hAnsi="Arial" w:cs="Arial"/>
      <w:kern w:val="0"/>
      <w:lang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792596">
      <w:bodyDiv w:val="1"/>
      <w:marLeft w:val="0"/>
      <w:marRight w:val="0"/>
      <w:marTop w:val="0"/>
      <w:marBottom w:val="0"/>
      <w:divBdr>
        <w:top w:val="none" w:sz="0" w:space="0" w:color="auto"/>
        <w:left w:val="none" w:sz="0" w:space="0" w:color="auto"/>
        <w:bottom w:val="none" w:sz="0" w:space="0" w:color="auto"/>
        <w:right w:val="none" w:sz="0" w:space="0" w:color="auto"/>
      </w:divBdr>
    </w:div>
    <w:div w:id="1389375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9D780-51A6-48E5-9BF4-5245EE1D1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2227</Words>
  <Characters>12254</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SERVI001</vt:lpstr>
    </vt:vector>
  </TitlesOfParts>
  <Company/>
  <LinksUpToDate>false</LinksUpToDate>
  <CharactersWithSpaces>14453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subject/>
  <dc:creator>Ministerio de Transporte</dc:creator>
  <cp:keywords/>
  <dc:description/>
  <cp:lastModifiedBy>Sandra Rocio Silva Gonzalez</cp:lastModifiedBy>
  <cp:revision>2</cp:revision>
  <cp:lastPrinted>2015-04-24T14:49:00Z</cp:lastPrinted>
  <dcterms:created xsi:type="dcterms:W3CDTF">2017-02-10T14:11:00Z</dcterms:created>
  <dcterms:modified xsi:type="dcterms:W3CDTF">2017-02-10T14:11:00Z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