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51740" w14:textId="77777777" w:rsidR="00E66C34" w:rsidRDefault="00955E32">
      <w:pPr>
        <w:tabs>
          <w:tab w:val="left" w:pos="4845"/>
        </w:tabs>
        <w:ind w:left="-142" w:right="-86"/>
      </w:pPr>
      <w:r>
        <w:rPr>
          <w:rFonts w:ascii="Work Sans" w:hAnsi="Work Sans"/>
          <w:sz w:val="20"/>
          <w:szCs w:val="20"/>
        </w:rPr>
        <w:tab/>
      </w:r>
    </w:p>
    <w:p w14:paraId="6C69C498" w14:textId="77777777" w:rsidR="00E66C34" w:rsidRDefault="00955E32">
      <w:pPr>
        <w:jc w:val="center"/>
        <w:rPr>
          <w:rFonts w:ascii="Work Sans" w:hAnsi="Work Sans" w:cs="Times New Roman"/>
          <w:b/>
          <w:sz w:val="20"/>
          <w:szCs w:val="20"/>
          <w:lang w:eastAsia="es-ES"/>
        </w:rPr>
      </w:pPr>
      <w:r>
        <w:rPr>
          <w:rFonts w:ascii="Work Sans" w:hAnsi="Work Sans" w:cs="Times New Roman"/>
          <w:b/>
          <w:sz w:val="20"/>
          <w:szCs w:val="20"/>
          <w:lang w:eastAsia="es-ES"/>
        </w:rPr>
        <w:t>LA MINISTRA DE TRANSPORTE</w:t>
      </w:r>
    </w:p>
    <w:p w14:paraId="30A7ECF6" w14:textId="77777777" w:rsidR="00E66C34" w:rsidRDefault="00E66C34">
      <w:pPr>
        <w:jc w:val="center"/>
        <w:rPr>
          <w:rFonts w:ascii="Work Sans" w:hAnsi="Work Sans" w:cs="Times New Roman"/>
          <w:b/>
          <w:sz w:val="20"/>
          <w:szCs w:val="20"/>
          <w:lang w:eastAsia="es-ES"/>
        </w:rPr>
      </w:pPr>
    </w:p>
    <w:p w14:paraId="353A6904" w14:textId="77777777" w:rsidR="00E66C34" w:rsidRDefault="00955E32">
      <w:pPr>
        <w:widowControl/>
        <w:suppressAutoHyphens w:val="0"/>
        <w:jc w:val="center"/>
        <w:textAlignment w:val="auto"/>
      </w:pPr>
      <w:r>
        <w:rPr>
          <w:rFonts w:ascii="Work Sans" w:eastAsia="DengXian Light" w:hAnsi="Work Sans" w:cs="Arial"/>
          <w:sz w:val="20"/>
          <w:szCs w:val="20"/>
          <w:lang w:bidi="ar-SA"/>
        </w:rPr>
        <w:t>La Ministra de Transporte, en ejercicio de las facultades legales y, en especial, las conferidas por el artículo 21 de la </w:t>
      </w:r>
      <w:hyperlink r:id="rId7" w:history="1">
        <w:r>
          <w:rPr>
            <w:rFonts w:ascii="Work Sans" w:eastAsia="DengXian Light" w:hAnsi="Work Sans" w:cs="Arial"/>
            <w:sz w:val="20"/>
            <w:szCs w:val="20"/>
            <w:lang w:bidi="ar-SA"/>
          </w:rPr>
          <w:t>Ley 105 de 1993</w:t>
        </w:r>
      </w:hyperlink>
      <w:r>
        <w:rPr>
          <w:rFonts w:ascii="Work Sans" w:eastAsia="DengXian Light" w:hAnsi="Work Sans" w:cs="Arial"/>
          <w:sz w:val="20"/>
          <w:szCs w:val="20"/>
          <w:lang w:bidi="ar-SA"/>
        </w:rPr>
        <w:t>, modificado parcialmente por el artículo 1º de la </w:t>
      </w:r>
      <w:hyperlink r:id="rId8" w:history="1">
        <w:r>
          <w:rPr>
            <w:rFonts w:ascii="Work Sans" w:eastAsia="DengXian Light" w:hAnsi="Work Sans" w:cs="Arial"/>
            <w:sz w:val="20"/>
            <w:szCs w:val="20"/>
            <w:lang w:bidi="ar-SA"/>
          </w:rPr>
          <w:t>Ley 787 de 2002</w:t>
        </w:r>
      </w:hyperlink>
      <w:r>
        <w:rPr>
          <w:rFonts w:ascii="Work Sans" w:eastAsia="DengXian Light" w:hAnsi="Work Sans" w:cs="Arial"/>
          <w:sz w:val="20"/>
          <w:szCs w:val="20"/>
          <w:lang w:bidi="ar-SA"/>
        </w:rPr>
        <w:t>, y el artícu</w:t>
      </w:r>
      <w:r>
        <w:rPr>
          <w:rFonts w:ascii="Work Sans" w:eastAsia="DengXian Light" w:hAnsi="Work Sans" w:cs="Arial"/>
          <w:sz w:val="20"/>
          <w:szCs w:val="20"/>
          <w:lang w:bidi="ar-SA"/>
        </w:rPr>
        <w:t>lo 6° numeral 6.15 del </w:t>
      </w:r>
      <w:hyperlink r:id="rId9" w:history="1">
        <w:r>
          <w:rPr>
            <w:rFonts w:ascii="Work Sans" w:eastAsia="DengXian Light" w:hAnsi="Work Sans" w:cs="Arial"/>
            <w:sz w:val="20"/>
            <w:szCs w:val="20"/>
            <w:lang w:bidi="ar-SA"/>
          </w:rPr>
          <w:t>Decreto 087 del 17 de enero de 2011</w:t>
        </w:r>
      </w:hyperlink>
      <w:r>
        <w:rPr>
          <w:rFonts w:ascii="Work Sans" w:eastAsia="DengXian Light" w:hAnsi="Work Sans" w:cs="Arial"/>
          <w:sz w:val="20"/>
          <w:szCs w:val="20"/>
          <w:lang w:bidi="ar-SA"/>
        </w:rPr>
        <w:t>, y</w:t>
      </w:r>
    </w:p>
    <w:p w14:paraId="1CDB9B84" w14:textId="77777777" w:rsidR="00E66C34" w:rsidRDefault="00E66C34">
      <w:pPr>
        <w:jc w:val="center"/>
        <w:rPr>
          <w:rFonts w:ascii="Work Sans" w:eastAsia="DengXian Light" w:hAnsi="Work Sans" w:cs="Arial"/>
          <w:sz w:val="22"/>
          <w:szCs w:val="22"/>
          <w:lang w:bidi="ar-SA"/>
        </w:rPr>
      </w:pPr>
    </w:p>
    <w:p w14:paraId="2FE9E15C" w14:textId="77777777" w:rsidR="00E66C34" w:rsidRDefault="00E66C34">
      <w:pPr>
        <w:jc w:val="center"/>
        <w:rPr>
          <w:rFonts w:ascii="Work Sans" w:hAnsi="Work Sans" w:cs="Times New Roman"/>
          <w:b/>
          <w:sz w:val="20"/>
          <w:szCs w:val="20"/>
          <w:lang w:eastAsia="es-ES"/>
        </w:rPr>
      </w:pPr>
    </w:p>
    <w:p w14:paraId="3A77480F" w14:textId="77777777" w:rsidR="00E66C34" w:rsidRDefault="00955E32">
      <w:pPr>
        <w:jc w:val="center"/>
        <w:rPr>
          <w:rFonts w:ascii="Work Sans" w:hAnsi="Work Sans" w:cs="Times New Roman"/>
          <w:b/>
          <w:sz w:val="20"/>
          <w:szCs w:val="20"/>
          <w:lang w:eastAsia="es-ES"/>
        </w:rPr>
      </w:pPr>
      <w:r>
        <w:rPr>
          <w:rFonts w:ascii="Work Sans" w:hAnsi="Work Sans" w:cs="Times New Roman"/>
          <w:b/>
          <w:sz w:val="20"/>
          <w:szCs w:val="20"/>
          <w:lang w:eastAsia="es-ES"/>
        </w:rPr>
        <w:t>CONSIDERANDO</w:t>
      </w:r>
    </w:p>
    <w:p w14:paraId="0D1445CA" w14:textId="77777777" w:rsidR="00E66C34" w:rsidRDefault="00E66C34">
      <w:pPr>
        <w:jc w:val="center"/>
        <w:rPr>
          <w:rFonts w:ascii="Work Sans" w:hAnsi="Work Sans" w:cs="Times New Roman"/>
          <w:b/>
          <w:sz w:val="20"/>
          <w:szCs w:val="20"/>
          <w:lang w:eastAsia="es-ES"/>
        </w:rPr>
      </w:pPr>
    </w:p>
    <w:p w14:paraId="5DC5FDCB" w14:textId="77777777" w:rsidR="00E66C34" w:rsidRDefault="00955E32">
      <w:pPr>
        <w:jc w:val="both"/>
      </w:pPr>
      <w:r>
        <w:rPr>
          <w:rFonts w:ascii="Work Sans" w:eastAsia="DengXian Light" w:hAnsi="Work Sans" w:cs="Arial"/>
          <w:sz w:val="20"/>
          <w:szCs w:val="20"/>
          <w:lang w:bidi="ar-SA"/>
        </w:rPr>
        <w:t>Que mediante el </w:t>
      </w:r>
      <w:hyperlink r:id="rId10" w:history="1">
        <w:r>
          <w:rPr>
            <w:rFonts w:ascii="Work Sans" w:eastAsia="DengXian Light" w:hAnsi="Work Sans" w:cs="Arial"/>
            <w:sz w:val="20"/>
            <w:szCs w:val="20"/>
            <w:lang w:bidi="ar-SA"/>
          </w:rPr>
          <w:t>Decreto 1770 de 2015</w:t>
        </w:r>
      </w:hyperlink>
      <w:r>
        <w:rPr>
          <w:rFonts w:ascii="Work Sans" w:eastAsia="DengXian Light" w:hAnsi="Work Sans" w:cs="Arial"/>
          <w:sz w:val="20"/>
          <w:szCs w:val="20"/>
          <w:lang w:bidi="ar-SA"/>
        </w:rPr>
        <w:t>, el Gobierno nacional declaró el Estado de Emergencia Económica, Social y Ecológica en los municipios de La Jagua del Pilar, Urumita, Villanueva, El Molino, San Juan del Cesar, Fonseca, Barrancas, Albania, Maicao, Uribia y Hato</w:t>
      </w:r>
      <w:r>
        <w:rPr>
          <w:rFonts w:ascii="Work Sans" w:eastAsia="DengXian Light" w:hAnsi="Work Sans" w:cs="Arial"/>
          <w:sz w:val="20"/>
          <w:szCs w:val="20"/>
          <w:lang w:bidi="ar-SA"/>
        </w:rPr>
        <w:t xml:space="preserve"> Nuevo en el departamento de La Guajira; Manaure-Balcón del Cesar, La Paz, Agustín Codazzi, Becerril, La Jagua de Ibirico, Chiriguaná y Curumaní en el departamento del Cesar; Toledo, Herrón, Ragonvalia, Villa del Rosario, Puerto Santander, Área Metropolita</w:t>
      </w:r>
      <w:r>
        <w:rPr>
          <w:rFonts w:ascii="Work Sans" w:eastAsia="DengXian Light" w:hAnsi="Work Sans" w:cs="Arial"/>
          <w:sz w:val="20"/>
          <w:szCs w:val="20"/>
          <w:lang w:bidi="ar-SA"/>
        </w:rPr>
        <w:t>na de Cúcuta, Tibú, Teorama, Convención, El Carmen, El Zulia, Salazar de las Palmas y Sardinata, en el departamento de Norte de Santander; Cubará, en el departamento de Boyacá; Cravo Norte, Arauca, Arauquita y Saravena en el departamento de Arauca; La Prim</w:t>
      </w:r>
      <w:r>
        <w:rPr>
          <w:rFonts w:ascii="Work Sans" w:eastAsia="DengXian Light" w:hAnsi="Work Sans" w:cs="Arial"/>
          <w:sz w:val="20"/>
          <w:szCs w:val="20"/>
          <w:lang w:bidi="ar-SA"/>
        </w:rPr>
        <w:t>avera, Puerto Carreño y Cumaribo en el departamento de Vichada, e Inírida del departamento de Guainía;</w:t>
      </w:r>
    </w:p>
    <w:p w14:paraId="0FA6436B" w14:textId="77777777" w:rsidR="00E66C34" w:rsidRDefault="00955E32">
      <w:pPr>
        <w:jc w:val="both"/>
        <w:rPr>
          <w:rFonts w:ascii="Work Sans" w:eastAsia="DengXian Light" w:hAnsi="Work Sans" w:cs="Arial"/>
          <w:sz w:val="20"/>
          <w:szCs w:val="20"/>
          <w:lang w:bidi="ar-SA"/>
        </w:rPr>
      </w:pPr>
      <w:r>
        <w:rPr>
          <w:rFonts w:ascii="Work Sans" w:eastAsia="DengXian Light" w:hAnsi="Work Sans" w:cs="Arial"/>
          <w:sz w:val="20"/>
          <w:szCs w:val="20"/>
          <w:lang w:bidi="ar-SA"/>
        </w:rPr>
        <w:t> </w:t>
      </w:r>
    </w:p>
    <w:p w14:paraId="78751E35" w14:textId="77777777" w:rsidR="00E66C34" w:rsidRDefault="00955E32">
      <w:pPr>
        <w:jc w:val="both"/>
      </w:pPr>
      <w:r>
        <w:rPr>
          <w:rFonts w:ascii="Work Sans" w:eastAsia="DengXian Light" w:hAnsi="Work Sans" w:cs="Arial"/>
          <w:sz w:val="20"/>
          <w:szCs w:val="20"/>
          <w:lang w:bidi="ar-SA"/>
        </w:rPr>
        <w:t>Que el citado </w:t>
      </w:r>
      <w:hyperlink r:id="rId11" w:history="1">
        <w:r>
          <w:rPr>
            <w:rFonts w:ascii="Work Sans" w:eastAsia="DengXian Light" w:hAnsi="Work Sans" w:cs="Arial"/>
            <w:sz w:val="20"/>
            <w:szCs w:val="20"/>
            <w:lang w:bidi="ar-SA"/>
          </w:rPr>
          <w:t>Decreto 1770 de 2015</w:t>
        </w:r>
      </w:hyperlink>
      <w:r>
        <w:rPr>
          <w:rFonts w:ascii="Work Sans" w:eastAsia="DengXian Light" w:hAnsi="Work Sans" w:cs="Arial"/>
          <w:sz w:val="20"/>
          <w:szCs w:val="20"/>
          <w:lang w:bidi="ar-SA"/>
        </w:rPr>
        <w:t xml:space="preserve">, dentro de las consideraciones </w:t>
      </w:r>
      <w:r>
        <w:rPr>
          <w:rFonts w:ascii="Work Sans" w:eastAsia="DengXian Light" w:hAnsi="Work Sans" w:cs="Arial"/>
          <w:sz w:val="20"/>
          <w:szCs w:val="20"/>
          <w:lang w:bidi="ar-SA"/>
        </w:rPr>
        <w:t>que tuvo en cuenta para tomar las referidas medidas señaló que gran parte del intercambio comercial que se realiza con la República Bolivariana de Venezuela se materializa a través de actividades de transporte y centros de acopio vinculados al proceso de e</w:t>
      </w:r>
      <w:r>
        <w:rPr>
          <w:rFonts w:ascii="Work Sans" w:eastAsia="DengXian Light" w:hAnsi="Work Sans" w:cs="Arial"/>
          <w:sz w:val="20"/>
          <w:szCs w:val="20"/>
          <w:lang w:bidi="ar-SA"/>
        </w:rPr>
        <w:t>xplotación de minerales, al punto que cuatro municipios del departamento de Norte de Santander (Sardinata, Cúcuta, Zulia y Salazar), producen algo más del 80% del carbón mineral que se despacha por vía terrestre hacia puertos del vecino país;</w:t>
      </w:r>
    </w:p>
    <w:p w14:paraId="4014DC40" w14:textId="77777777" w:rsidR="00E66C34" w:rsidRDefault="00955E32">
      <w:pPr>
        <w:jc w:val="both"/>
        <w:rPr>
          <w:rFonts w:ascii="Work Sans" w:eastAsia="DengXian Light" w:hAnsi="Work Sans" w:cs="Arial"/>
          <w:sz w:val="20"/>
          <w:szCs w:val="20"/>
          <w:lang w:bidi="ar-SA"/>
        </w:rPr>
      </w:pPr>
      <w:r>
        <w:rPr>
          <w:rFonts w:ascii="Work Sans" w:eastAsia="DengXian Light" w:hAnsi="Work Sans" w:cs="Arial"/>
          <w:sz w:val="20"/>
          <w:szCs w:val="20"/>
          <w:lang w:bidi="ar-SA"/>
        </w:rPr>
        <w:t> </w:t>
      </w:r>
    </w:p>
    <w:p w14:paraId="7B526CF8" w14:textId="77777777" w:rsidR="00E66C34" w:rsidRDefault="00955E32">
      <w:pPr>
        <w:jc w:val="both"/>
      </w:pPr>
      <w:r>
        <w:rPr>
          <w:rFonts w:ascii="Work Sans" w:eastAsia="DengXian Light" w:hAnsi="Work Sans" w:cs="Arial"/>
          <w:sz w:val="20"/>
          <w:szCs w:val="20"/>
          <w:lang w:bidi="ar-SA"/>
        </w:rPr>
        <w:t>Que también</w:t>
      </w:r>
      <w:r>
        <w:rPr>
          <w:rFonts w:ascii="Work Sans" w:eastAsia="DengXian Light" w:hAnsi="Work Sans" w:cs="Arial"/>
          <w:sz w:val="20"/>
          <w:szCs w:val="20"/>
          <w:lang w:bidi="ar-SA"/>
        </w:rPr>
        <w:t xml:space="preserve"> se referenció en el señalado </w:t>
      </w:r>
      <w:hyperlink r:id="rId12" w:history="1">
        <w:r>
          <w:rPr>
            <w:rFonts w:ascii="Work Sans" w:eastAsia="DengXian Light" w:hAnsi="Work Sans" w:cs="Arial"/>
            <w:sz w:val="20"/>
            <w:szCs w:val="20"/>
            <w:lang w:bidi="ar-SA"/>
          </w:rPr>
          <w:t>Decreto 1770 de 2015</w:t>
        </w:r>
      </w:hyperlink>
      <w:r>
        <w:rPr>
          <w:rFonts w:ascii="Work Sans" w:eastAsia="DengXian Light" w:hAnsi="Work Sans" w:cs="Arial"/>
          <w:sz w:val="20"/>
          <w:szCs w:val="20"/>
          <w:lang w:bidi="ar-SA"/>
        </w:rPr>
        <w:t xml:space="preserve"> que el modo terrestre presenta mayores costos de operación para la movilización de mineral, dada la distancia que se </w:t>
      </w:r>
      <w:r>
        <w:rPr>
          <w:rFonts w:ascii="Work Sans" w:eastAsia="DengXian Light" w:hAnsi="Work Sans" w:cs="Arial"/>
          <w:sz w:val="20"/>
          <w:szCs w:val="20"/>
          <w:lang w:bidi="ar-SA"/>
        </w:rPr>
        <w:t>debe transitar en el territorio nacional, si se compara con los 400 kilómetros que antes del cierre de la frontera recorrían los transportadores del carbón hasta los puertos en Venezuela, sin embargo, es la alternativa inmediata para transportar el carbón,</w:t>
      </w:r>
      <w:r>
        <w:rPr>
          <w:rFonts w:ascii="Work Sans" w:eastAsia="DengXian Light" w:hAnsi="Work Sans" w:cs="Arial"/>
          <w:sz w:val="20"/>
          <w:szCs w:val="20"/>
          <w:lang w:bidi="ar-SA"/>
        </w:rPr>
        <w:t xml:space="preserve"> mientras se adecúan nuevas alternativas bimodales;</w:t>
      </w:r>
    </w:p>
    <w:p w14:paraId="242B719D" w14:textId="77777777" w:rsidR="00E66C34" w:rsidRDefault="00955E32">
      <w:pPr>
        <w:jc w:val="both"/>
        <w:rPr>
          <w:rFonts w:ascii="Work Sans" w:eastAsia="DengXian Light" w:hAnsi="Work Sans" w:cs="Arial"/>
          <w:sz w:val="20"/>
          <w:szCs w:val="20"/>
          <w:lang w:bidi="ar-SA"/>
        </w:rPr>
      </w:pPr>
      <w:r>
        <w:rPr>
          <w:rFonts w:ascii="Work Sans" w:eastAsia="DengXian Light" w:hAnsi="Work Sans" w:cs="Arial"/>
          <w:sz w:val="20"/>
          <w:szCs w:val="20"/>
          <w:lang w:bidi="ar-SA"/>
        </w:rPr>
        <w:t> </w:t>
      </w:r>
    </w:p>
    <w:p w14:paraId="31B24FE7" w14:textId="77777777" w:rsidR="00E66C34" w:rsidRDefault="00955E32">
      <w:pPr>
        <w:jc w:val="both"/>
      </w:pPr>
      <w:r>
        <w:rPr>
          <w:rFonts w:ascii="Work Sans" w:eastAsia="DengXian Light" w:hAnsi="Work Sans" w:cs="Arial"/>
          <w:sz w:val="20"/>
          <w:szCs w:val="20"/>
          <w:lang w:bidi="ar-SA"/>
        </w:rPr>
        <w:t xml:space="preserve">Que como consecuencia de las condiciones especiales señaladas y para mitigar los costos de operación, el Ministerio de Transporte desde el año 2015 ha establecido tarifas diferenciales en las </w:t>
      </w:r>
      <w:r>
        <w:rPr>
          <w:rFonts w:ascii="Work Sans" w:eastAsia="DengXian Light" w:hAnsi="Work Sans" w:cs="Arial"/>
          <w:sz w:val="20"/>
          <w:szCs w:val="20"/>
          <w:lang w:bidi="ar-SA"/>
        </w:rPr>
        <w:t>estaciones de peaje denominadas La Platanal, Gamarra y Pailitas, para vehículos de transporte de carga que transporten carbón térmico o carbón mineral térmico desde el departamento de Norte de Santander hacia los municipios de La Jagua, Chiriguaná, Gamarra</w:t>
      </w:r>
      <w:r>
        <w:rPr>
          <w:rFonts w:ascii="Work Sans" w:eastAsia="DengXian Light" w:hAnsi="Work Sans" w:cs="Arial"/>
          <w:sz w:val="20"/>
          <w:szCs w:val="20"/>
          <w:lang w:bidi="ar-SA"/>
        </w:rPr>
        <w:t>, La Loma, Santa Marta, Dibulla (Guajira), Barranquilla, o Cartagena y su viaje de regreso de estos municipios hacia su lugar de origen, mediante Resoluciones 3377 de 2015 y 540 de 2018, modificada por la </w:t>
      </w:r>
      <w:hyperlink r:id="rId13" w:history="1">
        <w:r>
          <w:rPr>
            <w:rFonts w:ascii="Work Sans" w:eastAsia="DengXian Light" w:hAnsi="Work Sans" w:cs="Arial"/>
            <w:sz w:val="20"/>
            <w:szCs w:val="20"/>
            <w:lang w:bidi="ar-SA"/>
          </w:rPr>
          <w:t>Resolución 3958 de 2018</w:t>
        </w:r>
      </w:hyperlink>
      <w:r>
        <w:rPr>
          <w:rFonts w:ascii="Work Sans" w:eastAsia="DengXian Light" w:hAnsi="Work Sans" w:cs="Arial"/>
          <w:sz w:val="20"/>
          <w:szCs w:val="20"/>
          <w:lang w:bidi="ar-SA"/>
        </w:rPr>
        <w:t>;</w:t>
      </w:r>
    </w:p>
    <w:p w14:paraId="20B02FC8" w14:textId="77777777" w:rsidR="00E66C34" w:rsidRDefault="00955E32">
      <w:pPr>
        <w:jc w:val="both"/>
        <w:rPr>
          <w:rFonts w:ascii="Work Sans" w:eastAsia="DengXian Light" w:hAnsi="Work Sans" w:cs="Arial"/>
          <w:sz w:val="20"/>
          <w:szCs w:val="20"/>
          <w:lang w:bidi="ar-SA"/>
        </w:rPr>
      </w:pPr>
      <w:r>
        <w:rPr>
          <w:rFonts w:ascii="Work Sans" w:eastAsia="DengXian Light" w:hAnsi="Work Sans" w:cs="Arial"/>
          <w:sz w:val="20"/>
          <w:szCs w:val="20"/>
          <w:lang w:bidi="ar-SA"/>
        </w:rPr>
        <w:t> </w:t>
      </w:r>
    </w:p>
    <w:p w14:paraId="2225BD7C" w14:textId="77777777" w:rsidR="00E66C34" w:rsidRDefault="00955E32">
      <w:pPr>
        <w:jc w:val="both"/>
      </w:pPr>
      <w:r>
        <w:rPr>
          <w:rFonts w:ascii="Work Sans" w:eastAsia="DengXian Light" w:hAnsi="Work Sans" w:cs="Arial"/>
          <w:sz w:val="20"/>
          <w:szCs w:val="20"/>
          <w:lang w:bidi="ar-SA"/>
        </w:rPr>
        <w:lastRenderedPageBreak/>
        <w:t>Que mediante la </w:t>
      </w:r>
      <w:hyperlink r:id="rId14" w:history="1">
        <w:r>
          <w:rPr>
            <w:rFonts w:ascii="Work Sans" w:eastAsia="DengXian Light" w:hAnsi="Work Sans" w:cs="Arial"/>
            <w:sz w:val="20"/>
            <w:szCs w:val="20"/>
            <w:lang w:bidi="ar-SA"/>
          </w:rPr>
          <w:t>Resolución 0886 de 11 de marzo de 2019</w:t>
        </w:r>
      </w:hyperlink>
      <w:r>
        <w:rPr>
          <w:rFonts w:ascii="Work Sans" w:eastAsia="DengXian Light" w:hAnsi="Work Sans" w:cs="Arial"/>
          <w:sz w:val="20"/>
          <w:szCs w:val="20"/>
          <w:lang w:bidi="ar-SA"/>
        </w:rPr>
        <w:t>, “</w:t>
      </w:r>
      <w:r>
        <w:rPr>
          <w:rFonts w:ascii="Work Sans" w:eastAsia="DengXian Light" w:hAnsi="Work Sans" w:cs="Arial"/>
          <w:i/>
          <w:sz w:val="20"/>
          <w:szCs w:val="20"/>
          <w:lang w:bidi="ar-SA"/>
        </w:rPr>
        <w:t xml:space="preserve">por la cual se </w:t>
      </w:r>
      <w:r>
        <w:rPr>
          <w:rFonts w:ascii="Work Sans" w:eastAsia="DengXian Light" w:hAnsi="Work Sans" w:cs="Arial"/>
          <w:i/>
          <w:sz w:val="20"/>
          <w:szCs w:val="20"/>
          <w:lang w:bidi="ar-SA"/>
        </w:rPr>
        <w:t>establece una tarifa diferencial en las estaciones de peaje denominadas La Platanal, Gamarra y Pailitas”,</w:t>
      </w:r>
      <w:r>
        <w:rPr>
          <w:rFonts w:ascii="Work Sans" w:eastAsia="DengXian Light" w:hAnsi="Work Sans" w:cs="Arial"/>
          <w:sz w:val="20"/>
          <w:szCs w:val="20"/>
          <w:lang w:bidi="ar-SA"/>
        </w:rPr>
        <w:t> el Ministerio de Transporte estableció una tarifa diferencial en las estaciones de peaje denominadas Platanal ubicado en el PR 14+200 de la Ruta 7007,</w:t>
      </w:r>
      <w:r>
        <w:rPr>
          <w:rFonts w:ascii="Work Sans" w:eastAsia="DengXian Light" w:hAnsi="Work Sans" w:cs="Arial"/>
          <w:sz w:val="20"/>
          <w:szCs w:val="20"/>
          <w:lang w:bidi="ar-SA"/>
        </w:rPr>
        <w:t xml:space="preserve"> Gamarra ubicado en el PR 2+800 de la ruta 7006 y Pailitas ubicado en el PR 28+600 de la ruta 4515, equivalente al 50% del valor de la tarifa para vehículos de transporte de carga que transporten carbón térmico o carbón mineral térmico desde el departament</w:t>
      </w:r>
      <w:r>
        <w:rPr>
          <w:rFonts w:ascii="Work Sans" w:eastAsia="DengXian Light" w:hAnsi="Work Sans" w:cs="Arial"/>
          <w:sz w:val="20"/>
          <w:szCs w:val="20"/>
          <w:lang w:bidi="ar-SA"/>
        </w:rPr>
        <w:t>o de Norte de Santander hacia los municipios de La Jagua, Chiriguaná, Gamarra, La Loma, Santa Marta, Dibulla (Guajira), Barranquilla o Cartagena y su viaje de regreso de estos municipios hacia su lugar de origen;</w:t>
      </w:r>
    </w:p>
    <w:p w14:paraId="1CE30FDF" w14:textId="77777777" w:rsidR="00E66C34" w:rsidRDefault="00955E32">
      <w:pPr>
        <w:jc w:val="both"/>
        <w:rPr>
          <w:rFonts w:ascii="Work Sans" w:eastAsia="DengXian Light" w:hAnsi="Work Sans" w:cs="Arial"/>
          <w:sz w:val="20"/>
          <w:szCs w:val="20"/>
          <w:lang w:bidi="ar-SA"/>
        </w:rPr>
      </w:pPr>
      <w:r>
        <w:rPr>
          <w:rFonts w:ascii="Work Sans" w:eastAsia="DengXian Light" w:hAnsi="Work Sans" w:cs="Arial"/>
          <w:sz w:val="20"/>
          <w:szCs w:val="20"/>
          <w:lang w:bidi="ar-SA"/>
        </w:rPr>
        <w:t> </w:t>
      </w:r>
    </w:p>
    <w:p w14:paraId="4DE49EF9" w14:textId="77777777" w:rsidR="00E66C34" w:rsidRDefault="00955E32">
      <w:pPr>
        <w:jc w:val="both"/>
      </w:pPr>
      <w:r>
        <w:rPr>
          <w:rFonts w:ascii="Work Sans" w:eastAsia="DengXian Light" w:hAnsi="Work Sans" w:cs="Arial"/>
          <w:sz w:val="20"/>
          <w:szCs w:val="20"/>
          <w:lang w:bidi="ar-SA"/>
        </w:rPr>
        <w:t>Que el artículo 4° de la </w:t>
      </w:r>
      <w:hyperlink r:id="rId15" w:history="1">
        <w:r>
          <w:rPr>
            <w:rFonts w:ascii="Work Sans" w:eastAsia="DengXian Light" w:hAnsi="Work Sans" w:cs="Arial"/>
            <w:sz w:val="20"/>
            <w:szCs w:val="20"/>
            <w:lang w:bidi="ar-SA"/>
          </w:rPr>
          <w:t>Resolución 0886 de 2019</w:t>
        </w:r>
      </w:hyperlink>
      <w:r>
        <w:rPr>
          <w:rFonts w:ascii="Work Sans" w:eastAsia="DengXian Light" w:hAnsi="Work Sans" w:cs="Arial"/>
          <w:sz w:val="20"/>
          <w:szCs w:val="20"/>
          <w:lang w:bidi="ar-SA"/>
        </w:rPr>
        <w:t>, estableció que la tarifa diferencial tendrá una vigencia de un (1) año, contado a partir de su publicación, esto es, a partir del 13 de marzo d</w:t>
      </w:r>
      <w:r>
        <w:rPr>
          <w:rFonts w:ascii="Work Sans" w:eastAsia="DengXian Light" w:hAnsi="Work Sans" w:cs="Arial"/>
          <w:sz w:val="20"/>
          <w:szCs w:val="20"/>
          <w:lang w:bidi="ar-SA"/>
        </w:rPr>
        <w:t>e 2019 y podrá prorrogarse siempre y cuando se mantengan las condiciones que le dieron origen;</w:t>
      </w:r>
    </w:p>
    <w:p w14:paraId="56B3A2CD" w14:textId="77777777" w:rsidR="00E66C34" w:rsidRDefault="00955E32">
      <w:pPr>
        <w:jc w:val="both"/>
        <w:rPr>
          <w:rFonts w:ascii="Work Sans" w:eastAsia="DengXian Light" w:hAnsi="Work Sans" w:cs="Arial"/>
          <w:sz w:val="20"/>
          <w:szCs w:val="20"/>
          <w:lang w:bidi="ar-SA"/>
        </w:rPr>
      </w:pPr>
      <w:r>
        <w:rPr>
          <w:rFonts w:ascii="Work Sans" w:eastAsia="DengXian Light" w:hAnsi="Work Sans" w:cs="Arial"/>
          <w:sz w:val="20"/>
          <w:szCs w:val="20"/>
          <w:lang w:bidi="ar-SA"/>
        </w:rPr>
        <w:t> </w:t>
      </w:r>
    </w:p>
    <w:p w14:paraId="44798556" w14:textId="77777777" w:rsidR="00E66C34" w:rsidRDefault="00955E32">
      <w:pPr>
        <w:jc w:val="both"/>
      </w:pPr>
      <w:r>
        <w:rPr>
          <w:rFonts w:ascii="Work Sans" w:eastAsia="DengXian Light" w:hAnsi="Work Sans" w:cs="Arial"/>
          <w:sz w:val="20"/>
          <w:szCs w:val="20"/>
          <w:lang w:bidi="ar-SA"/>
        </w:rPr>
        <w:t>Que el término antes señalado fue prorrogado mediante la </w:t>
      </w:r>
      <w:hyperlink r:id="rId16" w:history="1">
        <w:r>
          <w:rPr>
            <w:rFonts w:ascii="Work Sans" w:eastAsia="DengXian Light" w:hAnsi="Work Sans" w:cs="Arial"/>
            <w:sz w:val="20"/>
            <w:szCs w:val="20"/>
            <w:lang w:bidi="ar-SA"/>
          </w:rPr>
          <w:t>Resolución número 0510 de 2020</w:t>
        </w:r>
      </w:hyperlink>
      <w:r>
        <w:rPr>
          <w:rFonts w:ascii="Work Sans" w:eastAsia="DengXian Light" w:hAnsi="Work Sans" w:cs="Arial"/>
          <w:sz w:val="20"/>
          <w:szCs w:val="20"/>
          <w:lang w:bidi="ar-SA"/>
        </w:rPr>
        <w:t> del Ministerio de Transporte, por un (1) año, esto es, hasta el 13 de marzo de 2021;</w:t>
      </w:r>
    </w:p>
    <w:p w14:paraId="04FD1F8B" w14:textId="77777777" w:rsidR="00E66C34" w:rsidRDefault="00E66C34">
      <w:pPr>
        <w:jc w:val="both"/>
        <w:rPr>
          <w:rFonts w:ascii="Work Sans" w:eastAsia="DengXian Light" w:hAnsi="Work Sans" w:cs="Arial"/>
          <w:sz w:val="20"/>
          <w:szCs w:val="20"/>
          <w:lang w:bidi="ar-SA"/>
        </w:rPr>
      </w:pPr>
    </w:p>
    <w:p w14:paraId="7DAFCF2A" w14:textId="77777777" w:rsidR="00E66C34" w:rsidRDefault="00955E32">
      <w:pPr>
        <w:jc w:val="both"/>
        <w:rPr>
          <w:rFonts w:ascii="Work Sans" w:eastAsia="DengXian Light" w:hAnsi="Work Sans" w:cs="Arial"/>
          <w:sz w:val="20"/>
          <w:szCs w:val="20"/>
          <w:lang w:bidi="ar-SA"/>
        </w:rPr>
      </w:pPr>
      <w:r>
        <w:rPr>
          <w:rFonts w:ascii="Work Sans" w:eastAsia="DengXian Light" w:hAnsi="Work Sans" w:cs="Arial"/>
          <w:sz w:val="20"/>
          <w:szCs w:val="20"/>
          <w:lang w:bidi="ar-SA"/>
        </w:rPr>
        <w:t xml:space="preserve">Que mediante </w:t>
      </w:r>
      <w:proofErr w:type="gramStart"/>
      <w:r>
        <w:rPr>
          <w:rFonts w:ascii="Work Sans" w:eastAsia="DengXian Light" w:hAnsi="Work Sans" w:cs="Arial"/>
          <w:sz w:val="20"/>
          <w:szCs w:val="20"/>
          <w:lang w:bidi="ar-SA"/>
        </w:rPr>
        <w:t>el  artículo</w:t>
      </w:r>
      <w:proofErr w:type="gramEnd"/>
      <w:r>
        <w:rPr>
          <w:rFonts w:ascii="Work Sans" w:eastAsia="DengXian Light" w:hAnsi="Work Sans" w:cs="Arial"/>
          <w:sz w:val="20"/>
          <w:szCs w:val="20"/>
          <w:lang w:bidi="ar-SA"/>
        </w:rPr>
        <w:t xml:space="preserve"> 1° de la Resolución 20213040009825 de 2021 fue prorrogado el  término establecido en el artículo 4° de la Resol</w:t>
      </w:r>
      <w:r>
        <w:rPr>
          <w:rFonts w:ascii="Work Sans" w:eastAsia="DengXian Light" w:hAnsi="Work Sans" w:cs="Arial"/>
          <w:sz w:val="20"/>
          <w:szCs w:val="20"/>
          <w:lang w:bidi="ar-SA"/>
        </w:rPr>
        <w:t>ución 0886 de 2019, prorrogado en el artículo 1° de la Resolución 0510 del 11 de marzo de 2020, por un año (1) año más, esto es, hasta el 13 de marzo de 2022;</w:t>
      </w:r>
    </w:p>
    <w:p w14:paraId="5CAB7CE3" w14:textId="77777777" w:rsidR="00E66C34" w:rsidRDefault="00E66C34">
      <w:pPr>
        <w:jc w:val="both"/>
        <w:rPr>
          <w:rFonts w:ascii="Work Sans" w:eastAsia="DengXian Light" w:hAnsi="Work Sans" w:cs="Arial"/>
          <w:sz w:val="20"/>
          <w:szCs w:val="20"/>
          <w:lang w:bidi="ar-SA"/>
        </w:rPr>
      </w:pPr>
    </w:p>
    <w:p w14:paraId="39E2E968" w14:textId="77777777" w:rsidR="00E66C34" w:rsidRDefault="00955E32">
      <w:pPr>
        <w:jc w:val="both"/>
      </w:pPr>
      <w:r>
        <w:rPr>
          <w:rFonts w:ascii="Work Sans" w:eastAsia="DengXian Light" w:hAnsi="Work Sans" w:cs="Arial"/>
          <w:sz w:val="20"/>
        </w:rPr>
        <w:t>Que mediante la Resolución 20213040058455 del 03 de diciembre de 2021 “</w:t>
      </w:r>
      <w:r>
        <w:rPr>
          <w:rFonts w:ascii="Work Sans" w:eastAsia="DengXian Light" w:hAnsi="Work Sans" w:cs="Arial"/>
          <w:i/>
          <w:sz w:val="20"/>
        </w:rPr>
        <w:t>Por el cual se derogan to</w:t>
      </w:r>
      <w:r>
        <w:rPr>
          <w:rFonts w:ascii="Work Sans" w:eastAsia="DengXian Light" w:hAnsi="Work Sans" w:cs="Arial"/>
          <w:i/>
          <w:sz w:val="20"/>
        </w:rPr>
        <w:t>das las disposiciones contenidas en las Resoluciones 0002127 de 2014, 000859 y 0001314 de 2016, relacionadas únicamente con la estación de peaje “Gamarra” ubicada en la vía Gamarrra – Aguachica</w:t>
      </w:r>
      <w:r>
        <w:rPr>
          <w:rFonts w:ascii="Work Sans" w:eastAsia="DengXian Light" w:hAnsi="Work Sans" w:cs="Arial"/>
          <w:sz w:val="20"/>
        </w:rPr>
        <w:t xml:space="preserve">”, dentro de los considerandos del citado acto administrativo, </w:t>
      </w:r>
      <w:r>
        <w:rPr>
          <w:rFonts w:ascii="Work Sans" w:eastAsia="DengXian Light" w:hAnsi="Work Sans" w:cs="Arial"/>
          <w:sz w:val="20"/>
        </w:rPr>
        <w:t>el Instituto Nacional de Vías – INVÍAS, en oficio DTE 67012 del 29 de noviembre de 2021, señala lo siguiente:</w:t>
      </w:r>
    </w:p>
    <w:p w14:paraId="5121058F" w14:textId="77777777" w:rsidR="00E66C34" w:rsidRDefault="00E66C34">
      <w:pPr>
        <w:jc w:val="both"/>
        <w:rPr>
          <w:rFonts w:ascii="Work Sans" w:eastAsia="DengXian Light" w:hAnsi="Work Sans" w:cs="Arial"/>
          <w:sz w:val="20"/>
        </w:rPr>
      </w:pPr>
    </w:p>
    <w:p w14:paraId="7ADF236D" w14:textId="77777777" w:rsidR="00E66C34" w:rsidRDefault="00955E32">
      <w:pPr>
        <w:ind w:left="1134" w:right="624"/>
        <w:jc w:val="both"/>
        <w:rPr>
          <w:rFonts w:ascii="Work Sans" w:eastAsia="DengXian Light" w:hAnsi="Work Sans" w:cs="Arial"/>
          <w:i/>
          <w:sz w:val="20"/>
          <w:szCs w:val="20"/>
          <w:lang w:bidi="ar-SA"/>
        </w:rPr>
      </w:pPr>
      <w:r>
        <w:rPr>
          <w:rFonts w:ascii="Work Sans" w:eastAsia="DengXian Light" w:hAnsi="Work Sans" w:cs="Arial"/>
          <w:i/>
          <w:sz w:val="20"/>
          <w:szCs w:val="20"/>
          <w:lang w:bidi="ar-SA"/>
        </w:rPr>
        <w:t>“Conocidas las cifras indicadas con anterioridad, el Departamento del Cesar ha manifestado su interés de no continuar con el cobro del Peaje de G</w:t>
      </w:r>
      <w:r>
        <w:rPr>
          <w:rFonts w:ascii="Work Sans" w:eastAsia="DengXian Light" w:hAnsi="Work Sans" w:cs="Arial"/>
          <w:i/>
          <w:sz w:val="20"/>
          <w:szCs w:val="20"/>
          <w:lang w:bidi="ar-SA"/>
        </w:rPr>
        <w:t>amarra, como se hizo saber a este Instituto ante la Secretaría de Infraestructura de esta Gobernación, razón por la cual la Secretaría de Infraestructura del Departamento gestionó ante el Ministerio de Transporte el acto administrativo que autorice la susp</w:t>
      </w:r>
      <w:r>
        <w:rPr>
          <w:rFonts w:ascii="Work Sans" w:eastAsia="DengXian Light" w:hAnsi="Work Sans" w:cs="Arial"/>
          <w:i/>
          <w:sz w:val="20"/>
          <w:szCs w:val="20"/>
          <w:lang w:bidi="ar-SA"/>
        </w:rPr>
        <w:t xml:space="preserve">ensión del cobro del peaje y la demolición del mismo, pues es dicha Gobernación quien ostenta la titularidad sobre infraestructura que formó parte del convenio No. 1244 de 2017” </w:t>
      </w:r>
    </w:p>
    <w:p w14:paraId="5D5EFCB0" w14:textId="77777777" w:rsidR="00E66C34" w:rsidRDefault="00E66C34">
      <w:pPr>
        <w:jc w:val="both"/>
        <w:rPr>
          <w:rFonts w:ascii="Work Sans" w:eastAsia="DengXian Light" w:hAnsi="Work Sans" w:cs="Arial"/>
          <w:sz w:val="20"/>
          <w:szCs w:val="20"/>
          <w:lang w:bidi="ar-SA"/>
        </w:rPr>
      </w:pPr>
    </w:p>
    <w:p w14:paraId="2010E1F4" w14:textId="77777777" w:rsidR="00E66C34" w:rsidRDefault="00955E32">
      <w:pPr>
        <w:jc w:val="both"/>
      </w:pPr>
      <w:r>
        <w:rPr>
          <w:rFonts w:ascii="Work Sans" w:eastAsia="DengXian Light" w:hAnsi="Work Sans" w:cs="Arial"/>
          <w:sz w:val="20"/>
          <w:szCs w:val="20"/>
          <w:lang w:bidi="ar-SA"/>
        </w:rPr>
        <w:t xml:space="preserve">Que la Asociación de Carboneros de Norte de Santander, mediante oficio </w:t>
      </w:r>
      <w:r>
        <w:rPr>
          <w:rFonts w:ascii="Work Sans" w:eastAsia="DengXian Light" w:hAnsi="Work Sans" w:cs="Arial"/>
          <w:sz w:val="20"/>
          <w:szCs w:val="20"/>
          <w:lang w:bidi="ar-SA"/>
        </w:rPr>
        <w:t>radicado en el Ministerio de Transporte con el número MT-20223030246492 de fecha 04 de febrero de 2022, solicita lo siguiente:</w:t>
      </w:r>
    </w:p>
    <w:p w14:paraId="42B90457" w14:textId="77777777" w:rsidR="00E66C34" w:rsidRDefault="00955E32">
      <w:pPr>
        <w:jc w:val="both"/>
      </w:pPr>
      <w:r>
        <w:rPr>
          <w:rFonts w:ascii="Work Sans" w:eastAsia="DengXian Light" w:hAnsi="Work Sans" w:cs="Arial"/>
          <w:sz w:val="20"/>
          <w:szCs w:val="20"/>
          <w:lang w:bidi="ar-SA"/>
        </w:rPr>
        <w:t> </w:t>
      </w:r>
    </w:p>
    <w:p w14:paraId="4EE84802" w14:textId="77777777" w:rsidR="00E66C34" w:rsidRDefault="00955E32">
      <w:pPr>
        <w:ind w:left="567" w:right="680"/>
        <w:jc w:val="both"/>
      </w:pPr>
      <w:r>
        <w:rPr>
          <w:rFonts w:ascii="Work Sans" w:eastAsia="DengXian Light" w:hAnsi="Work Sans" w:cs="Arial"/>
          <w:i/>
          <w:sz w:val="20"/>
          <w:szCs w:val="20"/>
          <w:lang w:bidi="ar-SA"/>
        </w:rPr>
        <w:t xml:space="preserve">“(…) Agradecemos el apoyo que desde el Ministerio de Transporte y en general desde el Gobierno Nacional, hemos recibido con el </w:t>
      </w:r>
      <w:r>
        <w:rPr>
          <w:rFonts w:ascii="Work Sans" w:eastAsia="DengXian Light" w:hAnsi="Work Sans" w:cs="Arial"/>
          <w:i/>
          <w:sz w:val="20"/>
          <w:szCs w:val="20"/>
          <w:lang w:bidi="ar-SA"/>
        </w:rPr>
        <w:t xml:space="preserve">Gremio del Carbón en Norte de Santander, especialmente desde el cierre fronterizo </w:t>
      </w:r>
      <w:r>
        <w:rPr>
          <w:rFonts w:ascii="Work Sans" w:eastAsia="DengXian Light" w:hAnsi="Work Sans" w:cs="Arial"/>
          <w:i/>
          <w:sz w:val="20"/>
          <w:szCs w:val="20"/>
          <w:lang w:bidi="ar-SA"/>
        </w:rPr>
        <w:lastRenderedPageBreak/>
        <w:t>con la República Bolivariana de Venezuela, a fin de viabilizar la operación de exportación de Carbón Térmico de Norte de Santander por los puertos Colombianos como Capulco (f</w:t>
      </w:r>
      <w:r>
        <w:rPr>
          <w:rFonts w:ascii="Work Sans" w:eastAsia="DengXian Light" w:hAnsi="Work Sans" w:cs="Arial"/>
          <w:i/>
          <w:sz w:val="20"/>
          <w:szCs w:val="20"/>
          <w:lang w:bidi="ar-SA"/>
        </w:rPr>
        <w:t>luvial), Santa Marta, Barranquilla y Dibulla (Marítimo), promoviendo cada vez más el fortalecimiento de la operación minera exportadora por territorio colombiano debido a la compleja situación que aún continua viviendo nuestro vecino país y de la cual hemo</w:t>
      </w:r>
      <w:r>
        <w:rPr>
          <w:rFonts w:ascii="Work Sans" w:eastAsia="DengXian Light" w:hAnsi="Work Sans" w:cs="Arial"/>
          <w:i/>
          <w:sz w:val="20"/>
          <w:szCs w:val="20"/>
          <w:lang w:bidi="ar-SA"/>
        </w:rPr>
        <w:t>s sido directamente afectados. Acudimos a su gestión de la manera más respetuosa, ya que el próximo 13 de marzo de 2022, finaliza la vigencia del conjunto de resoluciones expedidas por el Ministerio de Transporte referenciadas en el asunto desde el año 201</w:t>
      </w:r>
      <w:r>
        <w:rPr>
          <w:rFonts w:ascii="Work Sans" w:eastAsia="DengXian Light" w:hAnsi="Work Sans" w:cs="Arial"/>
          <w:i/>
          <w:sz w:val="20"/>
          <w:szCs w:val="20"/>
          <w:lang w:bidi="ar-SA"/>
        </w:rPr>
        <w:t xml:space="preserve">5 por el cierre fronterizo (Ver anexo), con el fin de que éstas sean nuevamente prorrogadas por su Despacho en atención a que las afectaciones al intercambio comercial del carbón derivada del cierre fronterizo entre la República de Colombia y la República </w:t>
      </w:r>
      <w:r>
        <w:rPr>
          <w:rFonts w:ascii="Work Sans" w:eastAsia="DengXian Light" w:hAnsi="Work Sans" w:cs="Arial"/>
          <w:i/>
          <w:sz w:val="20"/>
          <w:szCs w:val="20"/>
          <w:lang w:bidi="ar-SA"/>
        </w:rPr>
        <w:t>Bolivariana de Venezuela aún se mantienen. Por lo tanto, agradecemos altamente que este Ministerio pueda realizar las gestiones oportunas y necesarias para:</w:t>
      </w:r>
    </w:p>
    <w:p w14:paraId="401F5CBA" w14:textId="77777777" w:rsidR="00E66C34" w:rsidRDefault="00E66C34">
      <w:pPr>
        <w:ind w:left="567" w:right="680"/>
        <w:jc w:val="both"/>
        <w:rPr>
          <w:rFonts w:ascii="Work Sans" w:eastAsia="DengXian Light" w:hAnsi="Work Sans" w:cs="Arial"/>
          <w:i/>
          <w:sz w:val="20"/>
          <w:szCs w:val="20"/>
          <w:lang w:bidi="ar-SA"/>
        </w:rPr>
      </w:pPr>
    </w:p>
    <w:p w14:paraId="0E3529E9" w14:textId="77777777" w:rsidR="00E66C34" w:rsidRDefault="00955E32">
      <w:pPr>
        <w:ind w:left="567" w:right="680"/>
        <w:jc w:val="both"/>
      </w:pPr>
      <w:r>
        <w:rPr>
          <w:rFonts w:ascii="Work Sans" w:eastAsia="DengXian Light" w:hAnsi="Work Sans" w:cs="Arial"/>
          <w:i/>
          <w:sz w:val="20"/>
          <w:szCs w:val="20"/>
          <w:lang w:bidi="ar-SA"/>
        </w:rPr>
        <w:t>1. Mantener vigente por otro término igual el beneficio en la reducción del 50% del valor de los p</w:t>
      </w:r>
      <w:r>
        <w:rPr>
          <w:rFonts w:ascii="Work Sans" w:eastAsia="DengXian Light" w:hAnsi="Work Sans" w:cs="Arial"/>
          <w:i/>
          <w:sz w:val="20"/>
          <w:szCs w:val="20"/>
          <w:lang w:bidi="ar-SA"/>
        </w:rPr>
        <w:t>eajes (Res. 20213040009825 – 20213040010065 / 2021) en las rutas desde Cúcuta hacia los puertos del Atlántico. Respecto a este asunto, aprovechamos para solicitar respetuosamente que este beneficio se mantenga no sólo para el carbón térmico, sino que tambi</w:t>
      </w:r>
      <w:r>
        <w:rPr>
          <w:rFonts w:ascii="Work Sans" w:eastAsia="DengXian Light" w:hAnsi="Work Sans" w:cs="Arial"/>
          <w:i/>
          <w:sz w:val="20"/>
          <w:szCs w:val="20"/>
          <w:lang w:bidi="ar-SA"/>
        </w:rPr>
        <w:t>én se incluya el carbón metalúrgico y el coque proveniente de Norte de Santander con destino exportación, ya que estos productos sufren las mismascondiciones del carbón térmico, en materia de movilidad y logística por lo largos recorridos que deben realiza</w:t>
      </w:r>
      <w:r>
        <w:rPr>
          <w:rFonts w:ascii="Work Sans" w:eastAsia="DengXian Light" w:hAnsi="Work Sans" w:cs="Arial"/>
          <w:i/>
          <w:sz w:val="20"/>
          <w:szCs w:val="20"/>
          <w:lang w:bidi="ar-SA"/>
        </w:rPr>
        <w:t>r para poder llegar a puerto, lo que impacta negativamente en la competitividad de estos productos en mercados internacionales.</w:t>
      </w:r>
    </w:p>
    <w:p w14:paraId="2895770F" w14:textId="77777777" w:rsidR="00E66C34" w:rsidRDefault="00E66C34">
      <w:pPr>
        <w:ind w:left="567" w:right="680"/>
        <w:jc w:val="both"/>
        <w:rPr>
          <w:rFonts w:ascii="Work Sans" w:eastAsia="DengXian Light" w:hAnsi="Work Sans" w:cs="Arial"/>
          <w:b/>
          <w:i/>
          <w:sz w:val="20"/>
          <w:szCs w:val="20"/>
          <w:u w:val="single"/>
          <w:lang w:bidi="ar-SA"/>
        </w:rPr>
      </w:pPr>
    </w:p>
    <w:p w14:paraId="090542C2" w14:textId="77777777" w:rsidR="00E66C34" w:rsidRDefault="00955E32">
      <w:pPr>
        <w:ind w:left="567" w:right="680"/>
        <w:jc w:val="both"/>
      </w:pPr>
      <w:r>
        <w:rPr>
          <w:rFonts w:ascii="Work Sans" w:eastAsia="DengXian Light" w:hAnsi="Work Sans" w:cs="Arial"/>
          <w:i/>
          <w:sz w:val="20"/>
          <w:szCs w:val="20"/>
          <w:lang w:bidi="ar-SA"/>
        </w:rPr>
        <w:t>2. Mantener vigente la Resolución de exención del 50% (Res. 20213040010075 /2021) de la tarifa derecho de tránsito por el corre</w:t>
      </w:r>
      <w:r>
        <w:rPr>
          <w:rFonts w:ascii="Work Sans" w:eastAsia="DengXian Light" w:hAnsi="Work Sans" w:cs="Arial"/>
          <w:i/>
          <w:sz w:val="20"/>
          <w:szCs w:val="20"/>
          <w:lang w:bidi="ar-SA"/>
        </w:rPr>
        <w:t>dor férreo en el tramo Chiriguana – Santa Marta, y de la cual agradecemos se haga extensiva desde Gamarra Chiriguana-Santa Marta, para lograr así viabilizar la propuesta de operación logística multimodal (férrea) dirigida en un primer momento para Carbón d</w:t>
      </w:r>
      <w:r>
        <w:rPr>
          <w:rFonts w:ascii="Work Sans" w:eastAsia="DengXian Light" w:hAnsi="Work Sans" w:cs="Arial"/>
          <w:i/>
          <w:sz w:val="20"/>
          <w:szCs w:val="20"/>
          <w:lang w:bidi="ar-SA"/>
        </w:rPr>
        <w:t>e Norte de Santander con retorno de carga compensada en la ruta Gamarra-Santa Marta, estrategia liderada por la ANI (Grupo Férreo) y que aún no se ha podido viabilizar con tarifas económicas que permita al carbón de esta región subirse a esta estrategia mu</w:t>
      </w:r>
      <w:r>
        <w:rPr>
          <w:rFonts w:ascii="Work Sans" w:eastAsia="DengXian Light" w:hAnsi="Work Sans" w:cs="Arial"/>
          <w:i/>
          <w:sz w:val="20"/>
          <w:szCs w:val="20"/>
          <w:lang w:bidi="ar-SA"/>
        </w:rPr>
        <w:t>ltimodal. (…)”</w:t>
      </w:r>
    </w:p>
    <w:p w14:paraId="29DECAD2" w14:textId="77777777" w:rsidR="00E66C34" w:rsidRDefault="00E66C34">
      <w:pPr>
        <w:ind w:left="567" w:right="680"/>
        <w:jc w:val="both"/>
      </w:pPr>
    </w:p>
    <w:p w14:paraId="6317928F" w14:textId="77777777" w:rsidR="00E66C34" w:rsidRDefault="00955E32">
      <w:pPr>
        <w:pStyle w:val="Prrafodelista"/>
        <w:autoSpaceDE w:val="0"/>
        <w:ind w:left="0"/>
        <w:jc w:val="both"/>
      </w:pPr>
      <w:r>
        <w:rPr>
          <w:rFonts w:ascii="Work Sans" w:eastAsia="DengXian Light" w:hAnsi="Work Sans" w:cs="Arial"/>
          <w:sz w:val="20"/>
        </w:rPr>
        <w:t xml:space="preserve">Que mediante oficio con radicado No. MT- </w:t>
      </w:r>
      <w:hyperlink r:id="rId17" w:history="1">
        <w:r>
          <w:rPr>
            <w:rFonts w:ascii="Work Sans" w:eastAsia="DengXian Light" w:hAnsi="Work Sans" w:cs="Arial"/>
            <w:sz w:val="20"/>
          </w:rPr>
          <w:t>20223030357292</w:t>
        </w:r>
      </w:hyperlink>
      <w:r>
        <w:rPr>
          <w:rFonts w:ascii="Work Sans" w:eastAsia="DengXian Light" w:hAnsi="Work Sans" w:cs="Arial"/>
          <w:sz w:val="20"/>
        </w:rPr>
        <w:t xml:space="preserve"> de fecha 18 de febrero de 2022, la Gobernac</w:t>
      </w:r>
      <w:r>
        <w:rPr>
          <w:rFonts w:ascii="Work Sans" w:eastAsia="DengXian Light" w:hAnsi="Work Sans" w:cs="Arial"/>
          <w:sz w:val="20"/>
        </w:rPr>
        <w:t>ión del Norte de Santander, solicitó lo siguiente:</w:t>
      </w:r>
    </w:p>
    <w:p w14:paraId="1A5E619A" w14:textId="77777777" w:rsidR="00E66C34" w:rsidRDefault="00E66C34">
      <w:pPr>
        <w:pStyle w:val="Prrafodelista"/>
        <w:autoSpaceDE w:val="0"/>
        <w:ind w:left="0"/>
        <w:jc w:val="both"/>
        <w:rPr>
          <w:rFonts w:ascii="Work Sans" w:eastAsia="DengXian Light" w:hAnsi="Work Sans" w:cs="Arial"/>
          <w:sz w:val="20"/>
        </w:rPr>
      </w:pPr>
    </w:p>
    <w:p w14:paraId="31D308C5" w14:textId="77777777" w:rsidR="00E66C34" w:rsidRDefault="00955E32">
      <w:pPr>
        <w:pStyle w:val="Prrafodelista"/>
        <w:autoSpaceDE w:val="0"/>
        <w:ind w:left="624" w:right="624"/>
        <w:jc w:val="both"/>
        <w:rPr>
          <w:rFonts w:ascii="Work Sans" w:eastAsia="DengXian Light" w:hAnsi="Work Sans" w:cs="Arial"/>
          <w:i/>
          <w:sz w:val="20"/>
        </w:rPr>
      </w:pPr>
      <w:r>
        <w:rPr>
          <w:rFonts w:ascii="Work Sans" w:eastAsia="DengXian Light" w:hAnsi="Work Sans" w:cs="Arial"/>
          <w:i/>
          <w:sz w:val="20"/>
        </w:rPr>
        <w:t xml:space="preserve">“En concordancia con el panorama descrito anteriormente solicitamos respetuosamente se considere la prórroga de las Resoluciones 20213040009825 de 9 de </w:t>
      </w:r>
      <w:proofErr w:type="gramStart"/>
      <w:r>
        <w:rPr>
          <w:rFonts w:ascii="Work Sans" w:eastAsia="DengXian Light" w:hAnsi="Work Sans" w:cs="Arial"/>
          <w:i/>
          <w:sz w:val="20"/>
        </w:rPr>
        <w:t>Marzo</w:t>
      </w:r>
      <w:proofErr w:type="gramEnd"/>
      <w:r>
        <w:rPr>
          <w:rFonts w:ascii="Work Sans" w:eastAsia="DengXian Light" w:hAnsi="Work Sans" w:cs="Arial"/>
          <w:i/>
          <w:sz w:val="20"/>
        </w:rPr>
        <w:t xml:space="preserve"> de 2021 y Resolución </w:t>
      </w:r>
      <w:r>
        <w:rPr>
          <w:rFonts w:ascii="Work Sans" w:eastAsia="DengXian Light" w:hAnsi="Work Sans" w:cs="Arial"/>
          <w:i/>
          <w:sz w:val="20"/>
        </w:rPr>
        <w:t>20213040010065 de 10 de Marzo de 2021, expedidas por el Ministerio de Transporte puesto que se acerca la fecha de vencimiento de estas Resoluciones (...)”</w:t>
      </w:r>
    </w:p>
    <w:p w14:paraId="08042D69" w14:textId="77777777" w:rsidR="00E66C34" w:rsidRDefault="00E66C34">
      <w:pPr>
        <w:pStyle w:val="Prrafodelista"/>
        <w:autoSpaceDE w:val="0"/>
        <w:ind w:left="0"/>
        <w:jc w:val="both"/>
        <w:rPr>
          <w:rFonts w:ascii="Work Sans" w:eastAsia="DengXian Light" w:hAnsi="Work Sans" w:cs="Arial"/>
          <w:i/>
          <w:sz w:val="20"/>
        </w:rPr>
      </w:pPr>
    </w:p>
    <w:p w14:paraId="234EBF55" w14:textId="77777777" w:rsidR="00E66C34" w:rsidRDefault="00955E32">
      <w:pPr>
        <w:jc w:val="both"/>
        <w:rPr>
          <w:rFonts w:ascii="Work Sans" w:eastAsia="DengXian Light" w:hAnsi="Work Sans" w:cs="Arial"/>
          <w:sz w:val="20"/>
          <w:szCs w:val="20"/>
          <w:lang w:bidi="ar-SA"/>
        </w:rPr>
      </w:pPr>
      <w:r>
        <w:rPr>
          <w:rFonts w:ascii="Work Sans" w:eastAsia="DengXian Light" w:hAnsi="Work Sans" w:cs="Arial"/>
          <w:sz w:val="20"/>
          <w:szCs w:val="20"/>
          <w:lang w:bidi="ar-SA"/>
        </w:rPr>
        <w:t xml:space="preserve">Que mediante radicado Invías número DG 8627 del 21 de febrero de 2022, radicado en el Ministerio de </w:t>
      </w:r>
      <w:r>
        <w:rPr>
          <w:rFonts w:ascii="Work Sans" w:eastAsia="DengXian Light" w:hAnsi="Work Sans" w:cs="Arial"/>
          <w:sz w:val="20"/>
          <w:szCs w:val="20"/>
          <w:lang w:bidi="ar-SA"/>
        </w:rPr>
        <w:t xml:space="preserve">Transporte con el No. MT- 20223030390712 del 22 de febrero de 2022, el </w:t>
      </w:r>
      <w:proofErr w:type="gramStart"/>
      <w:r>
        <w:rPr>
          <w:rFonts w:ascii="Work Sans" w:eastAsia="DengXian Light" w:hAnsi="Work Sans" w:cs="Arial"/>
          <w:sz w:val="20"/>
          <w:szCs w:val="20"/>
          <w:lang w:bidi="ar-SA"/>
        </w:rPr>
        <w:t>Director</w:t>
      </w:r>
      <w:proofErr w:type="gramEnd"/>
      <w:r>
        <w:rPr>
          <w:rFonts w:ascii="Work Sans" w:eastAsia="DengXian Light" w:hAnsi="Work Sans" w:cs="Arial"/>
          <w:sz w:val="20"/>
          <w:szCs w:val="20"/>
          <w:lang w:bidi="ar-SA"/>
        </w:rPr>
        <w:t xml:space="preserve"> del Instituto Nacional de Vías, emite concepto favorable en los siguientes términos:</w:t>
      </w:r>
    </w:p>
    <w:p w14:paraId="1F0EDD79" w14:textId="77777777" w:rsidR="00E66C34" w:rsidRDefault="00E66C34">
      <w:pPr>
        <w:jc w:val="both"/>
        <w:rPr>
          <w:rFonts w:ascii="Work Sans" w:eastAsia="DengXian Light" w:hAnsi="Work Sans" w:cs="Arial"/>
          <w:i/>
          <w:sz w:val="20"/>
          <w:szCs w:val="20"/>
          <w:lang w:bidi="ar-SA"/>
        </w:rPr>
      </w:pPr>
    </w:p>
    <w:p w14:paraId="18532A46" w14:textId="77777777" w:rsidR="00E66C34" w:rsidRDefault="00955E32">
      <w:pPr>
        <w:ind w:left="567" w:right="964"/>
        <w:jc w:val="both"/>
      </w:pPr>
      <w:r>
        <w:rPr>
          <w:rFonts w:ascii="Work Sans" w:eastAsia="DengXian Light" w:hAnsi="Work Sans" w:cs="Arial"/>
          <w:i/>
          <w:sz w:val="20"/>
          <w:szCs w:val="20"/>
          <w:lang w:bidi="ar-SA"/>
        </w:rPr>
        <w:t xml:space="preserve">“(…) Atendiendo la comunicación indicada en el asunto, a través de la cual la </w:t>
      </w:r>
      <w:r>
        <w:rPr>
          <w:rFonts w:ascii="Work Sans" w:eastAsia="DengXian Light" w:hAnsi="Work Sans" w:cs="Arial"/>
          <w:i/>
          <w:sz w:val="20"/>
          <w:szCs w:val="20"/>
          <w:lang w:bidi="ar-SA"/>
        </w:rPr>
        <w:t xml:space="preserve">Asociación de Carboneros de Norte de Santander – ASOCARBONOR, solicita la prórroga de la Resolución No. 20213040009825 de 09 de marzo de 2021,"Por la cual se prorroga el término establecido en el artículo cuarto de la Resolución No. 000886 de 2019 "por la </w:t>
      </w:r>
      <w:r>
        <w:rPr>
          <w:rFonts w:ascii="Work Sans" w:eastAsia="DengXian Light" w:hAnsi="Work Sans" w:cs="Arial"/>
          <w:i/>
          <w:sz w:val="20"/>
          <w:szCs w:val="20"/>
          <w:lang w:bidi="ar-SA"/>
        </w:rPr>
        <w:t>cual se establece una tarifa diferencial en las estaciones de peaje denominadas Platanal, Gamarra y Pailitas", por un término igual al establecido en la Resolución 20213040009825 de 09 de marzo de 2021, petición que se fundamenta en atención a que las afec</w:t>
      </w:r>
      <w:r>
        <w:rPr>
          <w:rFonts w:ascii="Work Sans" w:eastAsia="DengXian Light" w:hAnsi="Work Sans" w:cs="Arial"/>
          <w:i/>
          <w:sz w:val="20"/>
          <w:szCs w:val="20"/>
          <w:lang w:bidi="ar-SA"/>
        </w:rPr>
        <w:t>taciones al intercambio comercial del carbón derivada del cierre fronterizo entre las Repúblicas de Colombia y Venezuela aún se mantienen, indicando que “(…) desde el cierre de la frontera con Venezuela, a la fecha aún no es posible el tránsito, no solo po</w:t>
      </w:r>
      <w:r>
        <w:rPr>
          <w:rFonts w:ascii="Work Sans" w:eastAsia="DengXian Light" w:hAnsi="Work Sans" w:cs="Arial"/>
          <w:i/>
          <w:sz w:val="20"/>
          <w:szCs w:val="20"/>
          <w:lang w:bidi="ar-SA"/>
        </w:rPr>
        <w:t>r temas logísticos (vial, ambiental y portuario), sino también por la ausencia total de seguridad personal y jurídica por parte del gobierno venezolano (…)”, comedidamente le informo que este Instituto emite concepto favorable para el trámite de la prórrog</w:t>
      </w:r>
      <w:r>
        <w:rPr>
          <w:rFonts w:ascii="Work Sans" w:eastAsia="DengXian Light" w:hAnsi="Work Sans" w:cs="Arial"/>
          <w:i/>
          <w:sz w:val="20"/>
          <w:szCs w:val="20"/>
          <w:lang w:bidi="ar-SA"/>
        </w:rPr>
        <w:t>a requerida por ASOCARBONOR, por el término de un año, es decir hasta el 13 de marzo de 2023.</w:t>
      </w:r>
    </w:p>
    <w:p w14:paraId="49898590" w14:textId="77777777" w:rsidR="00E66C34" w:rsidRDefault="00E66C34">
      <w:pPr>
        <w:ind w:left="907" w:right="964"/>
        <w:jc w:val="both"/>
        <w:rPr>
          <w:rFonts w:ascii="Work Sans" w:eastAsia="DengXian Light" w:hAnsi="Work Sans" w:cs="Arial"/>
          <w:i/>
          <w:sz w:val="20"/>
          <w:szCs w:val="20"/>
          <w:lang w:bidi="ar-SA"/>
        </w:rPr>
      </w:pPr>
    </w:p>
    <w:p w14:paraId="3BD5BFC0" w14:textId="77777777" w:rsidR="00E66C34" w:rsidRDefault="00955E32">
      <w:pPr>
        <w:ind w:left="567" w:right="964"/>
        <w:jc w:val="both"/>
        <w:rPr>
          <w:rFonts w:ascii="Work Sans" w:eastAsia="DengXian Light" w:hAnsi="Work Sans" w:cs="Arial"/>
          <w:i/>
          <w:sz w:val="20"/>
          <w:szCs w:val="20"/>
          <w:lang w:bidi="ar-SA"/>
        </w:rPr>
      </w:pPr>
      <w:r>
        <w:rPr>
          <w:rFonts w:ascii="Work Sans" w:eastAsia="DengXian Light" w:hAnsi="Work Sans" w:cs="Arial"/>
          <w:i/>
          <w:sz w:val="20"/>
          <w:szCs w:val="20"/>
          <w:lang w:bidi="ar-SA"/>
        </w:rPr>
        <w:t>Vale la pena destacar que la estación de peaje Gamarra, localizada en la vía departamental Gamarra – Aguachica, en el departamento del Cesar, dejó de operar a pa</w:t>
      </w:r>
      <w:r>
        <w:rPr>
          <w:rFonts w:ascii="Work Sans" w:eastAsia="DengXian Light" w:hAnsi="Work Sans" w:cs="Arial"/>
          <w:i/>
          <w:sz w:val="20"/>
          <w:szCs w:val="20"/>
          <w:lang w:bidi="ar-SA"/>
        </w:rPr>
        <w:t>rtir del 4 de diciembre de 2021, en cumplimiento de lo dispuesto en la Resolución No. 20213040058455 del 3 de diciembre de 2021, expedida por ese Ministerio, “Por la cual se derogan todas las disposiciones contenidas en las Resoluciones 0002127 del 2014, 0</w:t>
      </w:r>
      <w:r>
        <w:rPr>
          <w:rFonts w:ascii="Work Sans" w:eastAsia="DengXian Light" w:hAnsi="Work Sans" w:cs="Arial"/>
          <w:i/>
          <w:sz w:val="20"/>
          <w:szCs w:val="20"/>
          <w:lang w:bidi="ar-SA"/>
        </w:rPr>
        <w:t>000859 de 2015 y 0001314 de 2016, relacionadas únicamente con la estación de peaje denominada “Gamarra”, ubicada en la vía Gamarra – Aguachica.”, razón por la cual, en adelante, el beneficio de tarifa especial que solicita la Asociación de Carboneros de No</w:t>
      </w:r>
      <w:r>
        <w:rPr>
          <w:rFonts w:ascii="Work Sans" w:eastAsia="DengXian Light" w:hAnsi="Work Sans" w:cs="Arial"/>
          <w:i/>
          <w:sz w:val="20"/>
          <w:szCs w:val="20"/>
          <w:lang w:bidi="ar-SA"/>
        </w:rPr>
        <w:t>rte de Santander – ASOCARBONOR, solo operaría para las estaciones de peaje Platanal y Pailitas, a cargo de este Instituto. (…)”.</w:t>
      </w:r>
    </w:p>
    <w:p w14:paraId="122A0BCF" w14:textId="77777777" w:rsidR="00E66C34" w:rsidRDefault="00955E32">
      <w:pPr>
        <w:jc w:val="both"/>
        <w:rPr>
          <w:rFonts w:ascii="Work Sans" w:eastAsia="DengXian Light" w:hAnsi="Work Sans" w:cs="Arial"/>
          <w:sz w:val="20"/>
          <w:szCs w:val="20"/>
          <w:lang w:bidi="ar-SA"/>
        </w:rPr>
      </w:pPr>
      <w:r>
        <w:rPr>
          <w:rFonts w:ascii="Work Sans" w:eastAsia="DengXian Light" w:hAnsi="Work Sans" w:cs="Arial"/>
          <w:sz w:val="20"/>
          <w:szCs w:val="20"/>
          <w:lang w:bidi="ar-SA"/>
        </w:rPr>
        <w:t> </w:t>
      </w:r>
    </w:p>
    <w:p w14:paraId="7213BC9E" w14:textId="77777777" w:rsidR="00E66C34" w:rsidRDefault="00955E32">
      <w:pPr>
        <w:jc w:val="both"/>
      </w:pPr>
      <w:r>
        <w:rPr>
          <w:rFonts w:ascii="Work Sans" w:eastAsia="DengXian Light" w:hAnsi="Work Sans" w:cs="Arial"/>
          <w:sz w:val="20"/>
          <w:szCs w:val="20"/>
          <w:lang w:bidi="ar-SA"/>
        </w:rPr>
        <w:t>Que mediante Memorando 20221410019363 del 22 de febrero de 2022, la Oficina de Regulación Económica del Ministerio de Transpo</w:t>
      </w:r>
      <w:r>
        <w:rPr>
          <w:rFonts w:ascii="Work Sans" w:eastAsia="DengXian Light" w:hAnsi="Work Sans" w:cs="Arial"/>
          <w:sz w:val="20"/>
          <w:szCs w:val="20"/>
          <w:lang w:bidi="ar-SA"/>
        </w:rPr>
        <w:t>rte en cumplimiento de lo establecido en el numeral 9.8 del artículo 9° del </w:t>
      </w:r>
      <w:hyperlink r:id="rId18" w:history="1">
        <w:r>
          <w:rPr>
            <w:rFonts w:ascii="Work Sans" w:eastAsia="DengXian Light" w:hAnsi="Work Sans" w:cs="Arial"/>
            <w:sz w:val="20"/>
            <w:szCs w:val="20"/>
            <w:lang w:bidi="ar-SA"/>
          </w:rPr>
          <w:t>Decreto 087 de 2011</w:t>
        </w:r>
      </w:hyperlink>
      <w:r>
        <w:rPr>
          <w:rFonts w:ascii="Work Sans" w:eastAsia="DengXian Light" w:hAnsi="Work Sans" w:cs="Arial"/>
          <w:sz w:val="20"/>
          <w:szCs w:val="20"/>
          <w:lang w:bidi="ar-SA"/>
        </w:rPr>
        <w:t>, analizó y dio viabilidad para prorrogar por un (1) año más el término esta</w:t>
      </w:r>
      <w:r>
        <w:rPr>
          <w:rFonts w:ascii="Work Sans" w:eastAsia="DengXian Light" w:hAnsi="Work Sans" w:cs="Arial"/>
          <w:sz w:val="20"/>
          <w:szCs w:val="20"/>
          <w:lang w:bidi="ar-SA"/>
        </w:rPr>
        <w:t>blecido en el artículo 4° de la </w:t>
      </w:r>
      <w:hyperlink r:id="rId19" w:history="1">
        <w:r>
          <w:rPr>
            <w:rFonts w:ascii="Work Sans" w:eastAsia="DengXian Light" w:hAnsi="Work Sans" w:cs="Arial"/>
            <w:sz w:val="20"/>
            <w:szCs w:val="20"/>
            <w:lang w:bidi="ar-SA"/>
          </w:rPr>
          <w:t>Resolución 0886 de 2019</w:t>
        </w:r>
      </w:hyperlink>
      <w:r>
        <w:rPr>
          <w:rFonts w:ascii="Work Sans" w:eastAsia="DengXian Light" w:hAnsi="Work Sans" w:cs="Arial"/>
          <w:sz w:val="20"/>
          <w:szCs w:val="20"/>
          <w:lang w:bidi="ar-SA"/>
        </w:rPr>
        <w:t> prorrogado por el artículo 1° de la </w:t>
      </w:r>
      <w:hyperlink r:id="rId20" w:history="1">
        <w:r>
          <w:rPr>
            <w:rFonts w:ascii="Work Sans" w:eastAsia="DengXian Light" w:hAnsi="Work Sans" w:cs="Arial"/>
            <w:sz w:val="20"/>
            <w:szCs w:val="20"/>
            <w:lang w:bidi="ar-SA"/>
          </w:rPr>
          <w:t>Resolución 0510 de 2020</w:t>
        </w:r>
      </w:hyperlink>
      <w:r>
        <w:rPr>
          <w:rFonts w:ascii="Work Sans" w:eastAsia="DengXian Light" w:hAnsi="Work Sans" w:cs="Arial"/>
          <w:sz w:val="20"/>
          <w:szCs w:val="20"/>
          <w:lang w:bidi="ar-SA"/>
        </w:rPr>
        <w:t> y por el artículo 1º. de la Resolución 20213040009825 de 2021  del Ministerio de Transporte, en los siguientes términos:</w:t>
      </w:r>
    </w:p>
    <w:p w14:paraId="7A37F0FB" w14:textId="77777777" w:rsidR="00E66C34" w:rsidRDefault="00E66C34">
      <w:pPr>
        <w:jc w:val="both"/>
        <w:rPr>
          <w:rFonts w:ascii="Work Sans" w:eastAsia="DengXian Light" w:hAnsi="Work Sans" w:cs="Arial"/>
          <w:sz w:val="20"/>
          <w:szCs w:val="20"/>
          <w:lang w:bidi="ar-SA"/>
        </w:rPr>
      </w:pPr>
    </w:p>
    <w:p w14:paraId="4F24C97D" w14:textId="77777777" w:rsidR="00E66C34" w:rsidRDefault="00955E32">
      <w:pPr>
        <w:ind w:left="567" w:right="680"/>
        <w:jc w:val="both"/>
        <w:rPr>
          <w:rFonts w:ascii="Work Sans" w:eastAsia="DengXian Light" w:hAnsi="Work Sans" w:cs="Arial"/>
          <w:i/>
          <w:sz w:val="20"/>
          <w:szCs w:val="20"/>
          <w:lang w:bidi="ar-SA"/>
        </w:rPr>
      </w:pPr>
      <w:r>
        <w:rPr>
          <w:rFonts w:ascii="Work Sans" w:eastAsia="DengXian Light" w:hAnsi="Work Sans" w:cs="Arial"/>
          <w:i/>
          <w:sz w:val="20"/>
          <w:szCs w:val="20"/>
          <w:lang w:bidi="ar-SA"/>
        </w:rPr>
        <w:t>“La Oficina de Regulación Económica se permite dar concepto favora</w:t>
      </w:r>
      <w:r>
        <w:rPr>
          <w:rFonts w:ascii="Work Sans" w:eastAsia="DengXian Light" w:hAnsi="Work Sans" w:cs="Arial"/>
          <w:i/>
          <w:sz w:val="20"/>
          <w:szCs w:val="20"/>
          <w:lang w:bidi="ar-SA"/>
        </w:rPr>
        <w:t xml:space="preserve">ble para la prórroga de un año del plazo señalado en las Resoluciones 884, </w:t>
      </w:r>
      <w:r>
        <w:rPr>
          <w:rFonts w:ascii="Work Sans" w:eastAsia="DengXian Light" w:hAnsi="Work Sans" w:cs="Arial"/>
          <w:i/>
          <w:sz w:val="20"/>
          <w:szCs w:val="20"/>
          <w:lang w:bidi="ar-SA"/>
        </w:rPr>
        <w:lastRenderedPageBreak/>
        <w:t xml:space="preserve">885 y 886 de 2019, prorrogado por las Resoluciones No. 507, 508 y 510 del 11 de marzo de 2020 y a su vez prorrogadas por las Resoluciones No. 20213040009825 de marzo 9 de 2021, No. </w:t>
      </w:r>
      <w:r>
        <w:rPr>
          <w:rFonts w:ascii="Work Sans" w:eastAsia="DengXian Light" w:hAnsi="Work Sans" w:cs="Arial"/>
          <w:i/>
          <w:sz w:val="20"/>
          <w:szCs w:val="20"/>
          <w:lang w:bidi="ar-SA"/>
        </w:rPr>
        <w:t>20213040010065 de marzo 10 de 2021 y No. 20213040010075 de marzo 10 de 2021 respectivamente, mediante el cual se estableció una exención del cincuenta por ciento del (50%) del valor de la tarifa en los peajes Platanal, Pailitas, La Loma, El Copey y Tucurin</w:t>
      </w:r>
      <w:r>
        <w:rPr>
          <w:rFonts w:ascii="Work Sans" w:eastAsia="DengXian Light" w:hAnsi="Work Sans" w:cs="Arial"/>
          <w:i/>
          <w:sz w:val="20"/>
          <w:szCs w:val="20"/>
          <w:lang w:bidi="ar-SA"/>
        </w:rPr>
        <w:t>ca, para vehículos de transporte de carga que transporten carbón térmico o carbón mineral térmico desde el departamento de Norte de Santander hacia los municipios de Chiriguaná, La Loma, Santa Marta, Dibulla (Guajira), Barranquilla o Cartagena y su viaje d</w:t>
      </w:r>
      <w:r>
        <w:rPr>
          <w:rFonts w:ascii="Work Sans" w:eastAsia="DengXian Light" w:hAnsi="Work Sans" w:cs="Arial"/>
          <w:i/>
          <w:sz w:val="20"/>
          <w:szCs w:val="20"/>
          <w:lang w:bidi="ar-SA"/>
        </w:rPr>
        <w:t>e regreso de estos municipios hacia su lugar de origen. Así como una exención del cincuenta por ciento (50%) de la tarifa de paso actual, por el derecho de tránsito por cada tonelada métrica de carga de carbón proveniente del departamento de Norte de Santa</w:t>
      </w:r>
      <w:r>
        <w:rPr>
          <w:rFonts w:ascii="Work Sans" w:eastAsia="DengXian Light" w:hAnsi="Work Sans" w:cs="Arial"/>
          <w:i/>
          <w:sz w:val="20"/>
          <w:szCs w:val="20"/>
          <w:lang w:bidi="ar-SA"/>
        </w:rPr>
        <w:t>nder transportadas por el corredor férreo en el tramo Chiriguaná - Santa Marta, que debe realizar el Concesionario de la Red Férrea del Atlántico Fenoco S.A.</w:t>
      </w:r>
    </w:p>
    <w:p w14:paraId="5152A770" w14:textId="77777777" w:rsidR="00E66C34" w:rsidRDefault="00E66C34">
      <w:pPr>
        <w:ind w:left="567" w:right="680"/>
        <w:jc w:val="both"/>
        <w:rPr>
          <w:rFonts w:ascii="Work Sans" w:eastAsia="DengXian Light" w:hAnsi="Work Sans" w:cs="Arial"/>
          <w:i/>
          <w:sz w:val="20"/>
          <w:szCs w:val="20"/>
          <w:lang w:bidi="ar-SA"/>
        </w:rPr>
      </w:pPr>
    </w:p>
    <w:p w14:paraId="6AEE4428" w14:textId="77777777" w:rsidR="00E66C34" w:rsidRDefault="00955E32">
      <w:pPr>
        <w:ind w:left="567" w:right="680"/>
        <w:jc w:val="both"/>
        <w:rPr>
          <w:rFonts w:ascii="Work Sans" w:eastAsia="DengXian Light" w:hAnsi="Work Sans" w:cs="Arial"/>
          <w:i/>
          <w:sz w:val="20"/>
          <w:szCs w:val="20"/>
          <w:lang w:bidi="ar-SA"/>
        </w:rPr>
      </w:pPr>
      <w:r>
        <w:rPr>
          <w:rFonts w:ascii="Work Sans" w:eastAsia="DengXian Light" w:hAnsi="Work Sans" w:cs="Arial"/>
          <w:i/>
          <w:sz w:val="20"/>
          <w:szCs w:val="20"/>
          <w:lang w:bidi="ar-SA"/>
        </w:rPr>
        <w:t>Lo anterior, teniendo en cuenta lo siguiente:</w:t>
      </w:r>
    </w:p>
    <w:p w14:paraId="51B9B5E1" w14:textId="77777777" w:rsidR="00E66C34" w:rsidRDefault="00E66C34">
      <w:pPr>
        <w:ind w:left="567" w:right="680"/>
        <w:jc w:val="both"/>
        <w:rPr>
          <w:rFonts w:ascii="Work Sans" w:eastAsia="DengXian Light" w:hAnsi="Work Sans" w:cs="Arial"/>
          <w:i/>
          <w:sz w:val="20"/>
          <w:szCs w:val="20"/>
          <w:lang w:bidi="ar-SA"/>
        </w:rPr>
      </w:pPr>
    </w:p>
    <w:p w14:paraId="5C83629C" w14:textId="77777777" w:rsidR="00E66C34" w:rsidRDefault="00955E32">
      <w:pPr>
        <w:ind w:left="567" w:right="680"/>
        <w:jc w:val="both"/>
        <w:rPr>
          <w:rFonts w:ascii="Work Sans" w:eastAsia="DengXian Light" w:hAnsi="Work Sans" w:cs="Arial"/>
          <w:i/>
          <w:sz w:val="20"/>
          <w:szCs w:val="20"/>
          <w:lang w:bidi="ar-SA"/>
        </w:rPr>
      </w:pPr>
      <w:r>
        <w:rPr>
          <w:rFonts w:ascii="Work Sans" w:eastAsia="DengXian Light" w:hAnsi="Work Sans" w:cs="Arial"/>
          <w:i/>
          <w:sz w:val="20"/>
          <w:szCs w:val="20"/>
          <w:lang w:bidi="ar-SA"/>
        </w:rPr>
        <w:t xml:space="preserve">1. Las solicitudes expuestas por la Asociación de </w:t>
      </w:r>
      <w:r>
        <w:rPr>
          <w:rFonts w:ascii="Work Sans" w:eastAsia="DengXian Light" w:hAnsi="Work Sans" w:cs="Arial"/>
          <w:i/>
          <w:sz w:val="20"/>
          <w:szCs w:val="20"/>
          <w:lang w:bidi="ar-SA"/>
        </w:rPr>
        <w:t>Carboneros de Norte de Santander mediante radicado MT-20223030246492 del 4 de febrero de 2022, el Viceministerio de Minas y Energía y la Gobernación del Norte de Santander.</w:t>
      </w:r>
    </w:p>
    <w:p w14:paraId="376AEDC3" w14:textId="77777777" w:rsidR="00E66C34" w:rsidRDefault="00E66C34">
      <w:pPr>
        <w:ind w:left="567" w:right="680"/>
        <w:jc w:val="both"/>
        <w:rPr>
          <w:rFonts w:ascii="Work Sans" w:eastAsia="DengXian Light" w:hAnsi="Work Sans" w:cs="Arial"/>
          <w:i/>
          <w:sz w:val="20"/>
          <w:szCs w:val="20"/>
          <w:lang w:bidi="ar-SA"/>
        </w:rPr>
      </w:pPr>
    </w:p>
    <w:p w14:paraId="1C302BAE" w14:textId="77777777" w:rsidR="00E66C34" w:rsidRDefault="00955E32">
      <w:pPr>
        <w:ind w:left="567" w:right="680"/>
        <w:jc w:val="both"/>
        <w:rPr>
          <w:rFonts w:ascii="Work Sans" w:eastAsia="DengXian Light" w:hAnsi="Work Sans" w:cs="Arial"/>
          <w:i/>
          <w:sz w:val="20"/>
          <w:szCs w:val="20"/>
          <w:lang w:bidi="ar-SA"/>
        </w:rPr>
      </w:pPr>
      <w:r>
        <w:rPr>
          <w:rFonts w:ascii="Work Sans" w:eastAsia="DengXian Light" w:hAnsi="Work Sans" w:cs="Arial"/>
          <w:i/>
          <w:sz w:val="20"/>
          <w:szCs w:val="20"/>
          <w:lang w:bidi="ar-SA"/>
        </w:rPr>
        <w:t>2. Los pronunciamientos de favorabilidad de la Agencia Nacional de Infraestructura</w:t>
      </w:r>
      <w:r>
        <w:rPr>
          <w:rFonts w:ascii="Work Sans" w:eastAsia="DengXian Light" w:hAnsi="Work Sans" w:cs="Arial"/>
          <w:i/>
          <w:sz w:val="20"/>
          <w:szCs w:val="20"/>
          <w:lang w:bidi="ar-SA"/>
        </w:rPr>
        <w:t xml:space="preserve"> -ANI, mediante radicado No. 20223030357052 del 18 de febrero de 2022; y el Instituto Nacional de Vías – INVIAS, mediante Radicado INVIAS No. DG 8627 del 21 de febrero de 2022, No. 20223030390712 del 22 de febrero de 2022.</w:t>
      </w:r>
    </w:p>
    <w:p w14:paraId="7F0883E1" w14:textId="77777777" w:rsidR="00E66C34" w:rsidRDefault="00E66C34">
      <w:pPr>
        <w:ind w:left="567" w:right="680"/>
        <w:jc w:val="both"/>
        <w:rPr>
          <w:rFonts w:ascii="Work Sans" w:eastAsia="DengXian Light" w:hAnsi="Work Sans" w:cs="Arial"/>
          <w:i/>
          <w:sz w:val="20"/>
          <w:szCs w:val="20"/>
          <w:lang w:bidi="ar-SA"/>
        </w:rPr>
      </w:pPr>
    </w:p>
    <w:p w14:paraId="04B84E7F" w14:textId="77777777" w:rsidR="00E66C34" w:rsidRDefault="00955E32">
      <w:pPr>
        <w:ind w:left="567" w:right="680"/>
        <w:jc w:val="both"/>
        <w:rPr>
          <w:rFonts w:ascii="Work Sans" w:eastAsia="DengXian Light" w:hAnsi="Work Sans" w:cs="Arial"/>
          <w:i/>
          <w:sz w:val="20"/>
          <w:szCs w:val="20"/>
          <w:lang w:bidi="ar-SA"/>
        </w:rPr>
      </w:pPr>
      <w:r>
        <w:rPr>
          <w:rFonts w:ascii="Work Sans" w:eastAsia="DengXian Light" w:hAnsi="Work Sans" w:cs="Arial"/>
          <w:i/>
          <w:sz w:val="20"/>
          <w:szCs w:val="20"/>
          <w:lang w:bidi="ar-SA"/>
        </w:rPr>
        <w:t>3. Como consta en los pronunciam</w:t>
      </w:r>
      <w:r>
        <w:rPr>
          <w:rFonts w:ascii="Work Sans" w:eastAsia="DengXian Light" w:hAnsi="Work Sans" w:cs="Arial"/>
          <w:i/>
          <w:sz w:val="20"/>
          <w:szCs w:val="20"/>
          <w:lang w:bidi="ar-SA"/>
        </w:rPr>
        <w:t>ientos de las entidades transcritos en los antecedentes, a la fecha continúa el cierre de las fronteras con la República Bolivariana de Venezuela, afectando el intercambio comercial del carbón y las actividades asociadas al mismo.</w:t>
      </w:r>
    </w:p>
    <w:p w14:paraId="2DA80613" w14:textId="77777777" w:rsidR="00E66C34" w:rsidRDefault="00E66C34">
      <w:pPr>
        <w:ind w:left="567" w:right="680"/>
        <w:jc w:val="both"/>
        <w:rPr>
          <w:rFonts w:ascii="Work Sans" w:eastAsia="DengXian Light" w:hAnsi="Work Sans" w:cs="Arial"/>
          <w:i/>
          <w:sz w:val="20"/>
          <w:szCs w:val="20"/>
          <w:lang w:bidi="ar-SA"/>
        </w:rPr>
      </w:pPr>
    </w:p>
    <w:p w14:paraId="21FDD9A0" w14:textId="77777777" w:rsidR="00E66C34" w:rsidRDefault="00955E32">
      <w:pPr>
        <w:ind w:left="567" w:right="680"/>
        <w:jc w:val="both"/>
        <w:rPr>
          <w:rFonts w:ascii="Work Sans" w:eastAsia="DengXian Light" w:hAnsi="Work Sans" w:cs="Arial"/>
          <w:i/>
          <w:sz w:val="20"/>
          <w:szCs w:val="20"/>
          <w:lang w:bidi="ar-SA"/>
        </w:rPr>
      </w:pPr>
      <w:r>
        <w:rPr>
          <w:rFonts w:ascii="Work Sans" w:eastAsia="DengXian Light" w:hAnsi="Work Sans" w:cs="Arial"/>
          <w:i/>
          <w:sz w:val="20"/>
          <w:szCs w:val="20"/>
          <w:lang w:bidi="ar-SA"/>
        </w:rPr>
        <w:t xml:space="preserve">Finalmente, </w:t>
      </w:r>
      <w:r>
        <w:rPr>
          <w:rFonts w:ascii="Work Sans" w:eastAsia="DengXian Light" w:hAnsi="Work Sans" w:cs="Arial"/>
          <w:i/>
          <w:sz w:val="20"/>
          <w:szCs w:val="20"/>
          <w:lang w:bidi="ar-SA"/>
        </w:rPr>
        <w:t>respecto de la Estación de Peaje Gamarra, la Oficina de Regulación Económica se permite precisar que el beneficio de Tarifa Especial Diferencial no le puede ser aplicable, toda vez que la misma dejó de operar, de acuerdo con lo establecido en la Resolución</w:t>
      </w:r>
      <w:r>
        <w:rPr>
          <w:rFonts w:ascii="Work Sans" w:eastAsia="DengXian Light" w:hAnsi="Work Sans" w:cs="Arial"/>
          <w:i/>
          <w:sz w:val="20"/>
          <w:szCs w:val="20"/>
          <w:lang w:bidi="ar-SA"/>
        </w:rPr>
        <w:t xml:space="preserve"> 20213040058455 del 03 de diciembre de 2021 “Por el cual se derogan todas las disposiciones contenidas en las Resoluciones 0002127 de 2014, 000859 y 0001314 de 2016, relacionadas únicamente con la estación de peaje “Gamarra” ubicada en la vía Gamarrra – Ag</w:t>
      </w:r>
      <w:r>
        <w:rPr>
          <w:rFonts w:ascii="Work Sans" w:eastAsia="DengXian Light" w:hAnsi="Work Sans" w:cs="Arial"/>
          <w:i/>
          <w:sz w:val="20"/>
          <w:szCs w:val="20"/>
          <w:lang w:bidi="ar-SA"/>
        </w:rPr>
        <w:t>uachica.”</w:t>
      </w:r>
    </w:p>
    <w:p w14:paraId="229296FC" w14:textId="77777777" w:rsidR="00E66C34" w:rsidRDefault="00955E32">
      <w:pPr>
        <w:jc w:val="both"/>
        <w:rPr>
          <w:rFonts w:ascii="Work Sans" w:eastAsia="DengXian Light" w:hAnsi="Work Sans" w:cs="Arial"/>
          <w:sz w:val="20"/>
          <w:szCs w:val="20"/>
          <w:lang w:bidi="ar-SA"/>
        </w:rPr>
      </w:pPr>
      <w:r>
        <w:rPr>
          <w:rFonts w:ascii="Work Sans" w:eastAsia="DengXian Light" w:hAnsi="Work Sans" w:cs="Arial"/>
          <w:sz w:val="20"/>
          <w:szCs w:val="20"/>
          <w:lang w:bidi="ar-SA"/>
        </w:rPr>
        <w:t> </w:t>
      </w:r>
    </w:p>
    <w:p w14:paraId="6CB6FC70" w14:textId="77777777" w:rsidR="00E66C34" w:rsidRDefault="00955E32">
      <w:pPr>
        <w:pStyle w:val="Standard"/>
        <w:autoSpaceDE w:val="0"/>
        <w:jc w:val="both"/>
        <w:rPr>
          <w:rFonts w:ascii="Work Sans" w:eastAsia="DengXian Light" w:hAnsi="Work Sans" w:cs="Arial"/>
          <w:sz w:val="20"/>
        </w:rPr>
      </w:pPr>
      <w:r>
        <w:rPr>
          <w:rFonts w:ascii="Work Sans" w:eastAsia="DengXian Light" w:hAnsi="Work Sans" w:cs="Arial"/>
          <w:sz w:val="20"/>
        </w:rPr>
        <w:t>Que el contenido de la presente resolución será publicado en la página web del Ministerio de Transporte y de la Agencia Nacional de Infraestructura, en cumplimiento de lo determinado en el numeral 8 del artículo 8° de la Ley 1437 de 2011, artíc</w:t>
      </w:r>
      <w:r>
        <w:rPr>
          <w:rFonts w:ascii="Work Sans" w:eastAsia="DengXian Light" w:hAnsi="Work Sans" w:cs="Arial"/>
          <w:sz w:val="20"/>
        </w:rPr>
        <w:t xml:space="preserve">ulo 2.1.2.1.14 del Decreto 1081 de 2015 modificado y adicionado por el Decreto 270 de 2017 </w:t>
      </w:r>
      <w:r>
        <w:rPr>
          <w:rFonts w:ascii="Work Sans" w:eastAsia="DengXian Light" w:hAnsi="Work Sans" w:cs="Arial"/>
          <w:sz w:val="20"/>
        </w:rPr>
        <w:lastRenderedPageBreak/>
        <w:t>y la Resolución 994 de 2017 del Ministerio de Transporte, con el objeto de recibir opiniones, sugerencias o propuestas alternativas.</w:t>
      </w:r>
    </w:p>
    <w:p w14:paraId="42FF4C0C" w14:textId="77777777" w:rsidR="00E66C34" w:rsidRDefault="00E66C34">
      <w:pPr>
        <w:tabs>
          <w:tab w:val="left" w:pos="0"/>
        </w:tabs>
        <w:jc w:val="both"/>
        <w:rPr>
          <w:rFonts w:ascii="Work Sans" w:hAnsi="Work Sans" w:cs="Times New Roman"/>
          <w:iCs/>
          <w:sz w:val="20"/>
          <w:szCs w:val="20"/>
          <w:lang w:eastAsia="es-ES"/>
        </w:rPr>
      </w:pPr>
    </w:p>
    <w:p w14:paraId="57154FD6" w14:textId="77777777" w:rsidR="00E66C34" w:rsidRDefault="00955E32">
      <w:pPr>
        <w:pStyle w:val="Standard"/>
        <w:autoSpaceDE w:val="0"/>
        <w:jc w:val="both"/>
        <w:rPr>
          <w:rFonts w:ascii="Work Sans" w:eastAsia="DengXian Light" w:hAnsi="Work Sans" w:cs="Arial"/>
          <w:sz w:val="20"/>
        </w:rPr>
      </w:pPr>
      <w:r>
        <w:rPr>
          <w:rFonts w:ascii="Work Sans" w:eastAsia="DengXian Light" w:hAnsi="Work Sans" w:cs="Arial"/>
          <w:sz w:val="20"/>
        </w:rPr>
        <w:t xml:space="preserve">Que la Oficina Asesora </w:t>
      </w:r>
      <w:r>
        <w:rPr>
          <w:rFonts w:ascii="Work Sans" w:eastAsia="DengXian Light" w:hAnsi="Work Sans" w:cs="Arial"/>
          <w:sz w:val="20"/>
        </w:rPr>
        <w:t>Jurídica del Ministerio de Transporte conservará los documentos asociados a la publicación del presente acto administrativo. Todo ello en concordancia con las políticas de gestión documental y de archivo de la entidad.</w:t>
      </w:r>
    </w:p>
    <w:p w14:paraId="67A498A9" w14:textId="77777777" w:rsidR="00E66C34" w:rsidRDefault="00E66C34">
      <w:pPr>
        <w:tabs>
          <w:tab w:val="left" w:pos="0"/>
        </w:tabs>
        <w:jc w:val="both"/>
        <w:rPr>
          <w:rFonts w:ascii="Work Sans" w:hAnsi="Work Sans" w:cs="Times New Roman"/>
          <w:sz w:val="20"/>
          <w:szCs w:val="20"/>
          <w:lang w:eastAsia="es-ES"/>
        </w:rPr>
      </w:pPr>
    </w:p>
    <w:p w14:paraId="30817605" w14:textId="77777777" w:rsidR="00E66C34" w:rsidRDefault="00955E32">
      <w:pPr>
        <w:jc w:val="both"/>
        <w:rPr>
          <w:rFonts w:ascii="Work Sans" w:hAnsi="Work Sans" w:cs="Times New Roman"/>
          <w:sz w:val="20"/>
          <w:szCs w:val="20"/>
          <w:lang w:val="es-CO" w:eastAsia="es-ES"/>
        </w:rPr>
      </w:pPr>
      <w:r>
        <w:rPr>
          <w:rFonts w:ascii="Work Sans" w:hAnsi="Work Sans" w:cs="Times New Roman"/>
          <w:sz w:val="20"/>
          <w:szCs w:val="20"/>
          <w:lang w:val="es-CO" w:eastAsia="es-ES"/>
        </w:rPr>
        <w:t>En mérito de lo expuesto,</w:t>
      </w:r>
    </w:p>
    <w:p w14:paraId="7199637F" w14:textId="77777777" w:rsidR="00E66C34" w:rsidRDefault="00E66C34">
      <w:pPr>
        <w:jc w:val="center"/>
        <w:rPr>
          <w:rFonts w:ascii="Work Sans" w:hAnsi="Work Sans" w:cs="Times New Roman"/>
          <w:b/>
          <w:sz w:val="20"/>
          <w:szCs w:val="20"/>
          <w:lang w:eastAsia="es-ES"/>
        </w:rPr>
      </w:pPr>
    </w:p>
    <w:p w14:paraId="248AFC7E" w14:textId="77777777" w:rsidR="00E66C34" w:rsidRDefault="00955E32">
      <w:pPr>
        <w:jc w:val="center"/>
        <w:rPr>
          <w:rFonts w:ascii="Work Sans" w:hAnsi="Work Sans" w:cs="Times New Roman"/>
          <w:b/>
          <w:sz w:val="20"/>
          <w:szCs w:val="20"/>
          <w:lang w:eastAsia="es-ES"/>
        </w:rPr>
      </w:pPr>
      <w:r>
        <w:rPr>
          <w:rFonts w:ascii="Work Sans" w:hAnsi="Work Sans" w:cs="Times New Roman"/>
          <w:b/>
          <w:sz w:val="20"/>
          <w:szCs w:val="20"/>
          <w:lang w:eastAsia="es-ES"/>
        </w:rPr>
        <w:t>RESUELVE:</w:t>
      </w:r>
    </w:p>
    <w:p w14:paraId="03054345" w14:textId="77777777" w:rsidR="00E66C34" w:rsidRDefault="00E66C34">
      <w:pPr>
        <w:jc w:val="center"/>
        <w:rPr>
          <w:rFonts w:ascii="Work Sans" w:hAnsi="Work Sans" w:cs="Times New Roman"/>
          <w:b/>
          <w:sz w:val="20"/>
          <w:szCs w:val="20"/>
          <w:lang w:eastAsia="es-ES"/>
        </w:rPr>
      </w:pPr>
    </w:p>
    <w:p w14:paraId="7BF26B34" w14:textId="77777777" w:rsidR="00E66C34" w:rsidRDefault="00955E32">
      <w:pPr>
        <w:jc w:val="both"/>
      </w:pPr>
      <w:r>
        <w:rPr>
          <w:rFonts w:ascii="Work Sans" w:hAnsi="Work Sans"/>
          <w:b/>
          <w:bCs/>
          <w:sz w:val="20"/>
          <w:szCs w:val="20"/>
        </w:rPr>
        <w:t xml:space="preserve">ARTÍCULO 1.- </w:t>
      </w:r>
      <w:r>
        <w:rPr>
          <w:rFonts w:ascii="Work Sans" w:eastAsia="DengXian Light" w:hAnsi="Work Sans" w:cs="Arial"/>
          <w:sz w:val="20"/>
          <w:szCs w:val="20"/>
          <w:lang w:bidi="ar-SA"/>
        </w:rPr>
        <w:t>Prorrogar el plazo establecido en el artículo 4° de la </w:t>
      </w:r>
      <w:hyperlink r:id="rId21" w:history="1">
        <w:r>
          <w:rPr>
            <w:rFonts w:ascii="Work Sans" w:eastAsia="DengXian Light" w:hAnsi="Work Sans" w:cs="Arial"/>
            <w:sz w:val="20"/>
            <w:szCs w:val="20"/>
            <w:lang w:bidi="ar-SA"/>
          </w:rPr>
          <w:t>Resolución 0886 de 2019</w:t>
        </w:r>
      </w:hyperlink>
      <w:r>
        <w:rPr>
          <w:rFonts w:ascii="Work Sans" w:eastAsia="DengXian Light" w:hAnsi="Work Sans" w:cs="Arial"/>
          <w:sz w:val="20"/>
          <w:szCs w:val="20"/>
          <w:lang w:bidi="ar-SA"/>
        </w:rPr>
        <w:t>, prorrogado por el artículo 1° de la </w:t>
      </w:r>
      <w:hyperlink r:id="rId22" w:history="1">
        <w:r>
          <w:rPr>
            <w:rFonts w:ascii="Work Sans" w:eastAsia="DengXian Light" w:hAnsi="Work Sans" w:cs="Arial"/>
            <w:sz w:val="20"/>
            <w:szCs w:val="20"/>
            <w:lang w:bidi="ar-SA"/>
          </w:rPr>
          <w:t>Resolución 0510 de 2020</w:t>
        </w:r>
      </w:hyperlink>
      <w:r>
        <w:rPr>
          <w:rFonts w:ascii="Work Sans" w:eastAsia="DengXian Light" w:hAnsi="Work Sans" w:cs="Arial"/>
          <w:sz w:val="20"/>
          <w:szCs w:val="20"/>
          <w:lang w:bidi="ar-SA"/>
        </w:rPr>
        <w:t xml:space="preserve"> y por el artículo 1° de la Resolución 20213040009825 de 2021, por un año (1) año más, esto es, hasta el 13 de marzo de 2023.</w:t>
      </w:r>
    </w:p>
    <w:p w14:paraId="1E07B27D" w14:textId="77777777" w:rsidR="00E66C34" w:rsidRDefault="00E66C34">
      <w:pPr>
        <w:jc w:val="both"/>
        <w:rPr>
          <w:rFonts w:ascii="Work Sans" w:eastAsia="DengXian Light" w:hAnsi="Work Sans" w:cs="Arial"/>
          <w:sz w:val="20"/>
          <w:szCs w:val="20"/>
          <w:lang w:bidi="ar-SA"/>
        </w:rPr>
      </w:pPr>
    </w:p>
    <w:p w14:paraId="285734E9" w14:textId="77777777" w:rsidR="00E66C34" w:rsidRDefault="00955E32">
      <w:pPr>
        <w:jc w:val="both"/>
      </w:pPr>
      <w:r>
        <w:rPr>
          <w:rFonts w:ascii="Work Sans" w:eastAsia="DengXian Light" w:hAnsi="Work Sans" w:cs="Arial"/>
          <w:b/>
          <w:sz w:val="20"/>
          <w:szCs w:val="20"/>
          <w:lang w:bidi="ar-SA"/>
        </w:rPr>
        <w:t>PARÁGRAFO:</w:t>
      </w:r>
      <w:r>
        <w:rPr>
          <w:rFonts w:ascii="Work Sans" w:eastAsia="DengXian Light" w:hAnsi="Work Sans" w:cs="Arial"/>
          <w:sz w:val="20"/>
          <w:szCs w:val="20"/>
          <w:lang w:bidi="ar-SA"/>
        </w:rPr>
        <w:t xml:space="preserve"> De </w:t>
      </w:r>
      <w:r>
        <w:rPr>
          <w:rFonts w:ascii="Work Sans" w:eastAsia="DengXian Light" w:hAnsi="Work Sans" w:cs="Arial"/>
          <w:sz w:val="20"/>
          <w:szCs w:val="20"/>
          <w:lang w:bidi="ar-SA"/>
        </w:rPr>
        <w:t xml:space="preserve">acuerdo con dispuesto en la Resolución 20213040058455 del 03 de diciembre de 2021 </w:t>
      </w:r>
      <w:r>
        <w:rPr>
          <w:rFonts w:ascii="Work Sans" w:eastAsia="DengXian Light" w:hAnsi="Work Sans" w:cs="Arial"/>
          <w:i/>
          <w:sz w:val="20"/>
          <w:szCs w:val="20"/>
          <w:lang w:bidi="ar-SA"/>
        </w:rPr>
        <w:t>“Por el cual se derogan todas las disposiciones contenidas en las Resoluciones 0002127 de 2014, 000859 y 0001314 de 2016, relacionadas únicamente con la estación de peaje “Ga</w:t>
      </w:r>
      <w:r>
        <w:rPr>
          <w:rFonts w:ascii="Work Sans" w:eastAsia="DengXian Light" w:hAnsi="Work Sans" w:cs="Arial"/>
          <w:i/>
          <w:sz w:val="20"/>
          <w:szCs w:val="20"/>
          <w:lang w:bidi="ar-SA"/>
        </w:rPr>
        <w:t>marra” ubicada en la vía Gamarrra – Aguachica”</w:t>
      </w:r>
      <w:r>
        <w:rPr>
          <w:rFonts w:ascii="Work Sans" w:eastAsia="DengXian Light" w:hAnsi="Work Sans" w:cs="Arial"/>
          <w:sz w:val="20"/>
          <w:szCs w:val="20"/>
          <w:lang w:bidi="ar-SA"/>
        </w:rPr>
        <w:t xml:space="preserve"> en adelante, el beneficio de la tarifa especial diferencial únicamente </w:t>
      </w:r>
      <w:proofErr w:type="gramStart"/>
      <w:r>
        <w:rPr>
          <w:rFonts w:ascii="Work Sans" w:eastAsia="DengXian Light" w:hAnsi="Work Sans" w:cs="Arial"/>
          <w:sz w:val="20"/>
          <w:szCs w:val="20"/>
          <w:lang w:bidi="ar-SA"/>
        </w:rPr>
        <w:t>será  aplicable</w:t>
      </w:r>
      <w:proofErr w:type="gramEnd"/>
      <w:r>
        <w:rPr>
          <w:rFonts w:ascii="Work Sans" w:eastAsia="DengXian Light" w:hAnsi="Work Sans" w:cs="Arial"/>
          <w:sz w:val="20"/>
          <w:szCs w:val="20"/>
          <w:lang w:bidi="ar-SA"/>
        </w:rPr>
        <w:t xml:space="preserve"> para las estaciones de peaje Platanal y Pailitas.</w:t>
      </w:r>
    </w:p>
    <w:p w14:paraId="34959DC5" w14:textId="77777777" w:rsidR="00E66C34" w:rsidRDefault="00E66C34">
      <w:pPr>
        <w:jc w:val="both"/>
        <w:rPr>
          <w:rFonts w:ascii="Work Sans" w:eastAsia="DengXian Light" w:hAnsi="Work Sans" w:cs="Arial"/>
          <w:sz w:val="20"/>
          <w:szCs w:val="20"/>
          <w:lang w:bidi="ar-SA"/>
        </w:rPr>
      </w:pPr>
    </w:p>
    <w:p w14:paraId="6AD26136" w14:textId="77777777" w:rsidR="00E66C34" w:rsidRDefault="00955E32">
      <w:pPr>
        <w:jc w:val="both"/>
      </w:pPr>
      <w:r>
        <w:rPr>
          <w:rFonts w:ascii="Work Sans" w:hAnsi="Work Sans"/>
          <w:b/>
          <w:bCs/>
          <w:sz w:val="20"/>
          <w:szCs w:val="20"/>
        </w:rPr>
        <w:t>ARTÍCULO 2.-</w:t>
      </w:r>
      <w:r>
        <w:rPr>
          <w:rFonts w:ascii="Work Sans" w:eastAsia="DengXian Light" w:hAnsi="Work Sans" w:cs="Arial"/>
          <w:sz w:val="20"/>
          <w:szCs w:val="20"/>
          <w:lang w:bidi="ar-SA"/>
        </w:rPr>
        <w:t xml:space="preserve"> Los demás términos de la </w:t>
      </w:r>
      <w:hyperlink r:id="rId23" w:history="1">
        <w:r>
          <w:rPr>
            <w:rFonts w:ascii="Work Sans" w:eastAsia="DengXian Light" w:hAnsi="Work Sans" w:cs="Arial"/>
            <w:sz w:val="20"/>
            <w:szCs w:val="20"/>
            <w:lang w:bidi="ar-SA"/>
          </w:rPr>
          <w:t>Resolución 0886 de 2019</w:t>
        </w:r>
      </w:hyperlink>
      <w:r>
        <w:rPr>
          <w:rFonts w:ascii="Work Sans" w:eastAsia="DengXian Light" w:hAnsi="Work Sans" w:cs="Arial"/>
          <w:sz w:val="20"/>
          <w:szCs w:val="20"/>
          <w:lang w:bidi="ar-SA"/>
        </w:rPr>
        <w:t>, continúan vigentes.</w:t>
      </w:r>
    </w:p>
    <w:p w14:paraId="23E83BDF" w14:textId="77777777" w:rsidR="00E66C34" w:rsidRDefault="00E66C34">
      <w:pPr>
        <w:jc w:val="both"/>
        <w:rPr>
          <w:rFonts w:ascii="Work Sans" w:eastAsia="DengXian Light" w:hAnsi="Work Sans" w:cs="Arial"/>
          <w:sz w:val="20"/>
          <w:szCs w:val="20"/>
          <w:lang w:bidi="ar-SA"/>
        </w:rPr>
      </w:pPr>
    </w:p>
    <w:p w14:paraId="1F4D992E" w14:textId="77777777" w:rsidR="00E66C34" w:rsidRDefault="00955E32">
      <w:pPr>
        <w:jc w:val="both"/>
      </w:pPr>
      <w:r>
        <w:rPr>
          <w:rFonts w:ascii="Work Sans" w:hAnsi="Work Sans"/>
          <w:b/>
          <w:bCs/>
          <w:sz w:val="20"/>
          <w:szCs w:val="20"/>
        </w:rPr>
        <w:t xml:space="preserve">ARTÍCULO 3.- </w:t>
      </w:r>
      <w:r>
        <w:rPr>
          <w:rFonts w:ascii="Work Sans" w:eastAsia="DengXian Light" w:hAnsi="Work Sans" w:cs="Arial"/>
          <w:sz w:val="20"/>
          <w:szCs w:val="20"/>
          <w:lang w:bidi="ar-SA"/>
        </w:rPr>
        <w:t>La presente resolución rige a partir de la fecha de publicación en el Diario Oficial.</w:t>
      </w:r>
    </w:p>
    <w:p w14:paraId="7EFA31E7" w14:textId="77777777" w:rsidR="00E66C34" w:rsidRDefault="00E66C34">
      <w:pPr>
        <w:widowControl/>
        <w:jc w:val="both"/>
        <w:rPr>
          <w:rFonts w:ascii="Work Sans" w:eastAsia="DengXian Light" w:hAnsi="Work Sans" w:cs="Arial"/>
          <w:sz w:val="20"/>
          <w:szCs w:val="20"/>
          <w:lang w:bidi="ar-SA"/>
        </w:rPr>
      </w:pPr>
    </w:p>
    <w:p w14:paraId="5F5973F6" w14:textId="77777777" w:rsidR="00E66C34" w:rsidRDefault="00955E32">
      <w:pPr>
        <w:pStyle w:val="Standard"/>
        <w:autoSpaceDE w:val="0"/>
        <w:jc w:val="center"/>
        <w:rPr>
          <w:rFonts w:ascii="Work Sans" w:hAnsi="Work Sans" w:cs="Times New Roman"/>
          <w:b/>
          <w:bCs/>
          <w:sz w:val="20"/>
        </w:rPr>
      </w:pPr>
      <w:r>
        <w:rPr>
          <w:rFonts w:ascii="Work Sans" w:hAnsi="Work Sans" w:cs="Times New Roman"/>
          <w:b/>
          <w:bCs/>
          <w:sz w:val="20"/>
        </w:rPr>
        <w:tab/>
      </w:r>
    </w:p>
    <w:p w14:paraId="05C286C0" w14:textId="77777777" w:rsidR="00E66C34" w:rsidRDefault="00955E32">
      <w:pPr>
        <w:pStyle w:val="Standard"/>
        <w:autoSpaceDE w:val="0"/>
        <w:jc w:val="center"/>
      </w:pPr>
      <w:r>
        <w:rPr>
          <w:rFonts w:ascii="Work Sans" w:hAnsi="Work Sans" w:cs="Times New Roman"/>
          <w:b/>
          <w:bCs/>
          <w:sz w:val="20"/>
        </w:rPr>
        <w:t>PUBLÍQUESE Y CÚMPLASE,</w:t>
      </w:r>
    </w:p>
    <w:p w14:paraId="12B83A30" w14:textId="77777777" w:rsidR="00E66C34" w:rsidRDefault="00E66C34">
      <w:pPr>
        <w:pStyle w:val="Standard"/>
        <w:autoSpaceDE w:val="0"/>
        <w:jc w:val="center"/>
        <w:rPr>
          <w:rFonts w:ascii="Work Sans" w:hAnsi="Work Sans" w:cs="Times New Roman"/>
          <w:sz w:val="20"/>
        </w:rPr>
      </w:pPr>
    </w:p>
    <w:p w14:paraId="409CED06" w14:textId="77777777" w:rsidR="00E66C34" w:rsidRDefault="00955E32">
      <w:pPr>
        <w:pStyle w:val="Standard"/>
        <w:autoSpaceDE w:val="0"/>
        <w:ind w:left="-142" w:right="-86"/>
        <w:jc w:val="center"/>
        <w:rPr>
          <w:rFonts w:ascii="Work Sans" w:hAnsi="Work Sans" w:cs="Arial"/>
          <w:sz w:val="21"/>
          <w:szCs w:val="21"/>
          <w:lang w:val="es-CO"/>
        </w:rPr>
      </w:pPr>
      <w:r>
        <w:rPr>
          <w:rFonts w:ascii="Work Sans" w:hAnsi="Work Sans" w:cs="Arial"/>
          <w:sz w:val="21"/>
          <w:szCs w:val="21"/>
          <w:lang w:val="es-CO"/>
        </w:rPr>
        <w:t>${firma}</w:t>
      </w:r>
    </w:p>
    <w:p w14:paraId="5F3DD1C0" w14:textId="77777777" w:rsidR="00E66C34" w:rsidRDefault="00E66C34">
      <w:pPr>
        <w:tabs>
          <w:tab w:val="left" w:pos="0"/>
        </w:tabs>
        <w:jc w:val="center"/>
        <w:rPr>
          <w:rFonts w:ascii="Work Sans" w:hAnsi="Work Sans" w:cs="Times New Roman"/>
          <w:sz w:val="20"/>
          <w:szCs w:val="20"/>
          <w:lang w:eastAsia="es-ES"/>
        </w:rPr>
      </w:pPr>
    </w:p>
    <w:p w14:paraId="61A49308" w14:textId="77777777" w:rsidR="00E66C34" w:rsidRDefault="00E66C34">
      <w:pPr>
        <w:tabs>
          <w:tab w:val="left" w:pos="0"/>
        </w:tabs>
        <w:jc w:val="center"/>
        <w:rPr>
          <w:rFonts w:ascii="Work Sans" w:hAnsi="Work Sans" w:cs="Times New Roman"/>
          <w:sz w:val="20"/>
          <w:szCs w:val="20"/>
          <w:lang w:eastAsia="es-ES"/>
        </w:rPr>
      </w:pPr>
    </w:p>
    <w:p w14:paraId="01A98369" w14:textId="77777777" w:rsidR="00E66C34" w:rsidRDefault="00E66C34">
      <w:pPr>
        <w:tabs>
          <w:tab w:val="left" w:pos="0"/>
        </w:tabs>
        <w:jc w:val="both"/>
        <w:rPr>
          <w:rFonts w:ascii="Work Sans" w:hAnsi="Work Sans" w:cs="Times New Roman"/>
          <w:sz w:val="20"/>
          <w:szCs w:val="20"/>
          <w:lang w:eastAsia="es-ES"/>
        </w:rPr>
      </w:pPr>
    </w:p>
    <w:p w14:paraId="5F22FD07" w14:textId="77777777" w:rsidR="00E66C34" w:rsidRDefault="00955E32">
      <w:pPr>
        <w:pStyle w:val="Standard"/>
        <w:jc w:val="center"/>
      </w:pPr>
      <w:r>
        <w:rPr>
          <w:rFonts w:ascii="Work Sans" w:hAnsi="Work Sans" w:cs="Times New Roman"/>
          <w:b/>
          <w:sz w:val="20"/>
          <w:lang w:eastAsia="es-ES"/>
        </w:rPr>
        <w:t>ÁNGELA MARÍA OROZCO GÓMEZ</w:t>
      </w:r>
    </w:p>
    <w:p w14:paraId="5C51E3FD" w14:textId="77777777" w:rsidR="00E66C34" w:rsidRDefault="00E66C34">
      <w:pPr>
        <w:pStyle w:val="Standard"/>
        <w:rPr>
          <w:lang w:val="es-CO"/>
        </w:rPr>
      </w:pPr>
    </w:p>
    <w:p w14:paraId="4CA43C2C" w14:textId="77777777" w:rsidR="00E66C34" w:rsidRDefault="00E66C34">
      <w:pPr>
        <w:pStyle w:val="Standard"/>
        <w:rPr>
          <w:lang w:val="es-CO"/>
        </w:rPr>
      </w:pPr>
    </w:p>
    <w:p w14:paraId="53A546F7" w14:textId="77777777" w:rsidR="00E66C34" w:rsidRDefault="00E66C34">
      <w:pPr>
        <w:pStyle w:val="Standard"/>
        <w:rPr>
          <w:lang w:val="es-CO"/>
        </w:rPr>
      </w:pPr>
    </w:p>
    <w:p w14:paraId="06A0498D" w14:textId="77777777" w:rsidR="00E66C34" w:rsidRDefault="00E66C34">
      <w:pPr>
        <w:pStyle w:val="Standard"/>
        <w:rPr>
          <w:lang w:val="es-CO"/>
        </w:rPr>
      </w:pPr>
    </w:p>
    <w:p w14:paraId="4E325534" w14:textId="77777777" w:rsidR="00E66C34" w:rsidRDefault="00E66C34">
      <w:pPr>
        <w:pStyle w:val="Standard"/>
        <w:rPr>
          <w:lang w:val="es-CO"/>
        </w:rPr>
      </w:pPr>
    </w:p>
    <w:p w14:paraId="7BFB8175" w14:textId="77777777" w:rsidR="00E66C34" w:rsidRDefault="00955E32">
      <w:pPr>
        <w:pStyle w:val="Standard"/>
        <w:rPr>
          <w:rFonts w:ascii="Work Sans" w:hAnsi="Work Sans" w:cs="Arial"/>
          <w:sz w:val="12"/>
          <w:szCs w:val="12"/>
          <w:lang w:eastAsia="es-CO" w:bidi="hi-IN"/>
        </w:rPr>
      </w:pPr>
      <w:r>
        <w:rPr>
          <w:rFonts w:ascii="Work Sans" w:hAnsi="Work Sans" w:cs="Arial"/>
          <w:sz w:val="12"/>
          <w:szCs w:val="12"/>
          <w:lang w:eastAsia="es-CO" w:bidi="hi-IN"/>
        </w:rPr>
        <w:t xml:space="preserve">Juan Esteban Gil Chavarría – </w:t>
      </w:r>
      <w:proofErr w:type="gramStart"/>
      <w:r>
        <w:rPr>
          <w:rFonts w:ascii="Work Sans" w:hAnsi="Work Sans" w:cs="Arial"/>
          <w:sz w:val="12"/>
          <w:szCs w:val="12"/>
          <w:lang w:eastAsia="es-CO" w:bidi="hi-IN"/>
        </w:rPr>
        <w:t>Director General</w:t>
      </w:r>
      <w:proofErr w:type="gramEnd"/>
      <w:r>
        <w:rPr>
          <w:rFonts w:ascii="Work Sans" w:hAnsi="Work Sans" w:cs="Arial"/>
          <w:sz w:val="12"/>
          <w:szCs w:val="12"/>
          <w:lang w:eastAsia="es-CO" w:bidi="hi-IN"/>
        </w:rPr>
        <w:t xml:space="preserve"> Instituto Nacional de Vías-INVÍAS</w:t>
      </w:r>
    </w:p>
    <w:p w14:paraId="7AA24FF9" w14:textId="77777777" w:rsidR="00E66C34" w:rsidRDefault="00955E32">
      <w:pPr>
        <w:pStyle w:val="Standard"/>
        <w:rPr>
          <w:rFonts w:ascii="Work Sans" w:hAnsi="Work Sans" w:cs="Arial"/>
          <w:sz w:val="12"/>
          <w:szCs w:val="12"/>
          <w:lang w:eastAsia="es-CO" w:bidi="hi-IN"/>
        </w:rPr>
      </w:pPr>
      <w:r>
        <w:rPr>
          <w:rFonts w:ascii="Work Sans" w:hAnsi="Work Sans" w:cs="Arial"/>
          <w:sz w:val="12"/>
          <w:szCs w:val="12"/>
          <w:lang w:eastAsia="es-CO" w:bidi="hi-IN"/>
        </w:rPr>
        <w:t xml:space="preserve">Sol Ángel Cala Acosta – Asesora Despacho de la </w:t>
      </w:r>
      <w:proofErr w:type="gramStart"/>
      <w:r>
        <w:rPr>
          <w:rFonts w:ascii="Work Sans" w:hAnsi="Work Sans" w:cs="Arial"/>
          <w:sz w:val="12"/>
          <w:szCs w:val="12"/>
          <w:lang w:eastAsia="es-CO" w:bidi="hi-IN"/>
        </w:rPr>
        <w:t>Ministra</w:t>
      </w:r>
      <w:proofErr w:type="gramEnd"/>
      <w:r>
        <w:rPr>
          <w:rFonts w:ascii="Work Sans" w:hAnsi="Work Sans" w:cs="Arial"/>
          <w:sz w:val="12"/>
          <w:szCs w:val="12"/>
          <w:lang w:eastAsia="es-CO" w:bidi="hi-IN"/>
        </w:rPr>
        <w:t>, Ministerio de Transporte</w:t>
      </w:r>
    </w:p>
    <w:p w14:paraId="3FE30801" w14:textId="77777777" w:rsidR="00E66C34" w:rsidRDefault="00955E32">
      <w:pPr>
        <w:pStyle w:val="Standard"/>
        <w:rPr>
          <w:rFonts w:ascii="Work Sans" w:hAnsi="Work Sans" w:cs="Arial"/>
          <w:sz w:val="12"/>
          <w:szCs w:val="12"/>
          <w:lang w:eastAsia="es-CO" w:bidi="hi-IN"/>
        </w:rPr>
      </w:pPr>
      <w:r>
        <w:rPr>
          <w:rFonts w:ascii="Work Sans" w:hAnsi="Work Sans" w:cs="Arial"/>
          <w:sz w:val="12"/>
          <w:szCs w:val="12"/>
          <w:lang w:eastAsia="es-CO" w:bidi="hi-IN"/>
        </w:rPr>
        <w:t xml:space="preserve">María del Pilar Uribe Pontón - </w:t>
      </w:r>
      <w:proofErr w:type="gramStart"/>
      <w:r>
        <w:rPr>
          <w:rFonts w:ascii="Work Sans" w:hAnsi="Work Sans" w:cs="Arial"/>
          <w:sz w:val="12"/>
          <w:szCs w:val="12"/>
          <w:lang w:eastAsia="es-CO" w:bidi="hi-IN"/>
        </w:rPr>
        <w:t>Jefe</w:t>
      </w:r>
      <w:proofErr w:type="gramEnd"/>
      <w:r>
        <w:rPr>
          <w:rFonts w:ascii="Work Sans" w:hAnsi="Work Sans" w:cs="Arial"/>
          <w:sz w:val="12"/>
          <w:szCs w:val="12"/>
          <w:lang w:eastAsia="es-CO" w:bidi="hi-IN"/>
        </w:rPr>
        <w:t xml:space="preserve"> Oficina Asesora de Jurídica</w:t>
      </w:r>
      <w:r>
        <w:rPr>
          <w:rFonts w:ascii="Work Sans" w:hAnsi="Work Sans" w:cs="Arial"/>
          <w:sz w:val="12"/>
          <w:szCs w:val="12"/>
          <w:lang w:eastAsia="es-CO" w:bidi="hi-IN"/>
        </w:rPr>
        <w:t>, Ministerio de Transporte</w:t>
      </w:r>
    </w:p>
    <w:p w14:paraId="03B6F4A5" w14:textId="77777777" w:rsidR="00E66C34" w:rsidRDefault="00955E32">
      <w:pPr>
        <w:pStyle w:val="Standard"/>
        <w:rPr>
          <w:rFonts w:ascii="Work Sans" w:hAnsi="Work Sans" w:cs="Arial"/>
          <w:sz w:val="12"/>
          <w:szCs w:val="12"/>
          <w:lang w:eastAsia="es-CO" w:bidi="hi-IN"/>
        </w:rPr>
      </w:pPr>
      <w:r>
        <w:rPr>
          <w:rFonts w:ascii="Work Sans" w:hAnsi="Work Sans" w:cs="Arial"/>
          <w:sz w:val="12"/>
          <w:szCs w:val="12"/>
          <w:lang w:eastAsia="es-CO" w:bidi="hi-IN"/>
        </w:rPr>
        <w:t xml:space="preserve">Magola Eugenia Molina Ceballos – </w:t>
      </w:r>
      <w:proofErr w:type="gramStart"/>
      <w:r>
        <w:rPr>
          <w:rFonts w:ascii="Work Sans" w:hAnsi="Work Sans" w:cs="Arial"/>
          <w:sz w:val="12"/>
          <w:szCs w:val="12"/>
          <w:lang w:eastAsia="es-CO" w:bidi="hi-IN"/>
        </w:rPr>
        <w:t>Jefe</w:t>
      </w:r>
      <w:proofErr w:type="gramEnd"/>
      <w:r>
        <w:rPr>
          <w:rFonts w:ascii="Work Sans" w:hAnsi="Work Sans" w:cs="Arial"/>
          <w:sz w:val="12"/>
          <w:szCs w:val="12"/>
          <w:lang w:eastAsia="es-CO" w:bidi="hi-IN"/>
        </w:rPr>
        <w:t xml:space="preserve"> de Oficina de Regulación Económica (E), Ministerio de Transporte</w:t>
      </w:r>
    </w:p>
    <w:p w14:paraId="1CD40F19" w14:textId="77777777" w:rsidR="00E66C34" w:rsidRDefault="00955E32">
      <w:pPr>
        <w:pStyle w:val="Standard"/>
        <w:rPr>
          <w:rFonts w:ascii="Work Sans" w:hAnsi="Work Sans" w:cs="Arial"/>
          <w:sz w:val="12"/>
          <w:szCs w:val="12"/>
          <w:lang w:eastAsia="es-CO" w:bidi="hi-IN"/>
        </w:rPr>
      </w:pPr>
      <w:r>
        <w:rPr>
          <w:rFonts w:ascii="Work Sans" w:hAnsi="Work Sans" w:cs="Arial"/>
          <w:sz w:val="12"/>
          <w:szCs w:val="12"/>
          <w:lang w:eastAsia="es-CO" w:bidi="hi-IN"/>
        </w:rPr>
        <w:t>Magda Paola Suarez Alejo – Abogada Grupo de Conceptos y apoyo Legal</w:t>
      </w:r>
    </w:p>
    <w:p w14:paraId="0E53EB8E" w14:textId="77777777" w:rsidR="00E66C34" w:rsidRDefault="00E66C34">
      <w:pPr>
        <w:pStyle w:val="Standard"/>
      </w:pPr>
    </w:p>
    <w:sectPr w:rsidR="00E66C34">
      <w:headerReference w:type="default" r:id="rId24"/>
      <w:pgSz w:w="12247" w:h="18711"/>
      <w:pgMar w:top="1418" w:right="1701" w:bottom="567" w:left="1985" w:header="851" w:footer="720" w:gutter="0"/>
      <w:pgBorders>
        <w:top w:val="single" w:sz="4" w:space="15" w:color="000000"/>
        <w:left w:val="single" w:sz="4" w:space="15" w:color="000000"/>
        <w:bottom w:val="single" w:sz="4" w:space="15" w:color="000000"/>
        <w:right w:val="single" w:sz="4" w:space="15"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E12FD2" w14:textId="77777777" w:rsidR="00955E32" w:rsidRDefault="00955E32">
      <w:r>
        <w:separator/>
      </w:r>
    </w:p>
  </w:endnote>
  <w:endnote w:type="continuationSeparator" w:id="0">
    <w:p w14:paraId="3AC3A787" w14:textId="77777777" w:rsidR="00955E32" w:rsidRDefault="0095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erif">
    <w:altName w:val="Times New Roman"/>
    <w:panose1 w:val="020B0604020202020204"/>
    <w:charset w:val="00"/>
    <w:family w:val="roman"/>
    <w:pitch w:val="variable"/>
  </w:font>
  <w:font w:name="Lohit Devanagari">
    <w:altName w:val="Calibri"/>
    <w:panose1 w:val="020B0604020202020204"/>
    <w:charset w:val="00"/>
    <w:family w:val="auto"/>
    <w:pitch w:val="variable"/>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Work Sans">
    <w:altName w:val="Work Sans"/>
    <w:panose1 w:val="00000800000000000000"/>
    <w:charset w:val="4D"/>
    <w:family w:val="auto"/>
    <w:notTrueType/>
    <w:pitch w:val="variable"/>
    <w:sig w:usb0="20000007" w:usb1="00000001" w:usb2="00000000" w:usb3="00000000" w:csb0="00000193" w:csb1="00000000"/>
  </w:font>
  <w:font w:name="DengXian Light">
    <w:panose1 w:val="02010600030101010101"/>
    <w:charset w:val="86"/>
    <w:family w:val="auto"/>
    <w:pitch w:val="variable"/>
    <w:sig w:usb0="A00002BF" w:usb1="38CF7CFA" w:usb2="00000016" w:usb3="00000000" w:csb0="0004000F" w:csb1="00000000"/>
  </w:font>
  <w:font w:name="Code3of9">
    <w:altName w:val="Calibri"/>
    <w:panose1 w:val="020B0604020202020204"/>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D5B9C" w14:textId="77777777" w:rsidR="00955E32" w:rsidRDefault="00955E32">
      <w:r>
        <w:rPr>
          <w:color w:val="000000"/>
        </w:rPr>
        <w:separator/>
      </w:r>
    </w:p>
  </w:footnote>
  <w:footnote w:type="continuationSeparator" w:id="0">
    <w:p w14:paraId="24C29D29" w14:textId="77777777" w:rsidR="00955E32" w:rsidRDefault="00955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73989" w14:textId="77777777" w:rsidR="00052C96" w:rsidRDefault="00955E32">
    <w:r>
      <w:rPr>
        <w:noProof/>
        <w:lang w:val="es-CO" w:eastAsia="es-CO" w:bidi="ar-SA"/>
      </w:rPr>
      <w:drawing>
        <wp:inline distT="0" distB="0" distL="0" distR="0" wp14:anchorId="43555721" wp14:editId="3BFC6075">
          <wp:extent cx="2163964" cy="320040"/>
          <wp:effectExtent l="0" t="0" r="0" b="0"/>
          <wp:docPr id="1"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163964" cy="320040"/>
                  </a:xfrm>
                  <a:prstGeom prst="rect">
                    <a:avLst/>
                  </a:prstGeom>
                  <a:noFill/>
                  <a:ln>
                    <a:noFill/>
                    <a:prstDash/>
                  </a:ln>
                </pic:spPr>
              </pic:pic>
            </a:graphicData>
          </a:graphic>
        </wp:inline>
      </w:drawing>
    </w:r>
  </w:p>
  <w:p w14:paraId="25E70022" w14:textId="77777777" w:rsidR="00052C96" w:rsidRDefault="00955E32">
    <w:pPr>
      <w:pStyle w:val="Encabezado"/>
      <w:jc w:val="center"/>
    </w:pPr>
    <w:r>
      <w:rPr>
        <w:rFonts w:ascii="Work Sans" w:hAnsi="Work Sans" w:cs="Arial"/>
        <w:b/>
      </w:rPr>
      <w:t>RESOLUCIÓN NÚMERO</w:t>
    </w:r>
    <w:r>
      <w:rPr>
        <w:rFonts w:ascii="Work Sans" w:hAnsi="Work Sans" w:cs="Arial"/>
        <w:b/>
        <w:sz w:val="36"/>
      </w:rPr>
      <w:t xml:space="preserve"> </w:t>
    </w:r>
    <w:r>
      <w:rPr>
        <w:rFonts w:ascii="Work Sans" w:hAnsi="Work Sans"/>
        <w:b/>
        <w:sz w:val="28"/>
      </w:rPr>
      <w:t>*RAD_S*</w:t>
    </w:r>
  </w:p>
  <w:p w14:paraId="29FCD725" w14:textId="77777777" w:rsidR="00052C96" w:rsidRDefault="00955E32">
    <w:pPr>
      <w:pStyle w:val="Encabezado"/>
      <w:jc w:val="center"/>
    </w:pPr>
    <w:r>
      <w:rPr>
        <w:rFonts w:ascii="Work Sans" w:hAnsi="Work Sans"/>
        <w:sz w:val="20"/>
      </w:rPr>
      <w:t xml:space="preserve">de </w:t>
    </w:r>
    <w:r>
      <w:rPr>
        <w:rFonts w:ascii="Work Sans" w:hAnsi="Work Sans" w:cs="Arial"/>
        <w:sz w:val="20"/>
        <w:lang w:val="es-CO"/>
      </w:rPr>
      <w:t>*F_RAD_S*</w:t>
    </w:r>
  </w:p>
  <w:p w14:paraId="63D66228" w14:textId="77777777" w:rsidR="00052C96" w:rsidRDefault="00955E32">
    <w:pPr>
      <w:pStyle w:val="Encabezado"/>
      <w:jc w:val="center"/>
      <w:rPr>
        <w:rFonts w:ascii="Code3of9" w:hAnsi="Code3of9" w:cs="Tahoma"/>
        <w:sz w:val="36"/>
        <w:szCs w:val="40"/>
      </w:rPr>
    </w:pPr>
    <w:r>
      <w:rPr>
        <w:rFonts w:ascii="Code3of9" w:hAnsi="Code3of9" w:cs="Tahoma"/>
        <w:sz w:val="36"/>
        <w:szCs w:val="40"/>
      </w:rPr>
      <w:t>**RAD_S**</w:t>
    </w:r>
  </w:p>
  <w:p w14:paraId="32808FD1" w14:textId="77777777" w:rsidR="00052C96" w:rsidRDefault="00955E32">
    <w:pPr>
      <w:pStyle w:val="Encabezado"/>
      <w:jc w:val="center"/>
      <w:rPr>
        <w:rFonts w:ascii="Code3of9" w:hAnsi="Code3of9" w:cs="Tahoma"/>
        <w:sz w:val="36"/>
        <w:szCs w:val="40"/>
      </w:rPr>
    </w:pPr>
  </w:p>
  <w:p w14:paraId="091A255D" w14:textId="77777777" w:rsidR="00052C96" w:rsidRDefault="00955E32">
    <w:pPr>
      <w:jc w:val="center"/>
    </w:pPr>
    <w:r>
      <w:rPr>
        <w:rFonts w:ascii="Work Sans" w:hAnsi="Work Sans" w:cs="Arial"/>
        <w:i/>
        <w:iCs/>
        <w:sz w:val="20"/>
        <w:szCs w:val="20"/>
      </w:rPr>
      <w:t xml:space="preserve">“Por la cual se prorroga el término establecido en el artículo 4° de </w:t>
    </w:r>
    <w:r>
      <w:rPr>
        <w:rFonts w:ascii="Work Sans" w:hAnsi="Work Sans" w:cs="Arial"/>
        <w:i/>
        <w:iCs/>
        <w:sz w:val="20"/>
        <w:szCs w:val="20"/>
      </w:rPr>
      <w:t>la Resolución 0886 de 2019 del Ministerio de Transporte “Por la cual se establece una tarifa diferencial en las estaciones de peaje denominadas Platanal y Pailitas.”</w:t>
    </w:r>
  </w:p>
  <w:p w14:paraId="4B180B7E" w14:textId="77777777" w:rsidR="00052C96" w:rsidRDefault="00955E32">
    <w:pPr>
      <w:pStyle w:val="Standard"/>
      <w:autoSpaceDE w:val="0"/>
      <w:rPr>
        <w:rFonts w:ascii="Work Sans" w:hAnsi="Work San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C3E44"/>
    <w:multiLevelType w:val="multilevel"/>
    <w:tmpl w:val="FB3CC976"/>
    <w:styleLink w:val="WW8Num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 w15:restartNumberingAfterBreak="0">
    <w:nsid w:val="03CC4D60"/>
    <w:multiLevelType w:val="multilevel"/>
    <w:tmpl w:val="24508B6A"/>
    <w:styleLink w:val="WW8Num8"/>
    <w:lvl w:ilvl="0">
      <w:start w:val="1"/>
      <w:numFmt w:val="decimal"/>
      <w:lvlText w:val="%1."/>
      <w:lvlJc w:val="left"/>
      <w:rPr>
        <w:rFonts w:ascii="Arial" w:hAnsi="Arial" w:cs="Arial"/>
        <w:b w:val="0"/>
        <w:i w:val="0"/>
        <w:sz w:val="22"/>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 w15:restartNumberingAfterBreak="0">
    <w:nsid w:val="123D6B87"/>
    <w:multiLevelType w:val="multilevel"/>
    <w:tmpl w:val="E0687F16"/>
    <w:styleLink w:val="WW8Num1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 w15:restartNumberingAfterBreak="0">
    <w:nsid w:val="19325913"/>
    <w:multiLevelType w:val="multilevel"/>
    <w:tmpl w:val="EE92DC5C"/>
    <w:styleLink w:val="WW8Num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 w15:restartNumberingAfterBreak="0">
    <w:nsid w:val="1D917F41"/>
    <w:multiLevelType w:val="multilevel"/>
    <w:tmpl w:val="86E6BD16"/>
    <w:styleLink w:val="WW8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 w15:restartNumberingAfterBreak="0">
    <w:nsid w:val="1E0C76F1"/>
    <w:multiLevelType w:val="multilevel"/>
    <w:tmpl w:val="A47C90CE"/>
    <w:styleLink w:val="WW8Num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 w15:restartNumberingAfterBreak="0">
    <w:nsid w:val="1E4C0D70"/>
    <w:multiLevelType w:val="multilevel"/>
    <w:tmpl w:val="7C400EB8"/>
    <w:styleLink w:val="WW8Num1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 w15:restartNumberingAfterBreak="0">
    <w:nsid w:val="214755C1"/>
    <w:multiLevelType w:val="multilevel"/>
    <w:tmpl w:val="3FE006A8"/>
    <w:styleLink w:val="WW8Num1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 w15:restartNumberingAfterBreak="0">
    <w:nsid w:val="47C47C5A"/>
    <w:multiLevelType w:val="multilevel"/>
    <w:tmpl w:val="B1A8F7E8"/>
    <w:styleLink w:val="WW8Num1"/>
    <w:lvl w:ilvl="0">
      <w:start w:val="1"/>
      <w:numFmt w:val="decimal"/>
      <w:lvlText w:val="%1."/>
      <w:lvlJc w:val="left"/>
      <w:rPr>
        <w:rFonts w:ascii="Arial" w:hAnsi="Arial" w:cs="Arial"/>
        <w:spacing w:val="6"/>
        <w:sz w:val="22"/>
        <w:szCs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9" w15:restartNumberingAfterBreak="0">
    <w:nsid w:val="4AC40290"/>
    <w:multiLevelType w:val="multilevel"/>
    <w:tmpl w:val="F6DA9C6E"/>
    <w:styleLink w:val="WW8Num1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0" w15:restartNumberingAfterBreak="0">
    <w:nsid w:val="55BC5AF1"/>
    <w:multiLevelType w:val="multilevel"/>
    <w:tmpl w:val="4AFC0B5C"/>
    <w:styleLink w:val="WW8Num1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1" w15:restartNumberingAfterBreak="0">
    <w:nsid w:val="55FE2BFF"/>
    <w:multiLevelType w:val="multilevel"/>
    <w:tmpl w:val="48567540"/>
    <w:styleLink w:val="WW8Num6"/>
    <w:lvl w:ilvl="0">
      <w:start w:val="1"/>
      <w:numFmt w:val="decimal"/>
      <w:pStyle w:val="titulotres"/>
      <w:lvlText w:val="%1"/>
      <w:lvlJc w:val="left"/>
      <w:rPr>
        <w:rFonts w:cs="Times New Roman"/>
      </w:rPr>
    </w:lvl>
    <w:lvl w:ilvl="1">
      <w:start w:val="4"/>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2" w15:restartNumberingAfterBreak="0">
    <w:nsid w:val="5D9D1ADC"/>
    <w:multiLevelType w:val="multilevel"/>
    <w:tmpl w:val="2E04B5C8"/>
    <w:styleLink w:val="WW8Num5"/>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15:restartNumberingAfterBreak="0">
    <w:nsid w:val="5F534C02"/>
    <w:multiLevelType w:val="multilevel"/>
    <w:tmpl w:val="415A9222"/>
    <w:styleLink w:val="WW8Num1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 w15:restartNumberingAfterBreak="0">
    <w:nsid w:val="645C7A2F"/>
    <w:multiLevelType w:val="multilevel"/>
    <w:tmpl w:val="6C660804"/>
    <w:styleLink w:val="WW8Num11"/>
    <w:lvl w:ilvl="0">
      <w:start w:val="12"/>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5" w15:restartNumberingAfterBreak="0">
    <w:nsid w:val="69C61AB3"/>
    <w:multiLevelType w:val="multilevel"/>
    <w:tmpl w:val="F922142A"/>
    <w:styleLink w:val="WW8Num1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6" w15:restartNumberingAfterBreak="0">
    <w:nsid w:val="77595225"/>
    <w:multiLevelType w:val="multilevel"/>
    <w:tmpl w:val="28826418"/>
    <w:styleLink w:val="WW8Num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7" w15:restartNumberingAfterBreak="0">
    <w:nsid w:val="7A711EEF"/>
    <w:multiLevelType w:val="multilevel"/>
    <w:tmpl w:val="C27EE79C"/>
    <w:styleLink w:val="WW8Num2"/>
    <w:lvl w:ilvl="0">
      <w:start w:val="1"/>
      <w:numFmt w:val="decimal"/>
      <w:lvlText w:val="%1."/>
      <w:lvlJc w:val="left"/>
      <w:rPr>
        <w:rFonts w:ascii="Arial" w:hAnsi="Arial" w:cs="Arial"/>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8" w15:restartNumberingAfterBreak="0">
    <w:nsid w:val="7FE41254"/>
    <w:multiLevelType w:val="multilevel"/>
    <w:tmpl w:val="AA8406B4"/>
    <w:styleLink w:val="WW8Num14"/>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num w:numId="1">
    <w:abstractNumId w:val="17"/>
  </w:num>
  <w:num w:numId="2">
    <w:abstractNumId w:val="18"/>
  </w:num>
  <w:num w:numId="3">
    <w:abstractNumId w:val="8"/>
  </w:num>
  <w:num w:numId="4">
    <w:abstractNumId w:val="2"/>
  </w:num>
  <w:num w:numId="5">
    <w:abstractNumId w:val="15"/>
  </w:num>
  <w:num w:numId="6">
    <w:abstractNumId w:val="1"/>
  </w:num>
  <w:num w:numId="7">
    <w:abstractNumId w:val="0"/>
  </w:num>
  <w:num w:numId="8">
    <w:abstractNumId w:val="3"/>
  </w:num>
  <w:num w:numId="9">
    <w:abstractNumId w:val="5"/>
  </w:num>
  <w:num w:numId="10">
    <w:abstractNumId w:val="12"/>
  </w:num>
  <w:num w:numId="11">
    <w:abstractNumId w:val="4"/>
  </w:num>
  <w:num w:numId="12">
    <w:abstractNumId w:val="11"/>
  </w:num>
  <w:num w:numId="13">
    <w:abstractNumId w:val="9"/>
  </w:num>
  <w:num w:numId="14">
    <w:abstractNumId w:val="14"/>
  </w:num>
  <w:num w:numId="15">
    <w:abstractNumId w:val="13"/>
  </w:num>
  <w:num w:numId="16">
    <w:abstractNumId w:val="10"/>
  </w:num>
  <w:num w:numId="17">
    <w:abstractNumId w:val="6"/>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66C34"/>
    <w:rsid w:val="007514E8"/>
    <w:rsid w:val="00955E32"/>
    <w:rsid w:val="00E66C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05B6A4A0"/>
  <w15:docId w15:val="{6328C5FC-30F9-B146-B5C4-C97060FD9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Times New Roman" w:hAnsi="Liberation Serif" w:cs="Liberation Serif"/>
        <w:lang w:val="es-CO" w:eastAsia="es-CO"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cs="Lohit Devanagari"/>
      <w:kern w:val="3"/>
      <w:sz w:val="24"/>
      <w:szCs w:val="24"/>
      <w:lang w:val="es-ES" w:eastAsia="zh-CN" w:bidi="hi-IN"/>
    </w:rPr>
  </w:style>
  <w:style w:type="paragraph" w:styleId="Ttulo1">
    <w:name w:val="heading 1"/>
    <w:basedOn w:val="Standard"/>
    <w:next w:val="Standard"/>
    <w:uiPriority w:val="9"/>
    <w:qFormat/>
    <w:pPr>
      <w:keepNext/>
      <w:tabs>
        <w:tab w:val="left" w:pos="-720"/>
        <w:tab w:val="left" w:pos="4395"/>
      </w:tabs>
      <w:jc w:val="center"/>
      <w:outlineLvl w:val="0"/>
    </w:pPr>
    <w:rPr>
      <w:rFonts w:ascii="Arial" w:eastAsia="Arial" w:hAnsi="Arial" w:cs="Arial"/>
      <w:b/>
      <w:spacing w:val="-3"/>
      <w:sz w:val="28"/>
    </w:rPr>
  </w:style>
  <w:style w:type="paragraph" w:styleId="Ttulo2">
    <w:name w:val="heading 2"/>
    <w:basedOn w:val="Standard"/>
    <w:next w:val="Standard"/>
    <w:uiPriority w:val="9"/>
    <w:semiHidden/>
    <w:unhideWhenUsed/>
    <w:qFormat/>
    <w:pPr>
      <w:keepNext/>
      <w:widowControl w:val="0"/>
      <w:jc w:val="center"/>
      <w:outlineLvl w:val="1"/>
    </w:pPr>
    <w:rPr>
      <w:rFonts w:ascii="Arial" w:eastAsia="Arial" w:hAnsi="Arial" w:cs="Arial"/>
      <w:b/>
    </w:rPr>
  </w:style>
  <w:style w:type="paragraph" w:styleId="Ttulo3">
    <w:name w:val="heading 3"/>
    <w:basedOn w:val="Standard"/>
    <w:next w:val="Standard"/>
    <w:uiPriority w:val="9"/>
    <w:semiHidden/>
    <w:unhideWhenUsed/>
    <w:qFormat/>
    <w:pPr>
      <w:keepNext/>
      <w:tabs>
        <w:tab w:val="left" w:pos="-720"/>
        <w:tab w:val="right" w:pos="8080"/>
      </w:tabs>
      <w:jc w:val="both"/>
      <w:outlineLvl w:val="2"/>
    </w:pPr>
    <w:rPr>
      <w:rFonts w:ascii="Arial" w:eastAsia="Arial" w:hAnsi="Arial" w:cs="Arial"/>
      <w:spacing w:val="-3"/>
      <w:sz w:val="28"/>
    </w:rPr>
  </w:style>
  <w:style w:type="paragraph" w:styleId="Ttulo4">
    <w:name w:val="heading 4"/>
    <w:basedOn w:val="Standard"/>
    <w:next w:val="Standard"/>
    <w:uiPriority w:val="9"/>
    <w:semiHidden/>
    <w:unhideWhenUsed/>
    <w:qFormat/>
    <w:pPr>
      <w:keepNext/>
      <w:tabs>
        <w:tab w:val="left" w:pos="-720"/>
      </w:tabs>
      <w:ind w:right="851"/>
      <w:jc w:val="both"/>
      <w:outlineLvl w:val="3"/>
    </w:pPr>
    <w:rPr>
      <w:rFonts w:ascii="Arial" w:eastAsia="Arial" w:hAnsi="Arial" w:cs="Arial"/>
      <w:b/>
      <w:bCs/>
      <w:spacing w:val="-3"/>
      <w:sz w:val="28"/>
    </w:rPr>
  </w:style>
  <w:style w:type="paragraph" w:styleId="Ttulo5">
    <w:name w:val="heading 5"/>
    <w:basedOn w:val="Standard"/>
    <w:next w:val="Standard"/>
    <w:uiPriority w:val="9"/>
    <w:semiHidden/>
    <w:unhideWhenUsed/>
    <w:qFormat/>
    <w:pPr>
      <w:keepNext/>
      <w:outlineLvl w:val="4"/>
    </w:pPr>
    <w:rPr>
      <w:rFonts w:ascii="Arial" w:eastAsia="Arial" w:hAnsi="Arial" w:cs="Arial"/>
      <w:b/>
      <w:bCs/>
      <w:sz w:val="28"/>
    </w:rPr>
  </w:style>
  <w:style w:type="paragraph" w:styleId="Ttulo6">
    <w:name w:val="heading 6"/>
    <w:basedOn w:val="Standard"/>
    <w:next w:val="Standard"/>
    <w:uiPriority w:val="9"/>
    <w:semiHidden/>
    <w:unhideWhenUsed/>
    <w:qFormat/>
    <w:pPr>
      <w:keepNext/>
      <w:tabs>
        <w:tab w:val="left" w:pos="-720"/>
      </w:tabs>
      <w:jc w:val="both"/>
      <w:outlineLvl w:val="5"/>
    </w:pPr>
    <w:rPr>
      <w:rFonts w:ascii="Arial" w:eastAsia="Arial" w:hAnsi="Arial" w:cs="Arial"/>
      <w:spacing w:val="-3"/>
      <w:sz w:val="28"/>
    </w:rPr>
  </w:style>
  <w:style w:type="paragraph" w:styleId="Ttulo7">
    <w:name w:val="heading 7"/>
    <w:basedOn w:val="Standard"/>
    <w:next w:val="Standard"/>
    <w:pPr>
      <w:keepNext/>
      <w:outlineLvl w:val="6"/>
    </w:pPr>
    <w:rPr>
      <w:rFonts w:ascii="Arial" w:eastAsia="Arial" w:hAnsi="Arial" w:cs="Arial"/>
    </w:rPr>
  </w:style>
  <w:style w:type="paragraph" w:styleId="Ttulo8">
    <w:name w:val="heading 8"/>
    <w:basedOn w:val="Standard"/>
    <w:next w:val="Standard"/>
    <w:pPr>
      <w:keepNext/>
      <w:tabs>
        <w:tab w:val="left" w:pos="-720"/>
      </w:tabs>
      <w:jc w:val="center"/>
      <w:outlineLvl w:val="7"/>
    </w:pPr>
    <w:rPr>
      <w:sz w:val="28"/>
    </w:rPr>
  </w:style>
  <w:style w:type="paragraph" w:styleId="Ttulo9">
    <w:name w:val="heading 9"/>
    <w:basedOn w:val="Standard"/>
    <w:next w:val="Standard"/>
    <w:pPr>
      <w:keepNext/>
      <w:tabs>
        <w:tab w:val="left" w:pos="-720"/>
        <w:tab w:val="left" w:pos="4395"/>
      </w:tabs>
      <w:jc w:val="both"/>
      <w:outlineLvl w:val="8"/>
    </w:pPr>
    <w:rPr>
      <w:rFonts w:ascii="Arial" w:eastAsia="Arial" w:hAnsi="Arial" w:cs="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UNO">
    <w:name w:val="TITULO UNO"/>
    <w:basedOn w:val="Ttulo1"/>
    <w:pPr>
      <w:tabs>
        <w:tab w:val="clear" w:pos="4395"/>
      </w:tabs>
      <w:jc w:val="both"/>
    </w:pPr>
    <w:rPr>
      <w:bCs/>
      <w:spacing w:val="0"/>
      <w:sz w:val="24"/>
      <w:szCs w:val="24"/>
    </w:rPr>
  </w:style>
  <w:style w:type="paragraph" w:customStyle="1" w:styleId="Heading71">
    <w:name w:val="Heading 71"/>
    <w:basedOn w:val="Normal"/>
    <w:next w:val="Normal"/>
    <w:pPr>
      <w:keepNext/>
      <w:keepLines/>
      <w:widowControl/>
      <w:spacing w:before="200"/>
      <w:ind w:left="5040" w:hanging="360"/>
      <w:jc w:val="both"/>
      <w:textAlignment w:val="auto"/>
      <w:outlineLvl w:val="6"/>
    </w:pPr>
    <w:rPr>
      <w:rFonts w:ascii="Calibri" w:eastAsia="MS Gothic" w:hAnsi="Calibri" w:cs="Times New Roman"/>
      <w:i/>
      <w:iCs/>
      <w:color w:val="404040"/>
      <w:kern w:val="0"/>
      <w:lang w:eastAsia="es-ES" w:bidi="ar-SA"/>
    </w:rPr>
  </w:style>
  <w:style w:type="paragraph" w:customStyle="1" w:styleId="Heading81">
    <w:name w:val="Heading 81"/>
    <w:basedOn w:val="Normal"/>
    <w:next w:val="Normal"/>
    <w:pPr>
      <w:keepNext/>
      <w:keepLines/>
      <w:widowControl/>
      <w:spacing w:before="200"/>
      <w:ind w:left="5760" w:hanging="360"/>
      <w:jc w:val="both"/>
      <w:textAlignment w:val="auto"/>
      <w:outlineLvl w:val="7"/>
    </w:pPr>
    <w:rPr>
      <w:rFonts w:ascii="Calibri" w:eastAsia="MS Gothic" w:hAnsi="Calibri" w:cs="Times New Roman"/>
      <w:color w:val="404040"/>
      <w:kern w:val="0"/>
      <w:sz w:val="20"/>
      <w:szCs w:val="20"/>
      <w:lang w:eastAsia="es-ES" w:bidi="ar-SA"/>
    </w:rPr>
  </w:style>
  <w:style w:type="paragraph" w:customStyle="1" w:styleId="Heading91">
    <w:name w:val="Heading 91"/>
    <w:basedOn w:val="Normal"/>
    <w:next w:val="Normal"/>
    <w:pPr>
      <w:keepNext/>
      <w:keepLines/>
      <w:widowControl/>
      <w:spacing w:before="200"/>
      <w:ind w:left="6480" w:hanging="180"/>
      <w:jc w:val="both"/>
      <w:textAlignment w:val="auto"/>
      <w:outlineLvl w:val="8"/>
    </w:pPr>
    <w:rPr>
      <w:rFonts w:ascii="Calibri" w:eastAsia="MS Gothic" w:hAnsi="Calibri" w:cs="Times New Roman"/>
      <w:i/>
      <w:iCs/>
      <w:color w:val="404040"/>
      <w:kern w:val="0"/>
      <w:sz w:val="20"/>
      <w:szCs w:val="20"/>
      <w:lang w:eastAsia="es-ES" w:bidi="ar-SA"/>
    </w:rPr>
  </w:style>
  <w:style w:type="paragraph" w:customStyle="1" w:styleId="Standard">
    <w:name w:val="Standard"/>
    <w:pPr>
      <w:suppressAutoHyphens/>
    </w:pPr>
    <w:rPr>
      <w:rFonts w:ascii="Courier New" w:eastAsia="Courier New" w:hAnsi="Courier New" w:cs="Courier New"/>
      <w:kern w:val="3"/>
      <w:sz w:val="24"/>
      <w:lang w:val="es-ES" w:eastAsia="zh-CN"/>
    </w:rPr>
  </w:style>
  <w:style w:type="paragraph" w:customStyle="1" w:styleId="Heading">
    <w:name w:val="Heading"/>
    <w:basedOn w:val="Standard"/>
    <w:next w:val="Textbody"/>
    <w:pPr>
      <w:spacing w:before="240" w:after="60"/>
      <w:jc w:val="center"/>
    </w:pPr>
    <w:rPr>
      <w:rFonts w:ascii="Arial" w:eastAsia="Arial" w:hAnsi="Arial" w:cs="Arial"/>
      <w:b/>
      <w:sz w:val="32"/>
    </w:rPr>
  </w:style>
  <w:style w:type="paragraph" w:customStyle="1" w:styleId="Textbody">
    <w:name w:val="Text body"/>
    <w:basedOn w:val="Standard"/>
    <w:pPr>
      <w:tabs>
        <w:tab w:val="left" w:pos="-720"/>
      </w:tabs>
      <w:jc w:val="both"/>
    </w:pPr>
    <w:rPr>
      <w:rFonts w:ascii="Arial" w:eastAsia="Arial" w:hAnsi="Arial" w:cs="Arial"/>
      <w:spacing w:val="-3"/>
      <w:sz w:val="28"/>
    </w:rPr>
  </w:style>
  <w:style w:type="paragraph" w:styleId="Lista">
    <w:name w:val="List"/>
    <w:basedOn w:val="Standard"/>
    <w:pPr>
      <w:ind w:left="283" w:hanging="283"/>
    </w:pPr>
    <w:rPr>
      <w:rFonts w:ascii="Times New Roman" w:eastAsia="Times New Roman" w:hAnsi="Times New Roman" w:cs="Times New Roman"/>
      <w:lang w:val="es-CO"/>
    </w:rPr>
  </w:style>
  <w:style w:type="paragraph" w:styleId="Descripcin">
    <w:name w:val="caption"/>
    <w:basedOn w:val="Standard"/>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customStyle="1" w:styleId="Contents1">
    <w:name w:val="Contents 1"/>
    <w:basedOn w:val="Standard"/>
    <w:next w:val="Standard"/>
    <w:pPr>
      <w:tabs>
        <w:tab w:val="left" w:leader="dot" w:pos="9720"/>
        <w:tab w:val="right" w:pos="10080"/>
      </w:tabs>
      <w:spacing w:before="480"/>
      <w:ind w:left="720" w:right="720" w:hanging="720"/>
    </w:pPr>
    <w:rPr>
      <w:lang w:val="en-US"/>
    </w:rPr>
  </w:style>
  <w:style w:type="paragraph" w:customStyle="1" w:styleId="Contents2">
    <w:name w:val="Contents 2"/>
    <w:basedOn w:val="Standard"/>
    <w:next w:val="Standard"/>
    <w:pPr>
      <w:tabs>
        <w:tab w:val="left" w:leader="dot" w:pos="10440"/>
        <w:tab w:val="right" w:pos="10800"/>
      </w:tabs>
      <w:ind w:left="1440" w:right="720" w:hanging="720"/>
    </w:pPr>
    <w:rPr>
      <w:lang w:val="en-US"/>
    </w:rPr>
  </w:style>
  <w:style w:type="paragraph" w:customStyle="1" w:styleId="Contents3">
    <w:name w:val="Contents 3"/>
    <w:basedOn w:val="Standard"/>
    <w:next w:val="Standard"/>
    <w:pPr>
      <w:tabs>
        <w:tab w:val="left" w:leader="dot" w:pos="11160"/>
        <w:tab w:val="right" w:pos="11520"/>
      </w:tabs>
      <w:ind w:left="2160" w:right="720" w:hanging="720"/>
    </w:pPr>
    <w:rPr>
      <w:lang w:val="en-US"/>
    </w:rPr>
  </w:style>
  <w:style w:type="paragraph" w:customStyle="1" w:styleId="Contents4">
    <w:name w:val="Contents 4"/>
    <w:basedOn w:val="Standard"/>
    <w:next w:val="Standard"/>
    <w:pPr>
      <w:tabs>
        <w:tab w:val="left" w:leader="dot" w:pos="11880"/>
        <w:tab w:val="right" w:pos="12240"/>
      </w:tabs>
      <w:ind w:left="2880" w:right="720" w:hanging="720"/>
    </w:pPr>
    <w:rPr>
      <w:lang w:val="en-US"/>
    </w:rPr>
  </w:style>
  <w:style w:type="paragraph" w:customStyle="1" w:styleId="Contents5">
    <w:name w:val="Contents 5"/>
    <w:basedOn w:val="Standard"/>
    <w:next w:val="Standard"/>
    <w:pPr>
      <w:tabs>
        <w:tab w:val="left" w:leader="dot" w:pos="12600"/>
        <w:tab w:val="right" w:pos="12960"/>
      </w:tabs>
      <w:ind w:left="3600" w:right="720" w:hanging="720"/>
    </w:pPr>
    <w:rPr>
      <w:lang w:val="en-US"/>
    </w:rPr>
  </w:style>
  <w:style w:type="paragraph" w:customStyle="1" w:styleId="Contents6">
    <w:name w:val="Contents 6"/>
    <w:basedOn w:val="Standard"/>
    <w:next w:val="Standard"/>
    <w:pPr>
      <w:tabs>
        <w:tab w:val="left" w:pos="9720"/>
        <w:tab w:val="right" w:pos="10080"/>
      </w:tabs>
      <w:ind w:left="720" w:hanging="720"/>
    </w:pPr>
    <w:rPr>
      <w:lang w:val="en-US"/>
    </w:rPr>
  </w:style>
  <w:style w:type="paragraph" w:customStyle="1" w:styleId="Contents7">
    <w:name w:val="Contents 7"/>
    <w:basedOn w:val="Standard"/>
    <w:next w:val="Standard"/>
    <w:pPr>
      <w:ind w:left="720" w:hanging="720"/>
    </w:pPr>
    <w:rPr>
      <w:lang w:val="en-US"/>
    </w:rPr>
  </w:style>
  <w:style w:type="paragraph" w:customStyle="1" w:styleId="Contents8">
    <w:name w:val="Contents 8"/>
    <w:basedOn w:val="Standard"/>
    <w:next w:val="Standard"/>
    <w:pPr>
      <w:tabs>
        <w:tab w:val="left" w:pos="9720"/>
        <w:tab w:val="right" w:pos="10080"/>
      </w:tabs>
      <w:ind w:left="720" w:hanging="720"/>
    </w:pPr>
    <w:rPr>
      <w:lang w:val="en-US"/>
    </w:rPr>
  </w:style>
  <w:style w:type="paragraph" w:customStyle="1" w:styleId="Contents9">
    <w:name w:val="Contents 9"/>
    <w:basedOn w:val="Standard"/>
    <w:next w:val="Standard"/>
    <w:pPr>
      <w:tabs>
        <w:tab w:val="left" w:leader="dot" w:pos="9720"/>
        <w:tab w:val="right" w:pos="10080"/>
      </w:tabs>
      <w:ind w:left="720" w:hanging="720"/>
    </w:pPr>
    <w:rPr>
      <w:lang w:val="en-US"/>
    </w:rPr>
  </w:style>
  <w:style w:type="paragraph" w:customStyle="1" w:styleId="ndice1">
    <w:name w:val="índice 1"/>
    <w:basedOn w:val="Standard"/>
    <w:pPr>
      <w:tabs>
        <w:tab w:val="left" w:leader="dot" w:pos="10440"/>
        <w:tab w:val="right" w:pos="10800"/>
      </w:tabs>
      <w:ind w:left="1440" w:right="720" w:hanging="1440"/>
    </w:pPr>
    <w:rPr>
      <w:lang w:val="en-US"/>
    </w:rPr>
  </w:style>
  <w:style w:type="paragraph" w:customStyle="1" w:styleId="ndice2">
    <w:name w:val="índice 2"/>
    <w:basedOn w:val="Standard"/>
    <w:pPr>
      <w:tabs>
        <w:tab w:val="left" w:leader="dot" w:pos="10440"/>
        <w:tab w:val="right" w:pos="10800"/>
      </w:tabs>
      <w:ind w:left="1440" w:right="720" w:hanging="720"/>
    </w:pPr>
    <w:rPr>
      <w:lang w:val="en-US"/>
    </w:rPr>
  </w:style>
  <w:style w:type="paragraph" w:customStyle="1" w:styleId="toa">
    <w:name w:val="toa"/>
    <w:basedOn w:val="Standard"/>
    <w:pPr>
      <w:tabs>
        <w:tab w:val="left" w:pos="9000"/>
        <w:tab w:val="right" w:pos="9360"/>
      </w:tabs>
    </w:pPr>
    <w:rPr>
      <w:lang w:val="en-US"/>
    </w:rPr>
  </w:style>
  <w:style w:type="paragraph" w:customStyle="1" w:styleId="epgrafe">
    <w:name w:val="epígrafe"/>
    <w:basedOn w:val="Standard"/>
  </w:style>
  <w:style w:type="paragraph" w:styleId="ndice10">
    <w:name w:val="index 1"/>
    <w:basedOn w:val="Standard"/>
    <w:next w:val="Standard"/>
    <w:pPr>
      <w:tabs>
        <w:tab w:val="right" w:pos="4867"/>
      </w:tabs>
      <w:ind w:left="240" w:hanging="240"/>
    </w:pPr>
    <w:rPr>
      <w:rFonts w:ascii="Times New Roman" w:eastAsia="Times New Roman" w:hAnsi="Times New Roman" w:cs="Times New Roman"/>
      <w:sz w:val="18"/>
    </w:rPr>
  </w:style>
  <w:style w:type="paragraph" w:styleId="ndice20">
    <w:name w:val="index 2"/>
    <w:basedOn w:val="Standard"/>
    <w:next w:val="Standard"/>
    <w:pPr>
      <w:tabs>
        <w:tab w:val="right" w:pos="5107"/>
      </w:tabs>
      <w:ind w:left="480" w:hanging="240"/>
    </w:pPr>
    <w:rPr>
      <w:rFonts w:ascii="Times New Roman" w:eastAsia="Times New Roman" w:hAnsi="Times New Roman" w:cs="Times New Roman"/>
      <w:sz w:val="18"/>
    </w:rPr>
  </w:style>
  <w:style w:type="paragraph" w:styleId="ndice3">
    <w:name w:val="index 3"/>
    <w:basedOn w:val="Standard"/>
    <w:next w:val="Standard"/>
    <w:pPr>
      <w:tabs>
        <w:tab w:val="right" w:pos="5347"/>
      </w:tabs>
      <w:ind w:left="720" w:hanging="240"/>
    </w:pPr>
    <w:rPr>
      <w:rFonts w:ascii="Times New Roman" w:eastAsia="Times New Roman" w:hAnsi="Times New Roman" w:cs="Times New Roman"/>
      <w:sz w:val="18"/>
    </w:rPr>
  </w:style>
  <w:style w:type="paragraph" w:styleId="ndice4">
    <w:name w:val="index 4"/>
    <w:basedOn w:val="Standard"/>
    <w:next w:val="Standard"/>
    <w:pPr>
      <w:tabs>
        <w:tab w:val="right" w:pos="5587"/>
      </w:tabs>
      <w:ind w:left="960" w:hanging="240"/>
    </w:pPr>
    <w:rPr>
      <w:rFonts w:ascii="Times New Roman" w:eastAsia="Times New Roman" w:hAnsi="Times New Roman" w:cs="Times New Roman"/>
      <w:sz w:val="18"/>
    </w:rPr>
  </w:style>
  <w:style w:type="paragraph" w:styleId="ndice5">
    <w:name w:val="index 5"/>
    <w:basedOn w:val="Standard"/>
    <w:next w:val="Standard"/>
    <w:pPr>
      <w:tabs>
        <w:tab w:val="right" w:pos="5827"/>
      </w:tabs>
      <w:ind w:left="1200" w:hanging="240"/>
    </w:pPr>
    <w:rPr>
      <w:rFonts w:ascii="Times New Roman" w:eastAsia="Times New Roman" w:hAnsi="Times New Roman" w:cs="Times New Roman"/>
      <w:sz w:val="18"/>
    </w:rPr>
  </w:style>
  <w:style w:type="paragraph" w:styleId="ndice6">
    <w:name w:val="index 6"/>
    <w:basedOn w:val="Standard"/>
    <w:next w:val="Standard"/>
    <w:pPr>
      <w:tabs>
        <w:tab w:val="right" w:pos="6067"/>
      </w:tabs>
      <w:ind w:left="1440" w:hanging="240"/>
    </w:pPr>
    <w:rPr>
      <w:rFonts w:ascii="Times New Roman" w:eastAsia="Times New Roman" w:hAnsi="Times New Roman" w:cs="Times New Roman"/>
      <w:sz w:val="18"/>
    </w:rPr>
  </w:style>
  <w:style w:type="paragraph" w:styleId="ndice7">
    <w:name w:val="index 7"/>
    <w:basedOn w:val="Standard"/>
    <w:next w:val="Standard"/>
    <w:pPr>
      <w:tabs>
        <w:tab w:val="right" w:pos="6307"/>
      </w:tabs>
      <w:ind w:left="1680" w:hanging="240"/>
    </w:pPr>
    <w:rPr>
      <w:rFonts w:ascii="Times New Roman" w:eastAsia="Times New Roman" w:hAnsi="Times New Roman" w:cs="Times New Roman"/>
      <w:sz w:val="18"/>
    </w:rPr>
  </w:style>
  <w:style w:type="paragraph" w:styleId="ndice8">
    <w:name w:val="index 8"/>
    <w:basedOn w:val="Standard"/>
    <w:next w:val="Standard"/>
    <w:pPr>
      <w:tabs>
        <w:tab w:val="right" w:pos="6547"/>
      </w:tabs>
      <w:ind w:left="1920" w:hanging="240"/>
    </w:pPr>
    <w:rPr>
      <w:rFonts w:ascii="Times New Roman" w:eastAsia="Times New Roman" w:hAnsi="Times New Roman" w:cs="Times New Roman"/>
      <w:sz w:val="18"/>
    </w:rPr>
  </w:style>
  <w:style w:type="paragraph" w:styleId="ndice9">
    <w:name w:val="index 9"/>
    <w:basedOn w:val="Standard"/>
    <w:next w:val="Standard"/>
    <w:pPr>
      <w:tabs>
        <w:tab w:val="right" w:pos="6787"/>
      </w:tabs>
      <w:ind w:left="2160" w:hanging="240"/>
    </w:pPr>
    <w:rPr>
      <w:rFonts w:ascii="Times New Roman" w:eastAsia="Times New Roman" w:hAnsi="Times New Roman" w:cs="Times New Roman"/>
      <w:sz w:val="18"/>
    </w:rPr>
  </w:style>
  <w:style w:type="paragraph" w:styleId="Ttulodendice">
    <w:name w:val="index heading"/>
    <w:basedOn w:val="Standard"/>
    <w:next w:val="ndice10"/>
    <w:pPr>
      <w:spacing w:before="240" w:after="120"/>
      <w:jc w:val="center"/>
    </w:pPr>
    <w:rPr>
      <w:rFonts w:ascii="Times New Roman" w:eastAsia="Times New Roman" w:hAnsi="Times New Roman" w:cs="Times New Roman"/>
      <w:b/>
      <w:sz w:val="26"/>
    </w:rPr>
  </w:style>
  <w:style w:type="paragraph" w:styleId="Encabezado">
    <w:name w:val="header"/>
    <w:basedOn w:val="HeaderandFooter"/>
  </w:style>
  <w:style w:type="paragraph" w:customStyle="1" w:styleId="HeaderandFooter">
    <w:name w:val="Header and Footer"/>
    <w:basedOn w:val="Standard"/>
    <w:pPr>
      <w:suppressLineNumbers/>
      <w:tabs>
        <w:tab w:val="center" w:pos="4986"/>
        <w:tab w:val="right" w:pos="9972"/>
      </w:tabs>
    </w:pPr>
  </w:style>
  <w:style w:type="paragraph" w:styleId="Piedepgina">
    <w:name w:val="footer"/>
    <w:basedOn w:val="Normal"/>
    <w:pPr>
      <w:tabs>
        <w:tab w:val="center" w:pos="4419"/>
        <w:tab w:val="right" w:pos="8838"/>
      </w:tabs>
    </w:pPr>
    <w:rPr>
      <w:rFonts w:cs="Mangal"/>
      <w:szCs w:val="21"/>
    </w:rPr>
  </w:style>
  <w:style w:type="paragraph" w:customStyle="1" w:styleId="Textbodyindent">
    <w:name w:val="Text body indent"/>
    <w:basedOn w:val="Standard"/>
    <w:pPr>
      <w:tabs>
        <w:tab w:val="left" w:pos="4383"/>
        <w:tab w:val="left" w:pos="10206"/>
      </w:tabs>
      <w:ind w:left="5103" w:hanging="5103"/>
      <w:jc w:val="both"/>
    </w:pPr>
    <w:rPr>
      <w:rFonts w:ascii="Arial" w:eastAsia="Arial" w:hAnsi="Arial" w:cs="Arial"/>
      <w:spacing w:val="-3"/>
      <w:sz w:val="28"/>
    </w:rPr>
  </w:style>
  <w:style w:type="paragraph" w:styleId="Textoindependiente2">
    <w:name w:val="Body Text 2"/>
    <w:basedOn w:val="Standard"/>
    <w:pPr>
      <w:tabs>
        <w:tab w:val="left" w:pos="-720"/>
      </w:tabs>
      <w:ind w:right="851"/>
      <w:jc w:val="both"/>
    </w:pPr>
    <w:rPr>
      <w:rFonts w:ascii="Arial" w:eastAsia="Arial" w:hAnsi="Arial" w:cs="Arial"/>
      <w:spacing w:val="-3"/>
      <w:sz w:val="28"/>
    </w:rPr>
  </w:style>
  <w:style w:type="paragraph" w:styleId="Textoindependiente3">
    <w:name w:val="Body Text 3"/>
    <w:basedOn w:val="Standard"/>
    <w:rPr>
      <w:rFonts w:ascii="Arial" w:eastAsia="Arial" w:hAnsi="Arial" w:cs="Arial"/>
      <w:sz w:val="28"/>
    </w:rPr>
  </w:style>
  <w:style w:type="paragraph" w:styleId="Textodebloque">
    <w:name w:val="Block Text"/>
    <w:basedOn w:val="Standard"/>
    <w:pPr>
      <w:ind w:left="851" w:right="851"/>
      <w:jc w:val="both"/>
    </w:pPr>
    <w:rPr>
      <w:rFonts w:ascii="Bookman Old Style" w:eastAsia="Bookman Old Style" w:hAnsi="Bookman Old Style" w:cs="Bookman Old Style"/>
      <w:sz w:val="22"/>
    </w:rPr>
  </w:style>
  <w:style w:type="paragraph" w:customStyle="1" w:styleId="Documento1">
    <w:name w:val="Documento 1"/>
    <w:pPr>
      <w:keepNext/>
      <w:keepLines/>
      <w:tabs>
        <w:tab w:val="left" w:pos="-720"/>
      </w:tabs>
      <w:suppressAutoHyphens/>
    </w:pPr>
    <w:rPr>
      <w:rFonts w:ascii="Courier" w:eastAsia="Courier" w:hAnsi="Courier" w:cs="Courier"/>
      <w:kern w:val="3"/>
      <w:sz w:val="24"/>
      <w:lang w:val="en-US" w:eastAsia="zh-CN"/>
    </w:rPr>
  </w:style>
  <w:style w:type="paragraph" w:styleId="Textocomentario">
    <w:name w:val="annotation text"/>
    <w:basedOn w:val="Standard"/>
    <w:rPr>
      <w:rFonts w:ascii="Arial" w:eastAsia="Arial" w:hAnsi="Arial" w:cs="Arial"/>
      <w:sz w:val="20"/>
    </w:rPr>
  </w:style>
  <w:style w:type="paragraph" w:customStyle="1" w:styleId="TITULODOS">
    <w:name w:val="TITULO DOS"/>
    <w:basedOn w:val="Ttulo1"/>
    <w:pPr>
      <w:tabs>
        <w:tab w:val="clear" w:pos="4395"/>
        <w:tab w:val="left" w:pos="567"/>
      </w:tabs>
      <w:jc w:val="both"/>
    </w:pPr>
    <w:rPr>
      <w:bCs/>
      <w:spacing w:val="0"/>
      <w:sz w:val="24"/>
      <w:szCs w:val="24"/>
    </w:rPr>
  </w:style>
  <w:style w:type="paragraph" w:customStyle="1" w:styleId="titulotres">
    <w:name w:val="titulo tres"/>
    <w:basedOn w:val="Ttulo1"/>
    <w:pPr>
      <w:widowControl w:val="0"/>
      <w:numPr>
        <w:numId w:val="12"/>
      </w:numPr>
      <w:tabs>
        <w:tab w:val="clear" w:pos="4395"/>
      </w:tabs>
      <w:jc w:val="both"/>
    </w:pPr>
    <w:rPr>
      <w:bCs/>
      <w:spacing w:val="0"/>
      <w:kern w:val="0"/>
      <w:sz w:val="24"/>
      <w:szCs w:val="22"/>
      <w:lang w:val="es-CO" w:eastAsia="es-CO" w:bidi="hi-IN"/>
    </w:rPr>
  </w:style>
  <w:style w:type="paragraph" w:customStyle="1" w:styleId="BodyText23">
    <w:name w:val="Body Text 23"/>
    <w:basedOn w:val="Standard"/>
    <w:pPr>
      <w:widowControl w:val="0"/>
      <w:jc w:val="both"/>
    </w:pPr>
    <w:rPr>
      <w:rFonts w:ascii="Arial" w:eastAsia="Arial" w:hAnsi="Arial" w:cs="Arial"/>
      <w:b/>
    </w:rPr>
  </w:style>
  <w:style w:type="paragraph" w:customStyle="1" w:styleId="Car">
    <w:name w:val="Car"/>
    <w:basedOn w:val="Standard"/>
    <w:pPr>
      <w:spacing w:after="160" w:line="240" w:lineRule="exact"/>
    </w:pPr>
    <w:rPr>
      <w:rFonts w:ascii="Tahoma" w:eastAsia="Tahoma" w:hAnsi="Tahoma" w:cs="Tahoma"/>
      <w:sz w:val="20"/>
      <w:lang w:val="en-US"/>
    </w:rPr>
  </w:style>
  <w:style w:type="paragraph" w:styleId="NormalWeb">
    <w:name w:val="Normal (Web)"/>
    <w:basedOn w:val="Standard"/>
    <w:pPr>
      <w:spacing w:before="100" w:after="100"/>
    </w:pPr>
    <w:rPr>
      <w:rFonts w:ascii="Times New Roman" w:eastAsia="Times New Roman" w:hAnsi="Times New Roman" w:cs="Times New Roman"/>
      <w:szCs w:val="24"/>
      <w:lang w:val="es-CO"/>
    </w:rPr>
  </w:style>
  <w:style w:type="paragraph" w:styleId="Sinespaciado">
    <w:name w:val="No Spacing"/>
    <w:pPr>
      <w:suppressAutoHyphens/>
    </w:pPr>
    <w:rPr>
      <w:rFonts w:ascii="Courier New" w:eastAsia="Courier New" w:hAnsi="Courier New" w:cs="Courier New"/>
      <w:kern w:val="3"/>
      <w:sz w:val="24"/>
      <w:lang w:val="es-ES" w:eastAsia="zh-CN"/>
    </w:rPr>
  </w:style>
  <w:style w:type="paragraph" w:customStyle="1" w:styleId="WW-Default">
    <w:name w:val="WW-Default"/>
    <w:pPr>
      <w:suppressAutoHyphens/>
      <w:autoSpaceDE w:val="0"/>
    </w:pPr>
    <w:rPr>
      <w:rFonts w:ascii="Verdana" w:eastAsia="Verdana" w:hAnsi="Verdana" w:cs="Verdana"/>
      <w:color w:val="000000"/>
      <w:kern w:val="3"/>
      <w:sz w:val="24"/>
      <w:szCs w:val="24"/>
      <w:lang w:val="es-ES" w:eastAsia="zh-CN"/>
    </w:rPr>
  </w:style>
  <w:style w:type="paragraph" w:styleId="Prrafodelista">
    <w:name w:val="List Paragraph"/>
    <w:basedOn w:val="Standard"/>
    <w:pPr>
      <w:ind w:left="708"/>
    </w:pPr>
  </w:style>
  <w:style w:type="paragraph" w:customStyle="1" w:styleId="Style1">
    <w:name w:val="Style 1"/>
    <w:pPr>
      <w:widowControl w:val="0"/>
      <w:suppressAutoHyphens/>
      <w:autoSpaceDE w:val="0"/>
    </w:pPr>
    <w:rPr>
      <w:rFonts w:ascii="Times New Roman" w:hAnsi="Times New Roman" w:cs="Times New Roman"/>
      <w:kern w:val="3"/>
      <w:lang w:val="en-US" w:eastAsia="zh-CN"/>
    </w:rPr>
  </w:style>
  <w:style w:type="paragraph" w:customStyle="1" w:styleId="Style2">
    <w:name w:val="Style 2"/>
    <w:pPr>
      <w:widowControl w:val="0"/>
      <w:suppressAutoHyphens/>
      <w:autoSpaceDE w:val="0"/>
      <w:spacing w:before="144" w:line="312" w:lineRule="auto"/>
    </w:pPr>
    <w:rPr>
      <w:rFonts w:ascii="Bookman Old Style" w:eastAsia="Bookman Old Style" w:hAnsi="Bookman Old Style" w:cs="Bookman Old Style"/>
      <w:kern w:val="3"/>
      <w:sz w:val="22"/>
      <w:szCs w:val="22"/>
      <w:lang w:val="en-US" w:eastAsia="zh-CN"/>
    </w:rPr>
  </w:style>
  <w:style w:type="paragraph" w:customStyle="1" w:styleId="Style3">
    <w:name w:val="Style 3"/>
    <w:pPr>
      <w:widowControl w:val="0"/>
      <w:suppressAutoHyphens/>
      <w:autoSpaceDE w:val="0"/>
      <w:ind w:left="360"/>
    </w:pPr>
    <w:rPr>
      <w:rFonts w:ascii="Times New Roman" w:hAnsi="Times New Roman" w:cs="Times New Roman"/>
      <w:kern w:val="3"/>
      <w:sz w:val="26"/>
      <w:szCs w:val="26"/>
      <w:lang w:val="en-US" w:eastAsia="zh-CN"/>
    </w:rPr>
  </w:style>
  <w:style w:type="paragraph" w:customStyle="1" w:styleId="Style7">
    <w:name w:val="Style 7"/>
    <w:pPr>
      <w:widowControl w:val="0"/>
      <w:suppressAutoHyphens/>
      <w:autoSpaceDE w:val="0"/>
    </w:pPr>
    <w:rPr>
      <w:rFonts w:ascii="Times New Roman" w:hAnsi="Times New Roman" w:cs="Times New Roman"/>
      <w:kern w:val="3"/>
      <w:lang w:val="en-US" w:eastAsia="zh-CN"/>
    </w:rPr>
  </w:style>
  <w:style w:type="paragraph" w:customStyle="1" w:styleId="Style8">
    <w:name w:val="Style 8"/>
    <w:pPr>
      <w:widowControl w:val="0"/>
      <w:suppressAutoHyphens/>
      <w:autoSpaceDE w:val="0"/>
      <w:ind w:left="936" w:hanging="504"/>
    </w:pPr>
    <w:rPr>
      <w:rFonts w:ascii="Arial" w:eastAsia="Arial" w:hAnsi="Arial" w:cs="Arial"/>
      <w:kern w:val="3"/>
      <w:sz w:val="24"/>
      <w:szCs w:val="24"/>
      <w:lang w:val="en-US" w:eastAsia="zh-CN"/>
    </w:rPr>
  </w:style>
  <w:style w:type="paragraph" w:customStyle="1" w:styleId="Style6">
    <w:name w:val="Style 6"/>
    <w:pPr>
      <w:widowControl w:val="0"/>
      <w:suppressAutoHyphens/>
      <w:autoSpaceDE w:val="0"/>
      <w:spacing w:line="204" w:lineRule="auto"/>
      <w:ind w:left="288"/>
    </w:pPr>
    <w:rPr>
      <w:rFonts w:ascii="Arial" w:eastAsia="Arial" w:hAnsi="Arial" w:cs="Arial"/>
      <w:kern w:val="3"/>
      <w:sz w:val="24"/>
      <w:szCs w:val="24"/>
      <w:lang w:val="en-US" w:eastAsia="zh-CN"/>
    </w:rPr>
  </w:style>
  <w:style w:type="paragraph" w:styleId="Textodeglobo">
    <w:name w:val="Balloon Text"/>
    <w:basedOn w:val="Normal"/>
    <w:rPr>
      <w:rFonts w:ascii="Tahoma" w:eastAsia="Tahoma" w:hAnsi="Tahoma" w:cs="Mangal"/>
      <w:sz w:val="16"/>
      <w:szCs w:val="14"/>
    </w:rPr>
  </w:style>
  <w:style w:type="paragraph" w:styleId="Asuntodelcomentario">
    <w:name w:val="annotation subject"/>
    <w:basedOn w:val="Textocomentario"/>
    <w:next w:val="Textocomentario"/>
    <w:pPr>
      <w:widowControl w:val="0"/>
    </w:pPr>
    <w:rPr>
      <w:rFonts w:ascii="Liberation Serif" w:eastAsia="Liberation Serif" w:hAnsi="Liberation Serif" w:cs="Mangal"/>
      <w:b/>
      <w:bCs/>
      <w:szCs w:val="18"/>
      <w:lang w:bidi="hi-IN"/>
    </w:rPr>
  </w:style>
  <w:style w:type="paragraph" w:styleId="HTMLconformatoprevio">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pPr>
    <w:rPr>
      <w:rFonts w:ascii="Courier New" w:eastAsia="Courier New" w:hAnsi="Courier New" w:cs="Courier New"/>
      <w:kern w:val="0"/>
      <w:sz w:val="20"/>
      <w:szCs w:val="20"/>
      <w:lang w:val="es-CO" w:eastAsia="es-CO" w:bidi="ar-SA"/>
    </w:rPr>
  </w:style>
  <w:style w:type="paragraph" w:styleId="Revisin">
    <w:name w:val="Revision"/>
    <w:pPr>
      <w:suppressAutoHyphens/>
    </w:pPr>
    <w:rPr>
      <w:rFonts w:cs="Mangal"/>
      <w:kern w:val="3"/>
      <w:sz w:val="24"/>
      <w:szCs w:val="21"/>
      <w:lang w:val="es-ES" w:eastAsia="zh-CN" w:bidi="hi-IN"/>
    </w:rPr>
  </w:style>
  <w:style w:type="paragraph" w:customStyle="1" w:styleId="Estilo1">
    <w:name w:val="Estilo1"/>
    <w:basedOn w:val="Normal"/>
    <w:pPr>
      <w:widowControl/>
    </w:pPr>
    <w:rPr>
      <w:rFonts w:ascii="Arial" w:eastAsia="Arial" w:hAnsi="Arial" w:cs="Arial"/>
      <w:sz w:val="20"/>
      <w:szCs w:val="20"/>
      <w:lang w:bidi="ar-SA"/>
    </w:rPr>
  </w:style>
  <w:style w:type="paragraph" w:styleId="Textonotaalfinal">
    <w:name w:val="endnote text"/>
    <w:basedOn w:val="Normal"/>
    <w:rPr>
      <w:rFonts w:cs="Mangal"/>
      <w:sz w:val="20"/>
      <w:szCs w:val="18"/>
    </w:rPr>
  </w:style>
  <w:style w:type="paragraph" w:styleId="Textonotapie">
    <w:name w:val="footnote text"/>
    <w:basedOn w:val="Normal"/>
    <w:rPr>
      <w:rFonts w:cs="Mangal"/>
      <w:sz w:val="20"/>
      <w:szCs w:val="18"/>
    </w:rPr>
  </w:style>
  <w:style w:type="paragraph" w:customStyle="1" w:styleId="Epgrafe0">
    <w:name w:val="Epígrafe"/>
    <w:basedOn w:val="Normal"/>
    <w:next w:val="Normal"/>
    <w:pPr>
      <w:spacing w:after="200"/>
    </w:pPr>
    <w:rPr>
      <w:rFonts w:cs="Mangal"/>
      <w:i/>
      <w:iCs/>
      <w:color w:val="1F497D"/>
      <w:sz w:val="18"/>
      <w:szCs w:val="16"/>
    </w:rPr>
  </w:style>
  <w:style w:type="paragraph" w:customStyle="1" w:styleId="Normal1">
    <w:name w:val="Normal 1"/>
    <w:basedOn w:val="Sangranormal"/>
    <w:pPr>
      <w:widowControl/>
      <w:tabs>
        <w:tab w:val="left" w:pos="2880"/>
      </w:tabs>
      <w:ind w:left="2880" w:hanging="360"/>
      <w:jc w:val="both"/>
      <w:textAlignment w:val="auto"/>
    </w:pPr>
    <w:rPr>
      <w:rFonts w:ascii="Times New Roman" w:eastAsia="MS Mincho" w:hAnsi="Times New Roman" w:cs="Times New Roman"/>
      <w:kern w:val="0"/>
      <w:szCs w:val="24"/>
      <w:lang w:eastAsia="es-ES" w:bidi="ar-SA"/>
    </w:rPr>
  </w:style>
  <w:style w:type="paragraph" w:styleId="Sangranormal">
    <w:name w:val="Normal Indent"/>
    <w:basedOn w:val="Normal"/>
    <w:pPr>
      <w:ind w:left="708"/>
    </w:pPr>
    <w:rPr>
      <w:rFonts w:cs="Mangal"/>
      <w:szCs w:val="21"/>
    </w:rPr>
  </w:style>
  <w:style w:type="paragraph" w:customStyle="1" w:styleId="Default">
    <w:name w:val="Default"/>
    <w:pPr>
      <w:suppressAutoHyphens/>
      <w:autoSpaceDE w:val="0"/>
      <w:textAlignment w:val="auto"/>
    </w:pPr>
    <w:rPr>
      <w:rFonts w:ascii="Times New Roman" w:hAnsi="Times New Roman" w:cs="Times New Roman"/>
      <w:color w:val="000000"/>
      <w:sz w:val="24"/>
      <w:szCs w:val="24"/>
      <w:lang w:val="es-MX" w:eastAsia="en-US"/>
    </w:rPr>
  </w:style>
  <w:style w:type="paragraph" w:customStyle="1" w:styleId="ANINormal">
    <w:name w:val="ANI Normal"/>
    <w:basedOn w:val="Normal"/>
    <w:pPr>
      <w:widowControl/>
      <w:tabs>
        <w:tab w:val="left" w:pos="-142"/>
      </w:tabs>
      <w:autoSpaceDE w:val="0"/>
      <w:spacing w:before="120" w:after="240"/>
      <w:jc w:val="both"/>
      <w:textAlignment w:val="auto"/>
    </w:pPr>
    <w:rPr>
      <w:rFonts w:ascii="Arial Narrow" w:eastAsia="Arial Narrow" w:hAnsi="Arial Narrow" w:cs="Calibri"/>
      <w:color w:val="000000"/>
      <w:kern w:val="0"/>
      <w:lang w:val="es-CO" w:eastAsia="en-US" w:bidi="ar-SA"/>
    </w:rPr>
  </w:style>
  <w:style w:type="paragraph" w:styleId="Textoindependiente">
    <w:name w:val="Body Text"/>
    <w:basedOn w:val="Normal"/>
    <w:pPr>
      <w:autoSpaceDE w:val="0"/>
      <w:textAlignment w:val="auto"/>
    </w:pPr>
    <w:rPr>
      <w:rFonts w:ascii="Arial" w:eastAsia="Arial" w:hAnsi="Arial" w:cs="Arial"/>
      <w:kern w:val="0"/>
      <w:sz w:val="20"/>
      <w:szCs w:val="20"/>
      <w:lang w:eastAsia="es-ES" w:bidi="ar-SA"/>
    </w:rPr>
  </w:style>
  <w:style w:type="paragraph" w:customStyle="1" w:styleId="nueve">
    <w:name w:val="nueve"/>
    <w:basedOn w:val="Normal"/>
    <w:pPr>
      <w:widowControl/>
      <w:spacing w:before="100" w:after="100"/>
      <w:textAlignment w:val="auto"/>
    </w:pPr>
    <w:rPr>
      <w:rFonts w:ascii="Times New Roman" w:hAnsi="Times New Roman" w:cs="Times New Roman"/>
      <w:kern w:val="0"/>
      <w:lang w:val="es-CO" w:eastAsia="es-CO" w:bidi="ar-SA"/>
    </w:rPr>
  </w:style>
  <w:style w:type="paragraph" w:customStyle="1" w:styleId="paragraph">
    <w:name w:val="paragraph"/>
    <w:basedOn w:val="Normal"/>
    <w:pPr>
      <w:widowControl/>
      <w:spacing w:before="100" w:after="100"/>
      <w:textAlignment w:val="auto"/>
    </w:pPr>
    <w:rPr>
      <w:rFonts w:ascii="Times New Roman" w:hAnsi="Times New Roman" w:cs="Times New Roman"/>
      <w:kern w:val="0"/>
      <w:lang w:val="es-CO" w:eastAsia="es-CO" w:bidi="ar-SA"/>
    </w:rPr>
  </w:style>
  <w:style w:type="paragraph" w:styleId="Sangradetextonormal">
    <w:name w:val="Body Text Indent"/>
    <w:basedOn w:val="Normal"/>
    <w:pPr>
      <w:widowControl/>
      <w:ind w:firstLine="3686"/>
      <w:textAlignment w:val="auto"/>
    </w:pPr>
    <w:rPr>
      <w:rFonts w:ascii="Times New Roman" w:hAnsi="Times New Roman" w:cs="Times New Roman"/>
      <w:kern w:val="0"/>
      <w:sz w:val="20"/>
      <w:szCs w:val="20"/>
      <w:lang w:val="es-CO" w:eastAsia="es-ES" w:bidi="ar-SA"/>
    </w:rPr>
  </w:style>
  <w:style w:type="character" w:customStyle="1" w:styleId="Ttulo1Car">
    <w:name w:val="Título 1 Car"/>
    <w:rPr>
      <w:rFonts w:ascii="Calibri Light" w:eastAsia="Times New Roman" w:hAnsi="Calibri Light" w:cs="Mangal"/>
      <w:b/>
      <w:bCs/>
      <w:kern w:val="3"/>
      <w:sz w:val="29"/>
      <w:szCs w:val="29"/>
      <w:lang w:bidi="hi-IN"/>
    </w:rPr>
  </w:style>
  <w:style w:type="character" w:customStyle="1" w:styleId="Ttulo2Car">
    <w:name w:val="Título 2 Car"/>
    <w:rPr>
      <w:rFonts w:ascii="Calibri Light" w:eastAsia="Times New Roman" w:hAnsi="Calibri Light" w:cs="Mangal"/>
      <w:b/>
      <w:bCs/>
      <w:i/>
      <w:iCs/>
      <w:sz w:val="25"/>
      <w:szCs w:val="25"/>
      <w:lang w:bidi="hi-IN"/>
    </w:rPr>
  </w:style>
  <w:style w:type="character" w:customStyle="1" w:styleId="Ttulo3Car">
    <w:name w:val="Título 3 Car"/>
    <w:rPr>
      <w:rFonts w:ascii="Calibri Light" w:eastAsia="Times New Roman" w:hAnsi="Calibri Light" w:cs="Mangal"/>
      <w:b/>
      <w:bCs/>
      <w:sz w:val="23"/>
      <w:szCs w:val="23"/>
      <w:lang w:bidi="hi-IN"/>
    </w:rPr>
  </w:style>
  <w:style w:type="character" w:customStyle="1" w:styleId="Ttulo4Car">
    <w:name w:val="Título 4 Car"/>
    <w:rPr>
      <w:rFonts w:ascii="Calibri" w:eastAsia="Times New Roman" w:hAnsi="Calibri" w:cs="Mangal"/>
      <w:b/>
      <w:bCs/>
      <w:sz w:val="25"/>
      <w:szCs w:val="25"/>
      <w:lang w:bidi="hi-IN"/>
    </w:rPr>
  </w:style>
  <w:style w:type="character" w:customStyle="1" w:styleId="Ttulo5Car">
    <w:name w:val="Título 5 Car"/>
    <w:rPr>
      <w:rFonts w:ascii="Calibri" w:eastAsia="Times New Roman" w:hAnsi="Calibri" w:cs="Mangal"/>
      <w:b/>
      <w:bCs/>
      <w:i/>
      <w:iCs/>
      <w:sz w:val="23"/>
      <w:szCs w:val="23"/>
      <w:lang w:bidi="hi-IN"/>
    </w:rPr>
  </w:style>
  <w:style w:type="character" w:customStyle="1" w:styleId="Ttulo6Car">
    <w:name w:val="Título 6 Car"/>
    <w:rPr>
      <w:rFonts w:ascii="Calibri" w:eastAsia="Times New Roman" w:hAnsi="Calibri" w:cs="Mangal"/>
      <w:b/>
      <w:bCs/>
      <w:sz w:val="20"/>
      <w:szCs w:val="20"/>
      <w:lang w:bidi="hi-IN"/>
    </w:rPr>
  </w:style>
  <w:style w:type="character" w:customStyle="1" w:styleId="Ttulo7Car">
    <w:name w:val="Título 7 Car"/>
    <w:rPr>
      <w:rFonts w:ascii="Calibri" w:eastAsia="Times New Roman" w:hAnsi="Calibri" w:cs="Mangal"/>
      <w:sz w:val="21"/>
      <w:szCs w:val="21"/>
      <w:lang w:bidi="hi-IN"/>
    </w:rPr>
  </w:style>
  <w:style w:type="character" w:customStyle="1" w:styleId="Ttulo8Car">
    <w:name w:val="Título 8 Car"/>
    <w:rPr>
      <w:rFonts w:ascii="Calibri" w:eastAsia="Times New Roman" w:hAnsi="Calibri" w:cs="Mangal"/>
      <w:i/>
      <w:iCs/>
      <w:sz w:val="21"/>
      <w:szCs w:val="21"/>
      <w:lang w:bidi="hi-IN"/>
    </w:rPr>
  </w:style>
  <w:style w:type="character" w:customStyle="1" w:styleId="Ttulo9Car">
    <w:name w:val="Título 9 Car"/>
    <w:rPr>
      <w:rFonts w:ascii="Calibri Light" w:eastAsia="Times New Roman" w:hAnsi="Calibri Light" w:cs="Mangal"/>
      <w:sz w:val="20"/>
      <w:szCs w:val="20"/>
      <w:lang w:bidi="hi-IN"/>
    </w:rPr>
  </w:style>
  <w:style w:type="character" w:customStyle="1" w:styleId="EncabezadoCar">
    <w:name w:val="Encabezado Car"/>
    <w:rPr>
      <w:rFonts w:cs="Mangal"/>
      <w:sz w:val="21"/>
      <w:szCs w:val="21"/>
    </w:rPr>
  </w:style>
  <w:style w:type="character" w:customStyle="1" w:styleId="PiedepginaCar">
    <w:name w:val="Pie de página Car"/>
    <w:rPr>
      <w:rFonts w:cs="Mangal"/>
      <w:sz w:val="21"/>
      <w:szCs w:val="21"/>
    </w:rPr>
  </w:style>
  <w:style w:type="character" w:customStyle="1" w:styleId="Textoindependiente2Car">
    <w:name w:val="Texto independiente 2 Car"/>
    <w:rPr>
      <w:rFonts w:cs="Mangal"/>
      <w:sz w:val="21"/>
      <w:szCs w:val="21"/>
      <w:lang w:bidi="hi-IN"/>
    </w:rPr>
  </w:style>
  <w:style w:type="character" w:customStyle="1" w:styleId="Textoindependiente3Car">
    <w:name w:val="Texto independiente 3 Car"/>
    <w:rPr>
      <w:rFonts w:cs="Mangal"/>
      <w:sz w:val="14"/>
      <w:szCs w:val="14"/>
      <w:lang w:bidi="hi-IN"/>
    </w:rPr>
  </w:style>
  <w:style w:type="character" w:customStyle="1" w:styleId="TextocomentarioCar">
    <w:name w:val="Texto comentario Car"/>
    <w:rPr>
      <w:rFonts w:ascii="Arial" w:eastAsia="Arial" w:hAnsi="Arial" w:cs="Arial"/>
      <w:sz w:val="20"/>
      <w:szCs w:val="20"/>
      <w:lang w:bidi="ar-SA"/>
    </w:rPr>
  </w:style>
  <w:style w:type="character" w:customStyle="1" w:styleId="TextodegloboCar">
    <w:name w:val="Texto de globo Car"/>
    <w:rPr>
      <w:rFonts w:ascii="Tahoma" w:eastAsia="Tahoma" w:hAnsi="Tahoma" w:cs="Mangal"/>
      <w:sz w:val="14"/>
      <w:szCs w:val="14"/>
    </w:rPr>
  </w:style>
  <w:style w:type="character" w:customStyle="1" w:styleId="WW8Num1z0">
    <w:name w:val="WW8Num1z0"/>
    <w:rPr>
      <w:rFonts w:ascii="Arial" w:eastAsia="Arial" w:hAnsi="Arial" w:cs="Arial"/>
      <w:spacing w:val="6"/>
      <w:sz w:val="22"/>
    </w:rPr>
  </w:style>
  <w:style w:type="character" w:customStyle="1" w:styleId="WW8Num2z0">
    <w:name w:val="WW8Num2z0"/>
    <w:rPr>
      <w:rFonts w:ascii="Arial" w:eastAsia="Arial" w:hAnsi="Arial" w:cs="Arial"/>
      <w:sz w:val="24"/>
    </w:rPr>
  </w:style>
  <w:style w:type="character" w:customStyle="1" w:styleId="WW8Num5z0">
    <w:name w:val="WW8Num5z0"/>
  </w:style>
  <w:style w:type="character" w:customStyle="1" w:styleId="WW8Num8z0">
    <w:name w:val="WW8Num8z0"/>
    <w:rPr>
      <w:rFonts w:ascii="Arial" w:eastAsia="Arial" w:hAnsi="Arial" w:cs="Arial"/>
      <w:sz w:val="22"/>
    </w:rPr>
  </w:style>
  <w:style w:type="character" w:customStyle="1" w:styleId="WW8Num9z0">
    <w:name w:val="WW8Num9z0"/>
    <w:rPr>
      <w:rFonts w:ascii="Symbol" w:eastAsia="Symbol" w:hAnsi="Symbol" w:cs="Symbol"/>
    </w:rPr>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14z0">
    <w:name w:val="WW8Num14z0"/>
  </w:style>
  <w:style w:type="character" w:customStyle="1" w:styleId="Fuentedeencabezadopredeter">
    <w:name w:val="Fuente de encabezado predeter."/>
  </w:style>
  <w:style w:type="character" w:customStyle="1" w:styleId="EquationCaption">
    <w:name w:val="_Equation Caption"/>
  </w:style>
  <w:style w:type="character" w:styleId="Nmerodepgina">
    <w:name w:val="page number"/>
    <w:rPr>
      <w:rFonts w:cs="Times New Roman"/>
    </w:rPr>
  </w:style>
  <w:style w:type="character" w:customStyle="1" w:styleId="Internetlink">
    <w:name w:val="Internet link"/>
    <w:rPr>
      <w:color w:val="0000FF"/>
      <w:u w:val="single"/>
    </w:rPr>
  </w:style>
  <w:style w:type="character" w:customStyle="1" w:styleId="StrongEmphasis">
    <w:name w:val="Strong Emphasis"/>
    <w:rPr>
      <w:b/>
    </w:rPr>
  </w:style>
  <w:style w:type="character" w:customStyle="1" w:styleId="CharacterStyle1">
    <w:name w:val="Character Style 1"/>
    <w:rPr>
      <w:rFonts w:ascii="Bookman Old Style" w:eastAsia="Bookman Old Style" w:hAnsi="Bookman Old Style" w:cs="Bookman Old Style"/>
      <w:sz w:val="22"/>
    </w:rPr>
  </w:style>
  <w:style w:type="character" w:customStyle="1" w:styleId="CharacterStyle2">
    <w:name w:val="Character Style 2"/>
    <w:rPr>
      <w:sz w:val="26"/>
    </w:rPr>
  </w:style>
  <w:style w:type="character" w:styleId="Refdecomentario">
    <w:name w:val="annotation reference"/>
    <w:rPr>
      <w:rFonts w:cs="Times New Roman"/>
      <w:sz w:val="16"/>
      <w:szCs w:val="16"/>
    </w:rPr>
  </w:style>
  <w:style w:type="character" w:customStyle="1" w:styleId="AsuntodelcomentarioCar">
    <w:name w:val="Asunto del comentario Car"/>
    <w:rPr>
      <w:rFonts w:ascii="Arial" w:eastAsia="Arial" w:hAnsi="Arial" w:cs="Mangal"/>
      <w:b/>
      <w:bCs/>
      <w:sz w:val="18"/>
      <w:szCs w:val="18"/>
      <w:lang w:bidi="ar-SA"/>
    </w:rPr>
  </w:style>
  <w:style w:type="character" w:customStyle="1" w:styleId="StandardCar">
    <w:name w:val="Standard Car"/>
    <w:rPr>
      <w:rFonts w:ascii="Courier New" w:eastAsia="Courier New" w:hAnsi="Courier New" w:cs="Courier New"/>
      <w:sz w:val="20"/>
      <w:szCs w:val="20"/>
      <w:lang w:bidi="ar-SA"/>
    </w:rPr>
  </w:style>
  <w:style w:type="character" w:customStyle="1" w:styleId="HTMLconformatoprevioCar">
    <w:name w:val="HTML con formato previo Car"/>
    <w:basedOn w:val="Fuentedeprrafopredeter"/>
    <w:rPr>
      <w:rFonts w:ascii="Courier New" w:eastAsia="Courier New" w:hAnsi="Courier New" w:cs="Courier New"/>
    </w:rPr>
  </w:style>
  <w:style w:type="character" w:styleId="Hipervnculo">
    <w:name w:val="Hyperlink"/>
    <w:basedOn w:val="Fuentedeprrafopredeter"/>
    <w:rPr>
      <w:color w:val="0000FF"/>
      <w:u w:val="single"/>
    </w:rPr>
  </w:style>
  <w:style w:type="character" w:customStyle="1" w:styleId="TextonotaalfinalCar">
    <w:name w:val="Texto nota al final Car"/>
    <w:basedOn w:val="Fuentedeprrafopredeter"/>
    <w:rPr>
      <w:rFonts w:cs="Mangal"/>
      <w:kern w:val="3"/>
      <w:szCs w:val="18"/>
      <w:lang w:val="es-ES" w:eastAsia="zh-CN" w:bidi="hi-IN"/>
    </w:rPr>
  </w:style>
  <w:style w:type="character" w:styleId="Refdenotaalfinal">
    <w:name w:val="endnote reference"/>
    <w:basedOn w:val="Fuentedeprrafopredeter"/>
    <w:rPr>
      <w:position w:val="0"/>
      <w:vertAlign w:val="superscript"/>
    </w:rPr>
  </w:style>
  <w:style w:type="character" w:customStyle="1" w:styleId="TextonotapieCar">
    <w:name w:val="Texto nota pie Car"/>
    <w:basedOn w:val="Fuentedeprrafopredeter"/>
    <w:rPr>
      <w:rFonts w:cs="Mangal"/>
      <w:kern w:val="3"/>
      <w:szCs w:val="18"/>
      <w:lang w:val="es-ES" w:eastAsia="zh-CN" w:bidi="hi-IN"/>
    </w:rPr>
  </w:style>
  <w:style w:type="character" w:styleId="Refdenotaalpie">
    <w:name w:val="footnote reference"/>
    <w:basedOn w:val="Fuentedeprrafopredeter"/>
    <w:rPr>
      <w:position w:val="0"/>
      <w:vertAlign w:val="superscript"/>
    </w:rPr>
  </w:style>
  <w:style w:type="character" w:styleId="Textoennegrita">
    <w:name w:val="Strong"/>
    <w:basedOn w:val="Fuentedeprrafopredeter"/>
    <w:rPr>
      <w:b/>
      <w:bCs/>
    </w:rPr>
  </w:style>
  <w:style w:type="character" w:customStyle="1" w:styleId="PrrafodelistaCar">
    <w:name w:val="Párrafo de lista Car"/>
    <w:rPr>
      <w:rFonts w:ascii="Courier New" w:eastAsia="Courier New" w:hAnsi="Courier New" w:cs="Courier New"/>
      <w:kern w:val="3"/>
      <w:sz w:val="24"/>
      <w:lang w:val="es-ES" w:eastAsia="zh-CN"/>
    </w:rPr>
  </w:style>
  <w:style w:type="character" w:customStyle="1" w:styleId="Normal1Car">
    <w:name w:val="Normal 1 Car"/>
    <w:basedOn w:val="Fuentedeprrafopredeter"/>
    <w:rPr>
      <w:rFonts w:ascii="Times New Roman" w:eastAsia="MS Mincho" w:hAnsi="Times New Roman" w:cs="Times New Roman"/>
      <w:sz w:val="24"/>
      <w:szCs w:val="24"/>
      <w:lang w:eastAsia="es-ES"/>
    </w:rPr>
  </w:style>
  <w:style w:type="character" w:customStyle="1" w:styleId="ANINormalCar">
    <w:name w:val="ANI Normal Car"/>
    <w:rPr>
      <w:rFonts w:ascii="Arial Narrow" w:eastAsia="Arial Narrow" w:hAnsi="Arial Narrow" w:cs="Arial Narrow"/>
      <w:color w:val="000000"/>
      <w:sz w:val="24"/>
      <w:lang w:eastAsia="en-US"/>
    </w:rPr>
  </w:style>
  <w:style w:type="character" w:customStyle="1" w:styleId="Mencinsinresolver1">
    <w:name w:val="Mención sin resolver1"/>
    <w:rPr>
      <w:color w:val="808080"/>
      <w:shd w:val="clear" w:color="auto" w:fill="E6E6E6"/>
    </w:rPr>
  </w:style>
  <w:style w:type="character" w:customStyle="1" w:styleId="TextoindependienteCar">
    <w:name w:val="Texto independiente Car"/>
    <w:basedOn w:val="Fuentedeprrafopredeter"/>
    <w:rPr>
      <w:rFonts w:ascii="Arial" w:eastAsia="Arial" w:hAnsi="Arial" w:cs="Arial"/>
      <w:lang w:val="es-ES" w:eastAsia="es-ES"/>
    </w:rPr>
  </w:style>
  <w:style w:type="character" w:customStyle="1" w:styleId="Fuentedeprrafopredeter0">
    <w:name w:val="Fuente de párrafo predeter"/>
  </w:style>
  <w:style w:type="character" w:styleId="Textodelmarcadordeposicin">
    <w:name w:val="Placeholder Text"/>
    <w:basedOn w:val="Fuentedeprrafopredeter"/>
    <w:rPr>
      <w:rFonts w:cs="Times New Roman"/>
      <w:color w:val="808080"/>
    </w:rPr>
  </w:style>
  <w:style w:type="character" w:customStyle="1" w:styleId="spelle">
    <w:name w:val="spelle"/>
    <w:basedOn w:val="Fuentedeprrafopredeter"/>
    <w:rPr>
      <w:rFonts w:cs="Times New Roman"/>
    </w:rPr>
  </w:style>
  <w:style w:type="character" w:customStyle="1" w:styleId="normaltextrun">
    <w:name w:val="normaltextrun"/>
    <w:basedOn w:val="Fuentedeprrafopredeter"/>
    <w:rPr>
      <w:rFonts w:cs="Times New Roman"/>
    </w:rPr>
  </w:style>
  <w:style w:type="character" w:customStyle="1" w:styleId="eop">
    <w:name w:val="eop"/>
    <w:basedOn w:val="Fuentedeprrafopredeter"/>
    <w:rPr>
      <w:rFonts w:cs="Times New Roman"/>
    </w:rPr>
  </w:style>
  <w:style w:type="character" w:customStyle="1" w:styleId="tabchar">
    <w:name w:val="tabchar"/>
    <w:basedOn w:val="Fuentedeprrafopredeter"/>
    <w:rPr>
      <w:rFonts w:cs="Times New Roman"/>
    </w:rPr>
  </w:style>
  <w:style w:type="character" w:customStyle="1" w:styleId="scxw228817621">
    <w:name w:val="scxw228817621"/>
    <w:basedOn w:val="Fuentedeprrafopredeter"/>
  </w:style>
  <w:style w:type="character" w:customStyle="1" w:styleId="CuerpodeltextoNegrita">
    <w:name w:val="Cuerpo del texto + Negrita"/>
    <w:rPr>
      <w:rFonts w:ascii="Arial" w:eastAsia="Arial" w:hAnsi="Arial" w:cs="Arial"/>
      <w:b/>
      <w:bCs/>
      <w:sz w:val="17"/>
      <w:szCs w:val="17"/>
      <w:shd w:val="clear" w:color="auto" w:fill="FFFFFF"/>
    </w:rPr>
  </w:style>
  <w:style w:type="character" w:customStyle="1" w:styleId="Mencinsinresolver2">
    <w:name w:val="Mención sin resolver2"/>
    <w:basedOn w:val="Fuentedeprrafopredeter"/>
    <w:rPr>
      <w:color w:val="605E5C"/>
      <w:shd w:val="clear" w:color="auto" w:fill="E1DFDD"/>
    </w:rPr>
  </w:style>
  <w:style w:type="character" w:customStyle="1" w:styleId="SangradetextonormalCar">
    <w:name w:val="Sangría de texto normal Car"/>
    <w:basedOn w:val="Fuentedeprrafopredeter"/>
    <w:rPr>
      <w:rFonts w:ascii="Times New Roman" w:eastAsia="Times New Roman" w:hAnsi="Times New Roman" w:cs="Times New Roman"/>
      <w:lang w:eastAsia="es-ES"/>
    </w:rPr>
  </w:style>
  <w:style w:type="character" w:customStyle="1" w:styleId="EpgrafeCar">
    <w:name w:val="Epígrafe Car"/>
    <w:rPr>
      <w:rFonts w:cs="Mangal"/>
      <w:i/>
      <w:iCs/>
      <w:color w:val="1F497D"/>
      <w:kern w:val="3"/>
      <w:sz w:val="18"/>
      <w:szCs w:val="16"/>
      <w:lang w:val="es-ES" w:eastAsia="zh-CN" w:bidi="hi-IN"/>
    </w:rPr>
  </w:style>
  <w:style w:type="character" w:customStyle="1" w:styleId="Mencionar1">
    <w:name w:val="Mencionar1"/>
    <w:basedOn w:val="Fuentedeprrafopredeter"/>
    <w:rPr>
      <w:color w:val="2B579A"/>
      <w:shd w:val="clear" w:color="auto" w:fill="E1DFDD"/>
    </w:rPr>
  </w:style>
  <w:style w:type="character" w:styleId="Hipervnculovisitado">
    <w:name w:val="FollowedHyperlink"/>
    <w:basedOn w:val="Fuentedeprrafopredeter"/>
    <w:rPr>
      <w:color w:val="800080"/>
      <w:u w:val="single"/>
    </w:rPr>
  </w:style>
  <w:style w:type="character" w:styleId="Mencinsinresolver">
    <w:name w:val="Unresolved Mention"/>
    <w:basedOn w:val="Fuentedeprrafopredeter"/>
    <w:rPr>
      <w:color w:val="605E5C"/>
      <w:shd w:val="clear" w:color="auto" w:fill="E1DFDD"/>
    </w:rPr>
  </w:style>
  <w:style w:type="character" w:styleId="SmartLink">
    <w:name w:val="Smart Link"/>
    <w:basedOn w:val="Fuentedeprrafopredeter"/>
    <w:rPr>
      <w:color w:val="0000FF"/>
      <w:u w:val="single"/>
      <w:shd w:val="clear" w:color="auto" w:fill="F3F2F1"/>
    </w:rPr>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Endnoteanchor">
    <w:name w:val="Endnote anchor"/>
    <w:rPr>
      <w:position w:val="0"/>
      <w:vertAlign w:val="superscript"/>
    </w:rPr>
  </w:style>
  <w:style w:type="character" w:customStyle="1" w:styleId="EndnoteSymbol">
    <w:name w:val="Endnote Symbol"/>
  </w:style>
  <w:style w:type="numbering" w:customStyle="1" w:styleId="WW8Num2">
    <w:name w:val="WW8Num2"/>
    <w:basedOn w:val="Sinlista"/>
    <w:pPr>
      <w:numPr>
        <w:numId w:val="1"/>
      </w:numPr>
    </w:pPr>
  </w:style>
  <w:style w:type="numbering" w:customStyle="1" w:styleId="WW8Num14">
    <w:name w:val="WW8Num14"/>
    <w:basedOn w:val="Sinlista"/>
    <w:pPr>
      <w:numPr>
        <w:numId w:val="2"/>
      </w:numPr>
    </w:pPr>
  </w:style>
  <w:style w:type="numbering" w:customStyle="1" w:styleId="WW8Num1">
    <w:name w:val="WW8Num1"/>
    <w:basedOn w:val="Sinlista"/>
    <w:pPr>
      <w:numPr>
        <w:numId w:val="3"/>
      </w:numPr>
    </w:pPr>
  </w:style>
  <w:style w:type="numbering" w:customStyle="1" w:styleId="WW8Num10">
    <w:name w:val="WW8Num10"/>
    <w:basedOn w:val="Sinlista"/>
    <w:pPr>
      <w:numPr>
        <w:numId w:val="4"/>
      </w:numPr>
    </w:pPr>
  </w:style>
  <w:style w:type="numbering" w:customStyle="1" w:styleId="WW8Num18">
    <w:name w:val="WW8Num18"/>
    <w:basedOn w:val="Sinlista"/>
    <w:pPr>
      <w:numPr>
        <w:numId w:val="5"/>
      </w:numPr>
    </w:pPr>
  </w:style>
  <w:style w:type="numbering" w:customStyle="1" w:styleId="WW8Num8">
    <w:name w:val="WW8Num8"/>
    <w:basedOn w:val="Sinlista"/>
    <w:pPr>
      <w:numPr>
        <w:numId w:val="6"/>
      </w:numPr>
    </w:pPr>
  </w:style>
  <w:style w:type="numbering" w:customStyle="1" w:styleId="WW8Num3">
    <w:name w:val="WW8Num3"/>
    <w:basedOn w:val="Sinlista"/>
    <w:pPr>
      <w:numPr>
        <w:numId w:val="7"/>
      </w:numPr>
    </w:pPr>
  </w:style>
  <w:style w:type="numbering" w:customStyle="1" w:styleId="WW8Num4">
    <w:name w:val="WW8Num4"/>
    <w:basedOn w:val="Sinlista"/>
    <w:pPr>
      <w:numPr>
        <w:numId w:val="8"/>
      </w:numPr>
    </w:pPr>
  </w:style>
  <w:style w:type="numbering" w:customStyle="1" w:styleId="WW8Num7">
    <w:name w:val="WW8Num7"/>
    <w:basedOn w:val="Sinlista"/>
    <w:pPr>
      <w:numPr>
        <w:numId w:val="9"/>
      </w:numPr>
    </w:pPr>
  </w:style>
  <w:style w:type="numbering" w:customStyle="1" w:styleId="WW8Num5">
    <w:name w:val="WW8Num5"/>
    <w:basedOn w:val="Sinlista"/>
    <w:pPr>
      <w:numPr>
        <w:numId w:val="10"/>
      </w:numPr>
    </w:pPr>
  </w:style>
  <w:style w:type="numbering" w:customStyle="1" w:styleId="WW8Num13">
    <w:name w:val="WW8Num13"/>
    <w:basedOn w:val="Sinlista"/>
    <w:pPr>
      <w:numPr>
        <w:numId w:val="11"/>
      </w:numPr>
    </w:pPr>
  </w:style>
  <w:style w:type="numbering" w:customStyle="1" w:styleId="WW8Num6">
    <w:name w:val="WW8Num6"/>
    <w:basedOn w:val="Sinlista"/>
    <w:pPr>
      <w:numPr>
        <w:numId w:val="12"/>
      </w:numPr>
    </w:pPr>
  </w:style>
  <w:style w:type="numbering" w:customStyle="1" w:styleId="WW8Num12">
    <w:name w:val="WW8Num12"/>
    <w:basedOn w:val="Sinlista"/>
    <w:pPr>
      <w:numPr>
        <w:numId w:val="13"/>
      </w:numPr>
    </w:pPr>
  </w:style>
  <w:style w:type="numbering" w:customStyle="1" w:styleId="WW8Num11">
    <w:name w:val="WW8Num11"/>
    <w:basedOn w:val="Sinlista"/>
    <w:pPr>
      <w:numPr>
        <w:numId w:val="14"/>
      </w:numPr>
    </w:pPr>
  </w:style>
  <w:style w:type="numbering" w:customStyle="1" w:styleId="WW8Num15">
    <w:name w:val="WW8Num15"/>
    <w:basedOn w:val="Sinlista"/>
    <w:pPr>
      <w:numPr>
        <w:numId w:val="15"/>
      </w:numPr>
    </w:pPr>
  </w:style>
  <w:style w:type="numbering" w:customStyle="1" w:styleId="WW8Num16">
    <w:name w:val="WW8Num16"/>
    <w:basedOn w:val="Sinlista"/>
    <w:pPr>
      <w:numPr>
        <w:numId w:val="16"/>
      </w:numPr>
    </w:pPr>
  </w:style>
  <w:style w:type="numbering" w:customStyle="1" w:styleId="WW8Num19">
    <w:name w:val="WW8Num19"/>
    <w:basedOn w:val="Sinlista"/>
    <w:pPr>
      <w:numPr>
        <w:numId w:val="17"/>
      </w:numPr>
    </w:pPr>
  </w:style>
  <w:style w:type="numbering" w:customStyle="1" w:styleId="WW8Num9">
    <w:name w:val="WW8Num9"/>
    <w:basedOn w:val="Sinlista"/>
    <w:pPr>
      <w:numPr>
        <w:numId w:val="18"/>
      </w:numPr>
    </w:pPr>
  </w:style>
  <w:style w:type="numbering" w:customStyle="1" w:styleId="WW8Num17">
    <w:name w:val="WW8Num17"/>
    <w:basedOn w:val="Sinlist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lexbase.biz/lexbase/normas/leyes/2002/L0787de2002.htm" TargetMode="External"/><Relationship Id="rId13" Type="http://schemas.openxmlformats.org/officeDocument/2006/relationships/hyperlink" Target="http://www.lexbase.biz/lexbase/normas/Resoluciones/Min-Transporte/2018/R3958de2018.htm" TargetMode="External"/><Relationship Id="rId18" Type="http://schemas.openxmlformats.org/officeDocument/2006/relationships/hyperlink" Target="http://www.lexbase.biz/lexbase/normas/decretos/2011/D0087de2011.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lexbase.biz/lexbase/normas/Resoluciones/Min-Transporte/2019/R0886de2019.htm" TargetMode="External"/><Relationship Id="rId7" Type="http://schemas.openxmlformats.org/officeDocument/2006/relationships/hyperlink" Target="http://www.lexbase.biz/lexbase/normas/leyes/1993/L0105de1993.htm" TargetMode="External"/><Relationship Id="rId12" Type="http://schemas.openxmlformats.org/officeDocument/2006/relationships/hyperlink" Target="http://www.lexbase.biz/lexbase/normas/decretos/2015/D1770de2015.htm" TargetMode="External"/><Relationship Id="rId17" Type="http://schemas.openxmlformats.org/officeDocument/2006/relationships/hyperlink" Target="https://gestiondocumental.mintransporte.gov.co/seguridadImagen.php?fec=MjAyMi8zMDMvZG9jcy8xMjAyMjMwMzAzNTcyOTJfMDAwMDEucGR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exbase.biz/lexbase/normas/Resoluciones/Min-Transporte/2020/R0510de2020.htm" TargetMode="External"/><Relationship Id="rId20" Type="http://schemas.openxmlformats.org/officeDocument/2006/relationships/hyperlink" Target="http://www.lexbase.biz/lexbase/normas/Resoluciones/Min-Transporte/2020/R0510de2020.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xbase.biz/lexbase/normas/decretos/2015/D1770de2015.htm"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lexbase.biz/lexbase/normas/Resoluciones/Min-Transporte/2019/R0886de2019.htm" TargetMode="External"/><Relationship Id="rId23" Type="http://schemas.openxmlformats.org/officeDocument/2006/relationships/hyperlink" Target="http://www.lexbase.biz/lexbase/normas/Resoluciones/Min-Transporte/2019/R0886de2019.htm" TargetMode="External"/><Relationship Id="rId10" Type="http://schemas.openxmlformats.org/officeDocument/2006/relationships/hyperlink" Target="http://www.lexbase.biz/lexbase/normas/decretos/2015/D1770de2015.htm" TargetMode="External"/><Relationship Id="rId19" Type="http://schemas.openxmlformats.org/officeDocument/2006/relationships/hyperlink" Target="http://www.lexbase.biz/lexbase/normas/Resoluciones/Min-Transporte/2019/R0886de2019.htm" TargetMode="External"/><Relationship Id="rId4" Type="http://schemas.openxmlformats.org/officeDocument/2006/relationships/webSettings" Target="webSettings.xml"/><Relationship Id="rId9" Type="http://schemas.openxmlformats.org/officeDocument/2006/relationships/hyperlink" Target="http://www.lexbase.biz/lexbase/normas/decretos/2011/D0087de2011.htm" TargetMode="External"/><Relationship Id="rId14" Type="http://schemas.openxmlformats.org/officeDocument/2006/relationships/hyperlink" Target="http://www.lexbase.biz/lexbase/normas/Resoluciones/Min-Transporte/2019/R0886de2019.htm" TargetMode="External"/><Relationship Id="rId22" Type="http://schemas.openxmlformats.org/officeDocument/2006/relationships/hyperlink" Target="http://www.lexbase.biz/lexbase/normas/Resoluciones/Min-Transporte/2020/R0510de20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2798</Words>
  <Characters>15389</Characters>
  <Application>Microsoft Office Word</Application>
  <DocSecurity>0</DocSecurity>
  <Lines>128</Lines>
  <Paragraphs>36</Paragraphs>
  <ScaleCrop>false</ScaleCrop>
  <Company/>
  <LinksUpToDate>false</LinksUpToDate>
  <CharactersWithSpaces>18151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SERVI001</dc:title>
  <dc:creator>Ministerio de Transporte</dc:creator>
  <cp:lastModifiedBy>Rodrigo Antonio Cubillos Sanchez</cp:lastModifiedBy>
  <cp:revision>2</cp:revision>
  <cp:lastPrinted>2020-04-03T23:17:00Z</cp:lastPrinted>
  <dcterms:created xsi:type="dcterms:W3CDTF">2022-02-24T20:56:00Z</dcterms:created>
  <dcterms:modified xsi:type="dcterms:W3CDTF">2022-02-24T20:56:00Z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