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656D" w:rsidRDefault="00000000">
      <w:pPr>
        <w:autoSpaceDE w:val="0"/>
        <w:ind w:right="123"/>
        <w:jc w:val="center"/>
        <w:textAlignment w:val="auto"/>
        <w:outlineLvl w:val="0"/>
        <w:rPr>
          <w:rFonts w:ascii="Work Sans" w:eastAsia="Caladea" w:hAnsi="Work Sans" w:cs="Caladea"/>
          <w:b/>
          <w:bCs/>
          <w:kern w:val="0"/>
          <w:sz w:val="18"/>
          <w:szCs w:val="18"/>
          <w:lang w:eastAsia="en-US" w:bidi="ar-SA"/>
        </w:rPr>
      </w:pPr>
      <w:r>
        <w:rPr>
          <w:rFonts w:ascii="Work Sans" w:eastAsia="Caladea" w:hAnsi="Work Sans" w:cs="Caladea"/>
          <w:b/>
          <w:bCs/>
          <w:kern w:val="0"/>
          <w:sz w:val="18"/>
          <w:szCs w:val="18"/>
          <w:lang w:eastAsia="en-US" w:bidi="ar-SA"/>
        </w:rPr>
        <w:t>EL MINISTRO DE TRANSPORTE</w:t>
      </w:r>
    </w:p>
    <w:p w:rsidR="00B6656D" w:rsidRDefault="00B6656D">
      <w:pPr>
        <w:autoSpaceDE w:val="0"/>
        <w:spacing w:before="1"/>
        <w:ind w:right="123"/>
        <w:textAlignment w:val="auto"/>
        <w:rPr>
          <w:rFonts w:ascii="Work Sans" w:eastAsia="Caladea" w:hAnsi="Work Sans" w:cs="Caladea"/>
          <w:b/>
          <w:kern w:val="0"/>
          <w:sz w:val="18"/>
          <w:szCs w:val="18"/>
          <w:lang w:eastAsia="en-US" w:bidi="ar-SA"/>
        </w:rPr>
      </w:pPr>
    </w:p>
    <w:p w:rsidR="00B6656D" w:rsidRDefault="00000000">
      <w:pPr>
        <w:autoSpaceDE w:val="0"/>
        <w:ind w:right="123"/>
        <w:jc w:val="both"/>
        <w:textAlignment w:val="auto"/>
      </w:pPr>
      <w:r>
        <w:rPr>
          <w:rFonts w:ascii="Work Sans" w:eastAsia="Caladea" w:hAnsi="Work Sans" w:cs="Caladea"/>
          <w:kern w:val="0"/>
          <w:sz w:val="20"/>
          <w:szCs w:val="20"/>
          <w:lang w:eastAsia="en-US" w:bidi="ar-SA"/>
        </w:rPr>
        <w:t>En</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ejercicio</w:t>
      </w:r>
      <w:r>
        <w:rPr>
          <w:rFonts w:ascii="Work Sans" w:eastAsia="Caladea" w:hAnsi="Work Sans" w:cs="Caladea"/>
          <w:spacing w:val="-5"/>
          <w:kern w:val="0"/>
          <w:sz w:val="20"/>
          <w:szCs w:val="20"/>
          <w:lang w:eastAsia="en-US" w:bidi="ar-SA"/>
        </w:rPr>
        <w:t xml:space="preserve"> </w:t>
      </w:r>
      <w:r>
        <w:rPr>
          <w:rFonts w:ascii="Work Sans" w:eastAsia="Caladea" w:hAnsi="Work Sans" w:cs="Caladea"/>
          <w:kern w:val="0"/>
          <w:sz w:val="20"/>
          <w:szCs w:val="20"/>
          <w:lang w:eastAsia="en-US" w:bidi="ar-SA"/>
        </w:rPr>
        <w:t>de</w:t>
      </w:r>
      <w:r>
        <w:rPr>
          <w:rFonts w:ascii="Work Sans" w:eastAsia="Caladea" w:hAnsi="Work Sans" w:cs="Caladea"/>
          <w:spacing w:val="-5"/>
          <w:kern w:val="0"/>
          <w:sz w:val="20"/>
          <w:szCs w:val="20"/>
          <w:lang w:eastAsia="en-US" w:bidi="ar-SA"/>
        </w:rPr>
        <w:t xml:space="preserve"> </w:t>
      </w:r>
      <w:r>
        <w:rPr>
          <w:rFonts w:ascii="Work Sans" w:eastAsia="Caladea" w:hAnsi="Work Sans" w:cs="Caladea"/>
          <w:kern w:val="0"/>
          <w:sz w:val="20"/>
          <w:szCs w:val="20"/>
          <w:lang w:eastAsia="en-US" w:bidi="ar-SA"/>
        </w:rPr>
        <w:t>las</w:t>
      </w:r>
      <w:r>
        <w:rPr>
          <w:rFonts w:ascii="Work Sans" w:eastAsia="Caladea" w:hAnsi="Work Sans" w:cs="Caladea"/>
          <w:spacing w:val="-5"/>
          <w:kern w:val="0"/>
          <w:sz w:val="20"/>
          <w:szCs w:val="20"/>
          <w:lang w:eastAsia="en-US" w:bidi="ar-SA"/>
        </w:rPr>
        <w:t xml:space="preserve"> </w:t>
      </w:r>
      <w:r>
        <w:rPr>
          <w:rFonts w:ascii="Work Sans" w:eastAsia="Caladea" w:hAnsi="Work Sans" w:cs="Caladea"/>
          <w:kern w:val="0"/>
          <w:sz w:val="20"/>
          <w:szCs w:val="20"/>
          <w:lang w:eastAsia="en-US" w:bidi="ar-SA"/>
        </w:rPr>
        <w:t>facultades</w:t>
      </w:r>
      <w:r>
        <w:rPr>
          <w:rFonts w:ascii="Work Sans" w:eastAsia="Caladea" w:hAnsi="Work Sans" w:cs="Caladea"/>
          <w:spacing w:val="-4"/>
          <w:kern w:val="0"/>
          <w:sz w:val="20"/>
          <w:szCs w:val="20"/>
          <w:lang w:eastAsia="en-US" w:bidi="ar-SA"/>
        </w:rPr>
        <w:t xml:space="preserve"> </w:t>
      </w:r>
      <w:r>
        <w:rPr>
          <w:rFonts w:ascii="Work Sans" w:eastAsia="Caladea" w:hAnsi="Work Sans" w:cs="Caladea"/>
          <w:kern w:val="0"/>
          <w:sz w:val="20"/>
          <w:szCs w:val="20"/>
          <w:lang w:eastAsia="en-US" w:bidi="ar-SA"/>
        </w:rPr>
        <w:t>legales</w:t>
      </w:r>
      <w:r>
        <w:rPr>
          <w:rFonts w:ascii="Work Sans" w:eastAsia="Caladea" w:hAnsi="Work Sans" w:cs="Caladea"/>
          <w:spacing w:val="-5"/>
          <w:kern w:val="0"/>
          <w:sz w:val="20"/>
          <w:szCs w:val="20"/>
          <w:lang w:eastAsia="en-US" w:bidi="ar-SA"/>
        </w:rPr>
        <w:t xml:space="preserve"> </w:t>
      </w:r>
      <w:r>
        <w:rPr>
          <w:rFonts w:ascii="Work Sans" w:eastAsia="Caladea" w:hAnsi="Work Sans" w:cs="Caladea"/>
          <w:kern w:val="0"/>
          <w:sz w:val="20"/>
          <w:szCs w:val="20"/>
          <w:lang w:eastAsia="en-US" w:bidi="ar-SA"/>
        </w:rPr>
        <w:t>y</w:t>
      </w:r>
      <w:r>
        <w:rPr>
          <w:rFonts w:ascii="Work Sans" w:eastAsia="Caladea" w:hAnsi="Work Sans" w:cs="Caladea"/>
          <w:spacing w:val="-6"/>
          <w:kern w:val="0"/>
          <w:sz w:val="20"/>
          <w:szCs w:val="20"/>
          <w:lang w:eastAsia="en-US" w:bidi="ar-SA"/>
        </w:rPr>
        <w:t xml:space="preserve"> </w:t>
      </w:r>
      <w:r>
        <w:rPr>
          <w:rFonts w:ascii="Work Sans" w:eastAsia="Caladea" w:hAnsi="Work Sans" w:cs="Caladea"/>
          <w:kern w:val="0"/>
          <w:sz w:val="20"/>
          <w:szCs w:val="20"/>
          <w:lang w:eastAsia="en-US" w:bidi="ar-SA"/>
        </w:rPr>
        <w:t>en</w:t>
      </w:r>
      <w:r>
        <w:rPr>
          <w:rFonts w:ascii="Work Sans" w:eastAsia="Caladea" w:hAnsi="Work Sans" w:cs="Caladea"/>
          <w:spacing w:val="-6"/>
          <w:kern w:val="0"/>
          <w:sz w:val="20"/>
          <w:szCs w:val="20"/>
          <w:lang w:eastAsia="en-US" w:bidi="ar-SA"/>
        </w:rPr>
        <w:t xml:space="preserve"> </w:t>
      </w:r>
      <w:r>
        <w:rPr>
          <w:rFonts w:ascii="Work Sans" w:eastAsia="Caladea" w:hAnsi="Work Sans" w:cs="Caladea"/>
          <w:kern w:val="0"/>
          <w:sz w:val="20"/>
          <w:szCs w:val="20"/>
          <w:lang w:eastAsia="en-US" w:bidi="ar-SA"/>
        </w:rPr>
        <w:t>especial</w:t>
      </w:r>
      <w:r>
        <w:rPr>
          <w:rFonts w:ascii="Work Sans" w:eastAsia="Caladea" w:hAnsi="Work Sans" w:cs="Caladea"/>
          <w:spacing w:val="-6"/>
          <w:kern w:val="0"/>
          <w:sz w:val="20"/>
          <w:szCs w:val="20"/>
          <w:lang w:eastAsia="en-US" w:bidi="ar-SA"/>
        </w:rPr>
        <w:t xml:space="preserve"> </w:t>
      </w:r>
      <w:r>
        <w:rPr>
          <w:rFonts w:ascii="Work Sans" w:eastAsia="Caladea" w:hAnsi="Work Sans" w:cs="Caladea"/>
          <w:kern w:val="0"/>
          <w:sz w:val="20"/>
          <w:szCs w:val="20"/>
          <w:lang w:eastAsia="en-US" w:bidi="ar-SA"/>
        </w:rPr>
        <w:t>las</w:t>
      </w:r>
      <w:r>
        <w:rPr>
          <w:rFonts w:ascii="Work Sans" w:eastAsia="Caladea" w:hAnsi="Work Sans" w:cs="Caladea"/>
          <w:spacing w:val="-4"/>
          <w:kern w:val="0"/>
          <w:sz w:val="20"/>
          <w:szCs w:val="20"/>
          <w:lang w:eastAsia="en-US" w:bidi="ar-SA"/>
        </w:rPr>
        <w:t xml:space="preserve"> </w:t>
      </w:r>
      <w:r>
        <w:rPr>
          <w:rFonts w:ascii="Work Sans" w:eastAsia="Caladea" w:hAnsi="Work Sans" w:cs="Caladea"/>
          <w:kern w:val="0"/>
          <w:sz w:val="20"/>
          <w:szCs w:val="20"/>
          <w:lang w:eastAsia="en-US" w:bidi="ar-SA"/>
        </w:rPr>
        <w:t>conferidas</w:t>
      </w:r>
      <w:r>
        <w:rPr>
          <w:rFonts w:ascii="Work Sans" w:eastAsia="Caladea" w:hAnsi="Work Sans" w:cs="Caladea"/>
          <w:spacing w:val="-4"/>
          <w:kern w:val="0"/>
          <w:sz w:val="20"/>
          <w:szCs w:val="20"/>
          <w:lang w:eastAsia="en-US" w:bidi="ar-SA"/>
        </w:rPr>
        <w:t xml:space="preserve"> </w:t>
      </w:r>
      <w:r>
        <w:rPr>
          <w:rFonts w:ascii="Work Sans" w:eastAsia="Caladea" w:hAnsi="Work Sans" w:cs="Caladea"/>
          <w:kern w:val="0"/>
          <w:sz w:val="20"/>
          <w:szCs w:val="20"/>
          <w:lang w:eastAsia="en-US" w:bidi="ar-SA"/>
        </w:rPr>
        <w:t>por</w:t>
      </w:r>
      <w:r>
        <w:rPr>
          <w:rFonts w:ascii="Work Sans" w:eastAsia="Caladea" w:hAnsi="Work Sans" w:cs="Caladea"/>
          <w:spacing w:val="-6"/>
          <w:kern w:val="0"/>
          <w:sz w:val="20"/>
          <w:szCs w:val="20"/>
          <w:lang w:eastAsia="en-US" w:bidi="ar-SA"/>
        </w:rPr>
        <w:t xml:space="preserve"> </w:t>
      </w:r>
      <w:r>
        <w:rPr>
          <w:rFonts w:ascii="Work Sans" w:eastAsia="Caladea" w:hAnsi="Work Sans" w:cs="Caladea"/>
          <w:kern w:val="0"/>
          <w:sz w:val="20"/>
          <w:szCs w:val="20"/>
          <w:lang w:eastAsia="en-US" w:bidi="ar-SA"/>
        </w:rPr>
        <w:t>el</w:t>
      </w:r>
      <w:r>
        <w:rPr>
          <w:rFonts w:ascii="Work Sans" w:eastAsia="Caladea" w:hAnsi="Work Sans" w:cs="Caladea"/>
          <w:spacing w:val="-5"/>
          <w:kern w:val="0"/>
          <w:sz w:val="20"/>
          <w:szCs w:val="20"/>
          <w:lang w:eastAsia="en-US" w:bidi="ar-SA"/>
        </w:rPr>
        <w:t xml:space="preserve"> </w:t>
      </w:r>
      <w:r>
        <w:rPr>
          <w:rFonts w:ascii="Work Sans" w:eastAsia="Caladea" w:hAnsi="Work Sans" w:cs="Caladea"/>
          <w:kern w:val="0"/>
          <w:sz w:val="20"/>
          <w:szCs w:val="20"/>
          <w:lang w:eastAsia="en-US" w:bidi="ar-SA"/>
        </w:rPr>
        <w:t>artículo</w:t>
      </w:r>
      <w:r>
        <w:rPr>
          <w:rFonts w:ascii="Work Sans" w:eastAsia="Caladea" w:hAnsi="Work Sans" w:cs="Caladea"/>
          <w:spacing w:val="-5"/>
          <w:kern w:val="0"/>
          <w:sz w:val="20"/>
          <w:szCs w:val="20"/>
          <w:lang w:eastAsia="en-US" w:bidi="ar-SA"/>
        </w:rPr>
        <w:t xml:space="preserve"> </w:t>
      </w:r>
      <w:r>
        <w:rPr>
          <w:rFonts w:ascii="Work Sans" w:eastAsia="Caladea" w:hAnsi="Work Sans" w:cs="Caladea"/>
          <w:kern w:val="0"/>
          <w:sz w:val="20"/>
          <w:szCs w:val="20"/>
          <w:lang w:eastAsia="en-US" w:bidi="ar-SA"/>
        </w:rPr>
        <w:t>21</w:t>
      </w:r>
      <w:r>
        <w:rPr>
          <w:rFonts w:ascii="Work Sans" w:eastAsia="Caladea" w:hAnsi="Work Sans" w:cs="Caladea"/>
          <w:spacing w:val="-6"/>
          <w:kern w:val="0"/>
          <w:sz w:val="20"/>
          <w:szCs w:val="20"/>
          <w:lang w:eastAsia="en-US" w:bidi="ar-SA"/>
        </w:rPr>
        <w:t xml:space="preserve"> </w:t>
      </w:r>
      <w:r>
        <w:rPr>
          <w:rFonts w:ascii="Work Sans" w:eastAsia="Caladea" w:hAnsi="Work Sans" w:cs="Caladea"/>
          <w:kern w:val="0"/>
          <w:sz w:val="20"/>
          <w:szCs w:val="20"/>
          <w:lang w:eastAsia="en-US" w:bidi="ar-SA"/>
        </w:rPr>
        <w:t>de</w:t>
      </w:r>
      <w:r>
        <w:rPr>
          <w:rFonts w:ascii="Work Sans" w:eastAsia="Caladea" w:hAnsi="Work Sans" w:cs="Caladea"/>
          <w:spacing w:val="-5"/>
          <w:kern w:val="0"/>
          <w:sz w:val="20"/>
          <w:szCs w:val="20"/>
          <w:lang w:eastAsia="en-US" w:bidi="ar-SA"/>
        </w:rPr>
        <w:t xml:space="preserve"> </w:t>
      </w:r>
      <w:r>
        <w:rPr>
          <w:rFonts w:ascii="Work Sans" w:eastAsia="Caladea" w:hAnsi="Work Sans" w:cs="Caladea"/>
          <w:kern w:val="0"/>
          <w:sz w:val="20"/>
          <w:szCs w:val="20"/>
          <w:lang w:eastAsia="en-US" w:bidi="ar-SA"/>
        </w:rPr>
        <w:t>la</w:t>
      </w:r>
      <w:r>
        <w:rPr>
          <w:rFonts w:ascii="Work Sans" w:eastAsia="Caladea" w:hAnsi="Work Sans" w:cs="Caladea"/>
          <w:spacing w:val="-5"/>
          <w:kern w:val="0"/>
          <w:sz w:val="20"/>
          <w:szCs w:val="20"/>
          <w:lang w:eastAsia="en-US" w:bidi="ar-SA"/>
        </w:rPr>
        <w:t xml:space="preserve"> </w:t>
      </w:r>
      <w:r>
        <w:rPr>
          <w:rFonts w:ascii="Work Sans" w:eastAsia="Caladea" w:hAnsi="Work Sans" w:cs="Caladea"/>
          <w:kern w:val="0"/>
          <w:sz w:val="20"/>
          <w:szCs w:val="20"/>
          <w:lang w:eastAsia="en-US" w:bidi="ar-SA"/>
        </w:rPr>
        <w:t>Ley 105</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de</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1993</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modificado</w:t>
      </w:r>
      <w:r>
        <w:rPr>
          <w:rFonts w:ascii="Work Sans" w:eastAsia="Caladea" w:hAnsi="Work Sans" w:cs="Caladea"/>
          <w:spacing w:val="4"/>
          <w:kern w:val="0"/>
          <w:sz w:val="20"/>
          <w:szCs w:val="20"/>
          <w:lang w:eastAsia="en-US" w:bidi="ar-SA"/>
        </w:rPr>
        <w:t xml:space="preserve"> </w:t>
      </w:r>
      <w:r>
        <w:rPr>
          <w:rFonts w:ascii="Work Sans" w:eastAsia="Caladea" w:hAnsi="Work Sans" w:cs="Caladea"/>
          <w:kern w:val="0"/>
          <w:sz w:val="20"/>
          <w:szCs w:val="20"/>
          <w:lang w:eastAsia="en-US" w:bidi="ar-SA"/>
        </w:rPr>
        <w:t>parcialmente</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por</w:t>
      </w:r>
      <w:r>
        <w:rPr>
          <w:rFonts w:ascii="Work Sans" w:eastAsia="Caladea" w:hAnsi="Work Sans" w:cs="Caladea"/>
          <w:spacing w:val="6"/>
          <w:kern w:val="0"/>
          <w:sz w:val="20"/>
          <w:szCs w:val="20"/>
          <w:lang w:eastAsia="en-US" w:bidi="ar-SA"/>
        </w:rPr>
        <w:t xml:space="preserve"> </w:t>
      </w:r>
      <w:r>
        <w:rPr>
          <w:rFonts w:ascii="Work Sans" w:eastAsia="Caladea" w:hAnsi="Work Sans" w:cs="Caladea"/>
          <w:kern w:val="0"/>
          <w:sz w:val="20"/>
          <w:szCs w:val="20"/>
          <w:lang w:eastAsia="en-US" w:bidi="ar-SA"/>
        </w:rPr>
        <w:t>el</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artículo</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1</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de</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la</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Ley</w:t>
      </w:r>
      <w:r>
        <w:rPr>
          <w:rFonts w:ascii="Work Sans" w:eastAsia="Caladea" w:hAnsi="Work Sans" w:cs="Caladea"/>
          <w:spacing w:val="6"/>
          <w:kern w:val="0"/>
          <w:sz w:val="20"/>
          <w:szCs w:val="20"/>
          <w:lang w:eastAsia="en-US" w:bidi="ar-SA"/>
        </w:rPr>
        <w:t xml:space="preserve"> </w:t>
      </w:r>
      <w:r>
        <w:rPr>
          <w:rFonts w:ascii="Work Sans" w:eastAsia="Caladea" w:hAnsi="Work Sans" w:cs="Caladea"/>
          <w:kern w:val="0"/>
          <w:sz w:val="20"/>
          <w:szCs w:val="20"/>
          <w:lang w:eastAsia="en-US" w:bidi="ar-SA"/>
        </w:rPr>
        <w:t>787</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de</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2002,</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el</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numeral 6.15 del artículo 6 del Decreto 087 de 2011, y</w:t>
      </w:r>
    </w:p>
    <w:p w:rsidR="00B6656D" w:rsidRDefault="00000000">
      <w:pPr>
        <w:autoSpaceDE w:val="0"/>
        <w:spacing w:before="212"/>
        <w:ind w:right="123"/>
        <w:jc w:val="center"/>
        <w:textAlignment w:val="auto"/>
        <w:outlineLvl w:val="0"/>
        <w:rPr>
          <w:rFonts w:ascii="Work Sans" w:eastAsia="Caladea" w:hAnsi="Work Sans" w:cs="Caladea"/>
          <w:b/>
          <w:bCs/>
          <w:kern w:val="0"/>
          <w:sz w:val="20"/>
          <w:szCs w:val="20"/>
          <w:lang w:eastAsia="en-US" w:bidi="ar-SA"/>
        </w:rPr>
      </w:pPr>
      <w:r>
        <w:rPr>
          <w:rFonts w:ascii="Work Sans" w:eastAsia="Caladea" w:hAnsi="Work Sans" w:cs="Caladea"/>
          <w:b/>
          <w:bCs/>
          <w:kern w:val="0"/>
          <w:sz w:val="20"/>
          <w:szCs w:val="20"/>
          <w:lang w:eastAsia="en-US" w:bidi="ar-SA"/>
        </w:rPr>
        <w:t>CONSIDERANDO</w:t>
      </w:r>
    </w:p>
    <w:p w:rsidR="00B6656D" w:rsidRDefault="00B6656D">
      <w:pPr>
        <w:autoSpaceDE w:val="0"/>
        <w:ind w:right="123"/>
        <w:jc w:val="both"/>
        <w:textAlignment w:val="auto"/>
        <w:rPr>
          <w:rFonts w:ascii="Work Sans" w:eastAsia="Caladea" w:hAnsi="Work Sans" w:cs="Caladea"/>
          <w:kern w:val="0"/>
          <w:sz w:val="20"/>
          <w:szCs w:val="20"/>
          <w:lang w:eastAsia="en-US" w:bidi="ar-SA"/>
        </w:rPr>
      </w:pPr>
    </w:p>
    <w:p w:rsidR="00B6656D" w:rsidRDefault="00000000">
      <w:pPr>
        <w:pStyle w:val="pa20"/>
        <w:spacing w:before="0" w:after="0"/>
        <w:jc w:val="both"/>
      </w:pPr>
      <w:r>
        <w:rPr>
          <w:rFonts w:ascii="Work Sans" w:hAnsi="Work Sans"/>
          <w:color w:val="000000"/>
          <w:sz w:val="20"/>
          <w:szCs w:val="20"/>
        </w:rPr>
        <w:t>Que mediante la Resolución 0000410 de febrero 27 de 2020: “</w:t>
      </w:r>
      <w:r>
        <w:rPr>
          <w:rFonts w:ascii="Work Sans" w:hAnsi="Work Sans"/>
          <w:i/>
          <w:color w:val="000000"/>
          <w:sz w:val="20"/>
          <w:szCs w:val="20"/>
        </w:rPr>
        <w:t xml:space="preserve">Por la cual se establecen unas tarifas diferenciales en las estaciones de peaje los manguitos, purgatorio, cedros y mata de caña del proyecto de asociación público-privada de iniciativa privada para la conexión de los departamentos de Antioquia, Córdoba, Sucre y Bolívar…” </w:t>
      </w:r>
      <w:r>
        <w:rPr>
          <w:rFonts w:ascii="Work Sans" w:hAnsi="Work Sans"/>
          <w:color w:val="000000"/>
          <w:sz w:val="20"/>
          <w:szCs w:val="20"/>
        </w:rPr>
        <w:t>se establecieron tarifas diferenciales en las estaciones de peaje los</w:t>
      </w:r>
      <w:r>
        <w:rPr>
          <w:rFonts w:ascii="Work Sans" w:hAnsi="Work Sans"/>
          <w:i/>
          <w:color w:val="000000"/>
          <w:sz w:val="20"/>
          <w:szCs w:val="20"/>
        </w:rPr>
        <w:t xml:space="preserve"> </w:t>
      </w:r>
      <w:r>
        <w:rPr>
          <w:rFonts w:ascii="Work Sans" w:hAnsi="Work Sans"/>
          <w:color w:val="000000"/>
          <w:sz w:val="20"/>
          <w:szCs w:val="20"/>
        </w:rPr>
        <w:t>manguitos, purgatorio, cedros y mata de caña, así:</w:t>
      </w:r>
    </w:p>
    <w:p w:rsidR="00B6656D" w:rsidRDefault="00B6656D">
      <w:pPr>
        <w:pStyle w:val="pa20"/>
        <w:spacing w:before="0" w:after="0"/>
        <w:jc w:val="both"/>
        <w:rPr>
          <w:rFonts w:ascii="Work Sans" w:hAnsi="Work Sans"/>
          <w:color w:val="000000"/>
          <w:sz w:val="20"/>
          <w:szCs w:val="20"/>
        </w:rPr>
      </w:pPr>
    </w:p>
    <w:p w:rsidR="00B6656D" w:rsidRDefault="00000000">
      <w:pPr>
        <w:widowControl/>
        <w:ind w:left="426"/>
        <w:jc w:val="both"/>
        <w:textAlignment w:val="auto"/>
      </w:pPr>
      <w:r>
        <w:rPr>
          <w:rFonts w:ascii="Work Sans" w:hAnsi="Work Sans" w:cs="Times New Roman"/>
          <w:i/>
          <w:color w:val="000000"/>
          <w:kern w:val="0"/>
          <w:sz w:val="18"/>
          <w:szCs w:val="18"/>
          <w:lang w:val="es-CO" w:eastAsia="es-CO" w:bidi="ar-SA"/>
        </w:rPr>
        <w:t>“Artículo 1</w:t>
      </w:r>
      <w:r>
        <w:rPr>
          <w:rFonts w:ascii="Work Sans" w:hAnsi="Work Sans" w:cs="Times New Roman"/>
          <w:b/>
          <w:bCs/>
          <w:i/>
          <w:color w:val="000000"/>
          <w:kern w:val="0"/>
          <w:sz w:val="18"/>
          <w:szCs w:val="18"/>
          <w:lang w:val="es-CO" w:eastAsia="es-CO" w:bidi="ar-SA"/>
        </w:rPr>
        <w:t>°</w:t>
      </w:r>
      <w:r>
        <w:rPr>
          <w:rFonts w:ascii="Work Sans" w:hAnsi="Work Sans" w:cs="Times New Roman"/>
          <w:i/>
          <w:color w:val="000000"/>
          <w:kern w:val="0"/>
          <w:sz w:val="18"/>
          <w:szCs w:val="18"/>
          <w:lang w:val="es-CO" w:eastAsia="es-CO" w:bidi="ar-SA"/>
        </w:rPr>
        <w:t>. Establecer las siguientes tarifas diferenciales en las categorías 1 y 2 de las estaciones de Peaje Manguitos, Mata de Caña y Cedros, para los vehículos vinculados a empresas debidamente habilitadas para prestar el servicio público de transporte terrestre automotor de pasajeros por carretera cuya ruta haga tránsito por las citadas estaciones de peaje, así:</w:t>
      </w:r>
    </w:p>
    <w:p w:rsidR="00B6656D" w:rsidRDefault="00000000">
      <w:pPr>
        <w:widowControl/>
        <w:spacing w:after="160" w:line="235" w:lineRule="atLeast"/>
        <w:ind w:left="426"/>
        <w:textAlignment w:val="auto"/>
      </w:pPr>
      <w:r>
        <w:rPr>
          <w:rFonts w:ascii="Work Sans" w:hAnsi="Work Sans" w:cs="Calibri"/>
          <w:i/>
          <w:color w:val="000000"/>
          <w:kern w:val="0"/>
          <w:sz w:val="18"/>
          <w:szCs w:val="18"/>
          <w:lang w:val="es-CO" w:eastAsia="es-CO" w:bidi="ar-SA"/>
        </w:rPr>
        <w:t> </w:t>
      </w:r>
    </w:p>
    <w:tbl>
      <w:tblPr>
        <w:tblW w:w="6789" w:type="dxa"/>
        <w:jc w:val="center"/>
        <w:tblCellMar>
          <w:left w:w="10" w:type="dxa"/>
          <w:right w:w="10" w:type="dxa"/>
        </w:tblCellMar>
        <w:tblLook w:val="04A0" w:firstRow="1" w:lastRow="0" w:firstColumn="1" w:lastColumn="0" w:noHBand="0" w:noVBand="1"/>
      </w:tblPr>
      <w:tblGrid>
        <w:gridCol w:w="2263"/>
        <w:gridCol w:w="2263"/>
        <w:gridCol w:w="2263"/>
      </w:tblGrid>
      <w:tr w:rsidR="00B6656D">
        <w:tblPrEx>
          <w:tblCellMar>
            <w:top w:w="0" w:type="dxa"/>
            <w:bottom w:w="0" w:type="dxa"/>
          </w:tblCellMar>
        </w:tblPrEx>
        <w:trPr>
          <w:trHeight w:val="202"/>
          <w:jc w:val="center"/>
        </w:trPr>
        <w:tc>
          <w:tcPr>
            <w:tcW w:w="226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ind w:left="426"/>
              <w:jc w:val="center"/>
              <w:textAlignment w:val="auto"/>
            </w:pPr>
            <w:r>
              <w:rPr>
                <w:rFonts w:ascii="Work Sans" w:hAnsi="Work Sans" w:cs="Times New Roman"/>
                <w:b/>
                <w:bCs/>
                <w:i/>
                <w:color w:val="000000"/>
                <w:kern w:val="0"/>
                <w:sz w:val="16"/>
                <w:szCs w:val="16"/>
                <w:lang w:val="es-CO" w:eastAsia="es-CO" w:bidi="ar-SA"/>
              </w:rPr>
              <w:t>CATEGORÍAS</w:t>
            </w:r>
          </w:p>
        </w:tc>
        <w:tc>
          <w:tcPr>
            <w:tcW w:w="226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ind w:left="426"/>
              <w:jc w:val="center"/>
              <w:textAlignment w:val="auto"/>
            </w:pPr>
            <w:r>
              <w:rPr>
                <w:rFonts w:ascii="Work Sans" w:hAnsi="Work Sans" w:cs="Times New Roman"/>
                <w:b/>
                <w:bCs/>
                <w:i/>
                <w:color w:val="000000"/>
                <w:kern w:val="0"/>
                <w:sz w:val="16"/>
                <w:szCs w:val="16"/>
                <w:lang w:val="es-CO" w:eastAsia="es-CO" w:bidi="ar-SA"/>
              </w:rPr>
              <w:t>DESCRIPCIÓN</w:t>
            </w:r>
          </w:p>
        </w:tc>
        <w:tc>
          <w:tcPr>
            <w:tcW w:w="226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ind w:left="426"/>
              <w:jc w:val="center"/>
              <w:textAlignment w:val="auto"/>
            </w:pPr>
            <w:r>
              <w:rPr>
                <w:rFonts w:ascii="Work Sans" w:hAnsi="Work Sans" w:cs="Times New Roman"/>
                <w:b/>
                <w:bCs/>
                <w:i/>
                <w:color w:val="000000"/>
                <w:kern w:val="0"/>
                <w:sz w:val="16"/>
                <w:szCs w:val="16"/>
                <w:lang w:val="es-CO" w:eastAsia="es-CO" w:bidi="ar-SA"/>
              </w:rPr>
              <w:t>TARIFA 2019</w:t>
            </w:r>
          </w:p>
          <w:p w:rsidR="00B6656D" w:rsidRDefault="00000000">
            <w:pPr>
              <w:widowControl/>
              <w:ind w:left="426"/>
              <w:jc w:val="center"/>
              <w:textAlignment w:val="auto"/>
            </w:pPr>
            <w:r>
              <w:rPr>
                <w:rFonts w:ascii="Work Sans" w:hAnsi="Work Sans" w:cs="Times New Roman"/>
                <w:i/>
                <w:color w:val="000000"/>
                <w:kern w:val="0"/>
                <w:sz w:val="16"/>
                <w:szCs w:val="16"/>
                <w:lang w:val="es-CO" w:eastAsia="es-CO" w:bidi="ar-SA"/>
              </w:rPr>
              <w:t> </w:t>
            </w:r>
          </w:p>
          <w:p w:rsidR="00B6656D" w:rsidRDefault="00000000">
            <w:pPr>
              <w:widowControl/>
              <w:ind w:left="426"/>
              <w:jc w:val="center"/>
              <w:textAlignment w:val="auto"/>
            </w:pPr>
            <w:r>
              <w:rPr>
                <w:rFonts w:ascii="Work Sans" w:hAnsi="Work Sans" w:cs="Times New Roman"/>
                <w:b/>
                <w:bCs/>
                <w:i/>
                <w:color w:val="000000"/>
                <w:kern w:val="0"/>
                <w:sz w:val="16"/>
                <w:szCs w:val="16"/>
                <w:lang w:val="es-CO" w:eastAsia="es-CO" w:bidi="ar-SA"/>
              </w:rPr>
              <w:t>(incluye FOSEVI)</w:t>
            </w:r>
          </w:p>
        </w:tc>
      </w:tr>
      <w:tr w:rsidR="00B6656D">
        <w:tblPrEx>
          <w:tblCellMar>
            <w:top w:w="0" w:type="dxa"/>
            <w:bottom w:w="0" w:type="dxa"/>
          </w:tblCellMar>
        </w:tblPrEx>
        <w:trPr>
          <w:trHeight w:val="201"/>
          <w:jc w:val="center"/>
        </w:trPr>
        <w:tc>
          <w:tcPr>
            <w:tcW w:w="226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ind w:left="426"/>
              <w:jc w:val="center"/>
              <w:textAlignment w:val="auto"/>
            </w:pPr>
            <w:r>
              <w:rPr>
                <w:rFonts w:ascii="Work Sans" w:hAnsi="Work Sans" w:cs="Times New Roman"/>
                <w:i/>
                <w:color w:val="000000"/>
                <w:kern w:val="0"/>
                <w:sz w:val="16"/>
                <w:szCs w:val="16"/>
                <w:lang w:val="es-CO" w:eastAsia="es-CO" w:bidi="ar-SA"/>
              </w:rPr>
              <w:t>Categoría 1E</w:t>
            </w:r>
          </w:p>
        </w:tc>
        <w:tc>
          <w:tcPr>
            <w:tcW w:w="2263"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ind w:left="426"/>
              <w:jc w:val="both"/>
              <w:textAlignment w:val="auto"/>
            </w:pPr>
            <w:r>
              <w:rPr>
                <w:rFonts w:ascii="Work Sans" w:hAnsi="Work Sans" w:cs="Times New Roman"/>
                <w:i/>
                <w:color w:val="000000"/>
                <w:kern w:val="0"/>
                <w:sz w:val="16"/>
                <w:szCs w:val="16"/>
                <w:lang w:val="es-CO" w:eastAsia="es-CO" w:bidi="ar-SA"/>
              </w:rPr>
              <w:t>Automóviles, camperos, camionetas, microbuses con ejes de llanta sencilla</w:t>
            </w:r>
          </w:p>
        </w:tc>
        <w:tc>
          <w:tcPr>
            <w:tcW w:w="2263"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ind w:left="426"/>
              <w:jc w:val="center"/>
              <w:textAlignment w:val="auto"/>
            </w:pPr>
            <w:r>
              <w:rPr>
                <w:rFonts w:ascii="Work Sans" w:hAnsi="Work Sans" w:cs="Times New Roman"/>
                <w:i/>
                <w:color w:val="000000"/>
                <w:kern w:val="0"/>
                <w:sz w:val="16"/>
                <w:szCs w:val="16"/>
                <w:lang w:val="es-CO" w:eastAsia="es-CO" w:bidi="ar-SA"/>
              </w:rPr>
              <w:t>$7.600</w:t>
            </w:r>
          </w:p>
        </w:tc>
      </w:tr>
      <w:tr w:rsidR="00B6656D">
        <w:tblPrEx>
          <w:tblCellMar>
            <w:top w:w="0" w:type="dxa"/>
            <w:bottom w:w="0" w:type="dxa"/>
          </w:tblCellMar>
        </w:tblPrEx>
        <w:trPr>
          <w:trHeight w:val="201"/>
          <w:jc w:val="center"/>
        </w:trPr>
        <w:tc>
          <w:tcPr>
            <w:tcW w:w="226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ind w:left="426"/>
              <w:jc w:val="center"/>
              <w:textAlignment w:val="auto"/>
            </w:pPr>
            <w:r>
              <w:rPr>
                <w:rFonts w:ascii="Work Sans" w:hAnsi="Work Sans" w:cs="Times New Roman"/>
                <w:i/>
                <w:color w:val="000000"/>
                <w:kern w:val="0"/>
                <w:sz w:val="16"/>
                <w:szCs w:val="16"/>
                <w:lang w:val="es-CO" w:eastAsia="es-CO" w:bidi="ar-SA"/>
              </w:rPr>
              <w:t>Categoría 2E</w:t>
            </w:r>
          </w:p>
        </w:tc>
        <w:tc>
          <w:tcPr>
            <w:tcW w:w="2263"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ind w:left="426"/>
              <w:jc w:val="both"/>
              <w:textAlignment w:val="auto"/>
            </w:pPr>
            <w:r>
              <w:rPr>
                <w:rFonts w:ascii="Work Sans" w:hAnsi="Work Sans" w:cs="Times New Roman"/>
                <w:i/>
                <w:color w:val="000000"/>
                <w:kern w:val="0"/>
                <w:sz w:val="16"/>
                <w:szCs w:val="16"/>
                <w:lang w:val="es-CO" w:eastAsia="es-CO" w:bidi="ar-SA"/>
              </w:rPr>
              <w:t>Buses, busetas, microbuses con eje trasero de doble llanta</w:t>
            </w:r>
          </w:p>
        </w:tc>
        <w:tc>
          <w:tcPr>
            <w:tcW w:w="2263"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ind w:left="426"/>
              <w:jc w:val="center"/>
              <w:textAlignment w:val="auto"/>
            </w:pPr>
            <w:r>
              <w:rPr>
                <w:rFonts w:ascii="Work Sans" w:hAnsi="Work Sans" w:cs="Times New Roman"/>
                <w:i/>
                <w:color w:val="000000"/>
                <w:kern w:val="0"/>
                <w:sz w:val="16"/>
                <w:szCs w:val="16"/>
                <w:lang w:val="es-CO" w:eastAsia="es-CO" w:bidi="ar-SA"/>
              </w:rPr>
              <w:t>$11.200</w:t>
            </w:r>
          </w:p>
        </w:tc>
      </w:tr>
    </w:tbl>
    <w:p w:rsidR="00B6656D" w:rsidRDefault="00000000">
      <w:pPr>
        <w:widowControl/>
        <w:ind w:left="426"/>
        <w:jc w:val="both"/>
        <w:textAlignment w:val="auto"/>
        <w:rPr>
          <w:rFonts w:ascii="Work Sans" w:hAnsi="Work Sans" w:cs="Times New Roman"/>
          <w:i/>
          <w:color w:val="000000"/>
          <w:kern w:val="0"/>
          <w:sz w:val="16"/>
          <w:szCs w:val="16"/>
          <w:lang w:val="es-CO" w:eastAsia="es-CO" w:bidi="ar-SA"/>
        </w:rPr>
      </w:pPr>
      <w:r>
        <w:rPr>
          <w:rFonts w:ascii="Work Sans" w:hAnsi="Work Sans" w:cs="Times New Roman"/>
          <w:i/>
          <w:color w:val="000000"/>
          <w:kern w:val="0"/>
          <w:sz w:val="16"/>
          <w:szCs w:val="16"/>
          <w:lang w:val="es-CO" w:eastAsia="es-CO" w:bidi="ar-SA"/>
        </w:rPr>
        <w:t> </w:t>
      </w:r>
    </w:p>
    <w:p w:rsidR="00B6656D" w:rsidRDefault="00000000">
      <w:pPr>
        <w:pStyle w:val="pa20"/>
        <w:spacing w:before="0" w:after="0"/>
        <w:ind w:left="426"/>
        <w:jc w:val="both"/>
        <w:rPr>
          <w:rFonts w:ascii="Work Sans" w:hAnsi="Work Sans"/>
          <w:i/>
          <w:color w:val="000000"/>
          <w:sz w:val="16"/>
          <w:szCs w:val="16"/>
        </w:rPr>
      </w:pPr>
      <w:r>
        <w:rPr>
          <w:rFonts w:ascii="Work Sans" w:hAnsi="Work Sans"/>
          <w:i/>
          <w:color w:val="000000"/>
          <w:sz w:val="16"/>
          <w:szCs w:val="16"/>
        </w:rPr>
        <w:t>“(…)</w:t>
      </w:r>
    </w:p>
    <w:p w:rsidR="00B6656D" w:rsidRDefault="00B6656D">
      <w:pPr>
        <w:pStyle w:val="pa20"/>
        <w:spacing w:before="0" w:after="0"/>
        <w:ind w:left="426"/>
        <w:jc w:val="both"/>
        <w:rPr>
          <w:rFonts w:ascii="Work Sans" w:hAnsi="Work Sans"/>
          <w:i/>
          <w:color w:val="000000"/>
          <w:sz w:val="16"/>
          <w:szCs w:val="16"/>
        </w:rPr>
      </w:pPr>
    </w:p>
    <w:p w:rsidR="00B6656D" w:rsidRDefault="00000000">
      <w:pPr>
        <w:widowControl/>
        <w:ind w:left="426" w:right="764"/>
        <w:jc w:val="both"/>
        <w:textAlignment w:val="auto"/>
        <w:rPr>
          <w:rFonts w:ascii="Work Sans" w:hAnsi="Work Sans" w:cs="Times New Roman"/>
          <w:i/>
          <w:color w:val="000000"/>
          <w:kern w:val="0"/>
          <w:sz w:val="18"/>
          <w:szCs w:val="18"/>
          <w:lang w:val="es-CO" w:eastAsia="es-CO" w:bidi="ar-SA"/>
        </w:rPr>
      </w:pPr>
      <w:r>
        <w:rPr>
          <w:rFonts w:ascii="Work Sans" w:hAnsi="Work Sans" w:cs="Times New Roman"/>
          <w:i/>
          <w:color w:val="000000"/>
          <w:kern w:val="0"/>
          <w:sz w:val="18"/>
          <w:szCs w:val="18"/>
          <w:lang w:val="es-CO" w:eastAsia="es-CO" w:bidi="ar-SA"/>
        </w:rPr>
        <w:t>Artículo 2°. Establecer las siguientes tarifas diferenciales en las categorías 1 y 2 de la estación de Peaje Purgatorio:</w:t>
      </w:r>
    </w:p>
    <w:p w:rsidR="00B6656D" w:rsidRDefault="00B6656D">
      <w:pPr>
        <w:widowControl/>
        <w:ind w:left="426" w:right="764"/>
        <w:jc w:val="both"/>
        <w:textAlignment w:val="auto"/>
        <w:rPr>
          <w:rFonts w:ascii="Work Sans" w:hAnsi="Work Sans" w:cs="Times New Roman"/>
          <w:i/>
          <w:color w:val="000000"/>
          <w:kern w:val="0"/>
          <w:sz w:val="18"/>
          <w:szCs w:val="18"/>
          <w:lang w:val="es-CO" w:eastAsia="es-CO" w:bidi="ar-SA"/>
        </w:rPr>
      </w:pPr>
    </w:p>
    <w:p w:rsidR="00B6656D" w:rsidRDefault="00000000">
      <w:pPr>
        <w:widowControl/>
        <w:spacing w:after="160"/>
        <w:ind w:left="426" w:right="764"/>
        <w:textAlignment w:val="auto"/>
      </w:pPr>
      <w:r>
        <w:rPr>
          <w:noProof/>
        </w:rPr>
        <w:drawing>
          <wp:inline distT="0" distB="0" distL="0" distR="0">
            <wp:extent cx="4730026" cy="1235500"/>
            <wp:effectExtent l="0" t="0" r="0" b="0"/>
            <wp:docPr id="2"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730026" cy="1235500"/>
                    </a:xfrm>
                    <a:prstGeom prst="rect">
                      <a:avLst/>
                    </a:prstGeom>
                    <a:noFill/>
                    <a:ln>
                      <a:noFill/>
                      <a:prstDash/>
                    </a:ln>
                  </pic:spPr>
                </pic:pic>
              </a:graphicData>
            </a:graphic>
          </wp:inline>
        </w:drawing>
      </w:r>
    </w:p>
    <w:p w:rsidR="00B6656D" w:rsidRDefault="00000000">
      <w:pPr>
        <w:widowControl/>
        <w:spacing w:after="160"/>
        <w:ind w:left="426" w:right="764"/>
        <w:textAlignment w:val="auto"/>
        <w:rPr>
          <w:rFonts w:ascii="Work Sans" w:hAnsi="Work Sans" w:cs="Calibri"/>
          <w:i/>
          <w:color w:val="000000"/>
          <w:kern w:val="0"/>
          <w:sz w:val="18"/>
          <w:szCs w:val="18"/>
          <w:lang w:val="es-CO" w:eastAsia="es-CO" w:bidi="ar-SA"/>
        </w:rPr>
      </w:pPr>
      <w:r>
        <w:rPr>
          <w:rFonts w:ascii="Work Sans" w:hAnsi="Work Sans" w:cs="Calibri"/>
          <w:i/>
          <w:color w:val="000000"/>
          <w:kern w:val="0"/>
          <w:sz w:val="18"/>
          <w:szCs w:val="18"/>
          <w:lang w:val="es-CO" w:eastAsia="es-CO" w:bidi="ar-SA"/>
        </w:rPr>
        <w:t>(…)”</w:t>
      </w:r>
    </w:p>
    <w:p w:rsidR="00B6656D" w:rsidRDefault="00000000">
      <w:pPr>
        <w:pStyle w:val="pa6"/>
        <w:spacing w:before="0" w:after="0"/>
        <w:ind w:left="426" w:right="764"/>
        <w:jc w:val="both"/>
        <w:rPr>
          <w:rFonts w:ascii="Work Sans" w:hAnsi="Work Sans"/>
          <w:i/>
          <w:color w:val="000000"/>
          <w:sz w:val="18"/>
          <w:szCs w:val="18"/>
        </w:rPr>
      </w:pPr>
      <w:r>
        <w:rPr>
          <w:rFonts w:ascii="Work Sans" w:hAnsi="Work Sans"/>
          <w:i/>
          <w:color w:val="000000"/>
          <w:sz w:val="18"/>
          <w:szCs w:val="18"/>
        </w:rPr>
        <w:t xml:space="preserve">Artículo 3°. Establecer las siguientes tarifas diferenciales en las categorías 1, 2, 3 y 4 en la estación de peaje Purgatorio, para los vehículos particulares de los habitantes de Tierralta, Valencia y las veredas rurales de Montería, ubicadas sobre el corredor del Proyecto hacia el costado occidental de la Estación de Peaje </w:t>
      </w:r>
      <w:r>
        <w:rPr>
          <w:rFonts w:ascii="Work Sans" w:hAnsi="Work Sans"/>
          <w:i/>
          <w:color w:val="000000"/>
          <w:sz w:val="18"/>
          <w:szCs w:val="18"/>
        </w:rPr>
        <w:lastRenderedPageBreak/>
        <w:t>Purgatorio, a saber: Tres Palmas, entrada Nueva Ola, Tres Piedras, Parcelas de Costa de Oro, entrada a Maracayo y Betancí:</w:t>
      </w:r>
    </w:p>
    <w:p w:rsidR="00B6656D" w:rsidRDefault="00000000">
      <w:pPr>
        <w:widowControl/>
        <w:spacing w:after="160" w:line="235" w:lineRule="atLeast"/>
        <w:ind w:left="426" w:right="764"/>
        <w:textAlignment w:val="auto"/>
      </w:pPr>
      <w:r>
        <w:rPr>
          <w:rFonts w:ascii="Calibri" w:hAnsi="Calibri" w:cs="Calibri"/>
          <w:i/>
          <w:color w:val="000000"/>
          <w:kern w:val="0"/>
          <w:sz w:val="22"/>
          <w:szCs w:val="22"/>
          <w:lang w:val="es-CO" w:eastAsia="es-CO" w:bidi="ar-SA"/>
        </w:rPr>
        <w:t> </w:t>
      </w:r>
    </w:p>
    <w:tbl>
      <w:tblPr>
        <w:tblW w:w="6798" w:type="dxa"/>
        <w:jc w:val="center"/>
        <w:tblCellMar>
          <w:left w:w="10" w:type="dxa"/>
          <w:right w:w="10" w:type="dxa"/>
        </w:tblCellMar>
        <w:tblLook w:val="04A0" w:firstRow="1" w:lastRow="0" w:firstColumn="1" w:lastColumn="0" w:noHBand="0" w:noVBand="1"/>
      </w:tblPr>
      <w:tblGrid>
        <w:gridCol w:w="1699"/>
        <w:gridCol w:w="1699"/>
        <w:gridCol w:w="1699"/>
        <w:gridCol w:w="1701"/>
      </w:tblGrid>
      <w:tr w:rsidR="00B6656D">
        <w:tblPrEx>
          <w:tblCellMar>
            <w:top w:w="0" w:type="dxa"/>
            <w:bottom w:w="0" w:type="dxa"/>
          </w:tblCellMar>
        </w:tblPrEx>
        <w:trPr>
          <w:trHeight w:val="106"/>
          <w:jc w:val="center"/>
        </w:trPr>
        <w:tc>
          <w:tcPr>
            <w:tcW w:w="679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Verdana" w:hAnsi="Verdana" w:cs="Times New Roman"/>
                <w:b/>
                <w:bCs/>
                <w:color w:val="000000"/>
                <w:kern w:val="0"/>
                <w:sz w:val="16"/>
                <w:szCs w:val="16"/>
                <w:lang w:val="es-CO" w:eastAsia="es-CO" w:bidi="ar-SA"/>
              </w:rPr>
              <w:t>ESTACIÓN DE PEAJE PURGATORIO</w:t>
            </w:r>
          </w:p>
        </w:tc>
      </w:tr>
      <w:tr w:rsidR="00B6656D">
        <w:tblPrEx>
          <w:tblCellMar>
            <w:top w:w="0" w:type="dxa"/>
            <w:bottom w:w="0" w:type="dxa"/>
          </w:tblCellMar>
        </w:tblPrEx>
        <w:trPr>
          <w:trHeight w:val="202"/>
          <w:jc w:val="center"/>
        </w:trPr>
        <w:tc>
          <w:tcPr>
            <w:tcW w:w="169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Verdana" w:hAnsi="Verdana" w:cs="Times New Roman"/>
                <w:b/>
                <w:bCs/>
                <w:color w:val="000000"/>
                <w:kern w:val="0"/>
                <w:sz w:val="16"/>
                <w:szCs w:val="16"/>
                <w:lang w:val="es-CO" w:eastAsia="es-CO" w:bidi="ar-SA"/>
              </w:rPr>
              <w:t>CATEGORÍAS</w:t>
            </w:r>
          </w:p>
        </w:tc>
        <w:tc>
          <w:tcPr>
            <w:tcW w:w="1699"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Verdana" w:hAnsi="Verdana" w:cs="Times New Roman"/>
                <w:b/>
                <w:bCs/>
                <w:color w:val="000000"/>
                <w:kern w:val="0"/>
                <w:sz w:val="16"/>
                <w:szCs w:val="16"/>
                <w:lang w:val="es-CO" w:eastAsia="es-CO" w:bidi="ar-SA"/>
              </w:rPr>
              <w:t>DESCRIPCIÓN</w:t>
            </w:r>
          </w:p>
        </w:tc>
        <w:tc>
          <w:tcPr>
            <w:tcW w:w="1699"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Verdana" w:hAnsi="Verdana" w:cs="Times New Roman"/>
                <w:b/>
                <w:bCs/>
                <w:color w:val="000000"/>
                <w:kern w:val="0"/>
                <w:sz w:val="16"/>
                <w:szCs w:val="16"/>
                <w:lang w:val="es-CO" w:eastAsia="es-CO" w:bidi="ar-SA"/>
              </w:rPr>
              <w:t>TARIFA 2019 (incluye FOSEVI)</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Verdana" w:hAnsi="Verdana" w:cs="Times New Roman"/>
                <w:b/>
                <w:bCs/>
                <w:color w:val="000000"/>
                <w:kern w:val="0"/>
                <w:sz w:val="16"/>
                <w:szCs w:val="16"/>
                <w:lang w:val="es-CO" w:eastAsia="es-CO" w:bidi="ar-SA"/>
              </w:rPr>
              <w:t>TOTAL CUPOS OTORGADOS</w:t>
            </w:r>
          </w:p>
        </w:tc>
      </w:tr>
      <w:tr w:rsidR="00B6656D">
        <w:tblPrEx>
          <w:tblCellMar>
            <w:top w:w="0" w:type="dxa"/>
            <w:bottom w:w="0" w:type="dxa"/>
          </w:tblCellMar>
        </w:tblPrEx>
        <w:trPr>
          <w:trHeight w:val="201"/>
          <w:jc w:val="center"/>
        </w:trPr>
        <w:tc>
          <w:tcPr>
            <w:tcW w:w="169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Verdana" w:hAnsi="Verdana" w:cs="Times New Roman"/>
                <w:color w:val="000000"/>
                <w:kern w:val="0"/>
                <w:sz w:val="16"/>
                <w:szCs w:val="16"/>
                <w:lang w:val="es-CO" w:eastAsia="es-CO" w:bidi="ar-SA"/>
              </w:rPr>
              <w:t>Categoría 1E</w:t>
            </w:r>
          </w:p>
        </w:tc>
        <w:tc>
          <w:tcPr>
            <w:tcW w:w="1699"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Verdana" w:hAnsi="Verdana" w:cs="Times New Roman"/>
                <w:color w:val="000000"/>
                <w:kern w:val="0"/>
                <w:sz w:val="16"/>
                <w:szCs w:val="16"/>
                <w:lang w:val="es-CO" w:eastAsia="es-CO" w:bidi="ar-SA"/>
              </w:rPr>
              <w:t>Automóviles, camperos, camionetas, microbuses con ejes de llanta sencilla</w:t>
            </w:r>
          </w:p>
        </w:tc>
        <w:tc>
          <w:tcPr>
            <w:tcW w:w="1699"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Verdana" w:hAnsi="Verdana" w:cs="Times New Roman"/>
                <w:color w:val="000000"/>
                <w:kern w:val="0"/>
                <w:sz w:val="16"/>
                <w:szCs w:val="16"/>
                <w:lang w:val="es-CO" w:eastAsia="es-CO" w:bidi="ar-SA"/>
              </w:rPr>
              <w:t>$6.400</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Verdana" w:hAnsi="Verdana" w:cs="Times New Roman"/>
                <w:color w:val="000000"/>
                <w:kern w:val="0"/>
                <w:sz w:val="16"/>
                <w:szCs w:val="16"/>
                <w:lang w:val="es-CO" w:eastAsia="es-CO" w:bidi="ar-SA"/>
              </w:rPr>
              <w:t>330</w:t>
            </w:r>
          </w:p>
        </w:tc>
      </w:tr>
      <w:tr w:rsidR="00B6656D">
        <w:tblPrEx>
          <w:tblCellMar>
            <w:top w:w="0" w:type="dxa"/>
            <w:bottom w:w="0" w:type="dxa"/>
          </w:tblCellMar>
        </w:tblPrEx>
        <w:trPr>
          <w:trHeight w:val="201"/>
          <w:jc w:val="center"/>
        </w:trPr>
        <w:tc>
          <w:tcPr>
            <w:tcW w:w="169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Verdana" w:hAnsi="Verdana" w:cs="Times New Roman"/>
                <w:color w:val="000000"/>
                <w:kern w:val="0"/>
                <w:sz w:val="16"/>
                <w:szCs w:val="16"/>
                <w:lang w:val="es-CO" w:eastAsia="es-CO" w:bidi="ar-SA"/>
              </w:rPr>
              <w:t>Categoría 2E</w:t>
            </w:r>
          </w:p>
        </w:tc>
        <w:tc>
          <w:tcPr>
            <w:tcW w:w="1699"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Verdana" w:hAnsi="Verdana" w:cs="Times New Roman"/>
                <w:color w:val="000000"/>
                <w:kern w:val="0"/>
                <w:sz w:val="16"/>
                <w:szCs w:val="16"/>
                <w:lang w:val="es-CO" w:eastAsia="es-CO" w:bidi="ar-SA"/>
              </w:rPr>
              <w:t>Buses, busetas, microbuses con eje trasero de doble llanta</w:t>
            </w:r>
          </w:p>
        </w:tc>
        <w:tc>
          <w:tcPr>
            <w:tcW w:w="1699"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Verdana" w:hAnsi="Verdana" w:cs="Times New Roman"/>
                <w:color w:val="000000"/>
                <w:kern w:val="0"/>
                <w:sz w:val="16"/>
                <w:szCs w:val="16"/>
                <w:lang w:val="es-CO" w:eastAsia="es-CO" w:bidi="ar-SA"/>
              </w:rPr>
              <w:t>$9.400</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Verdana" w:hAnsi="Verdana" w:cs="Times New Roman"/>
                <w:color w:val="000000"/>
                <w:kern w:val="0"/>
                <w:sz w:val="16"/>
                <w:szCs w:val="16"/>
                <w:lang w:val="es-CO" w:eastAsia="es-CO" w:bidi="ar-SA"/>
              </w:rPr>
              <w:t>100</w:t>
            </w:r>
          </w:p>
        </w:tc>
      </w:tr>
      <w:tr w:rsidR="00B6656D">
        <w:tblPrEx>
          <w:tblCellMar>
            <w:top w:w="0" w:type="dxa"/>
            <w:bottom w:w="0" w:type="dxa"/>
          </w:tblCellMar>
        </w:tblPrEx>
        <w:trPr>
          <w:trHeight w:val="105"/>
          <w:jc w:val="center"/>
        </w:trPr>
        <w:tc>
          <w:tcPr>
            <w:tcW w:w="169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Verdana" w:hAnsi="Verdana" w:cs="Times New Roman"/>
                <w:color w:val="000000"/>
                <w:kern w:val="0"/>
                <w:sz w:val="16"/>
                <w:szCs w:val="16"/>
                <w:lang w:val="es-CO" w:eastAsia="es-CO" w:bidi="ar-SA"/>
              </w:rPr>
              <w:t>Categoría 3E</w:t>
            </w:r>
          </w:p>
        </w:tc>
        <w:tc>
          <w:tcPr>
            <w:tcW w:w="1699"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Verdana" w:hAnsi="Verdana" w:cs="Times New Roman"/>
                <w:color w:val="000000"/>
                <w:kern w:val="0"/>
                <w:sz w:val="16"/>
                <w:szCs w:val="16"/>
                <w:lang w:val="es-CO" w:eastAsia="es-CO" w:bidi="ar-SA"/>
              </w:rPr>
              <w:t>Camiones pequeños de dos ejes</w:t>
            </w:r>
          </w:p>
        </w:tc>
        <w:tc>
          <w:tcPr>
            <w:tcW w:w="1699"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Verdana" w:hAnsi="Verdana" w:cs="Times New Roman"/>
                <w:color w:val="000000"/>
                <w:kern w:val="0"/>
                <w:sz w:val="16"/>
                <w:szCs w:val="16"/>
                <w:lang w:val="es-CO" w:eastAsia="es-CO" w:bidi="ar-SA"/>
              </w:rPr>
              <w:t>$9.400</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Verdana" w:hAnsi="Verdana" w:cs="Times New Roman"/>
                <w:color w:val="000000"/>
                <w:kern w:val="0"/>
                <w:sz w:val="16"/>
                <w:szCs w:val="16"/>
                <w:lang w:val="es-CO" w:eastAsia="es-CO" w:bidi="ar-SA"/>
              </w:rPr>
              <w:t>10</w:t>
            </w:r>
          </w:p>
        </w:tc>
      </w:tr>
      <w:tr w:rsidR="00B6656D">
        <w:tblPrEx>
          <w:tblCellMar>
            <w:top w:w="0" w:type="dxa"/>
            <w:bottom w:w="0" w:type="dxa"/>
          </w:tblCellMar>
        </w:tblPrEx>
        <w:trPr>
          <w:trHeight w:val="105"/>
          <w:jc w:val="center"/>
        </w:trPr>
        <w:tc>
          <w:tcPr>
            <w:tcW w:w="169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Verdana" w:hAnsi="Verdana" w:cs="Times New Roman"/>
                <w:color w:val="000000"/>
                <w:kern w:val="0"/>
                <w:sz w:val="16"/>
                <w:szCs w:val="16"/>
                <w:lang w:val="es-CO" w:eastAsia="es-CO" w:bidi="ar-SA"/>
              </w:rPr>
              <w:t>Categoría 4E</w:t>
            </w:r>
          </w:p>
        </w:tc>
        <w:tc>
          <w:tcPr>
            <w:tcW w:w="1699"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Verdana" w:hAnsi="Verdana" w:cs="Times New Roman"/>
                <w:color w:val="000000"/>
                <w:kern w:val="0"/>
                <w:sz w:val="16"/>
                <w:szCs w:val="16"/>
                <w:lang w:val="es-CO" w:eastAsia="es-CO" w:bidi="ar-SA"/>
              </w:rPr>
              <w:t>Camiones grandes de dos ejes</w:t>
            </w:r>
          </w:p>
        </w:tc>
        <w:tc>
          <w:tcPr>
            <w:tcW w:w="1699"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Verdana" w:hAnsi="Verdana" w:cs="Times New Roman"/>
                <w:color w:val="000000"/>
                <w:kern w:val="0"/>
                <w:sz w:val="16"/>
                <w:szCs w:val="16"/>
                <w:lang w:val="es-CO" w:eastAsia="es-CO" w:bidi="ar-SA"/>
              </w:rPr>
              <w:t>$9.400</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Verdana" w:hAnsi="Verdana" w:cs="Times New Roman"/>
                <w:color w:val="000000"/>
                <w:kern w:val="0"/>
                <w:sz w:val="16"/>
                <w:szCs w:val="16"/>
                <w:lang w:val="es-CO" w:eastAsia="es-CO" w:bidi="ar-SA"/>
              </w:rPr>
              <w:t>10</w:t>
            </w:r>
          </w:p>
        </w:tc>
      </w:tr>
    </w:tbl>
    <w:p w:rsidR="00B6656D" w:rsidRDefault="00000000">
      <w:pPr>
        <w:widowControl/>
        <w:spacing w:after="160"/>
        <w:textAlignment w:val="auto"/>
      </w:pPr>
      <w:r>
        <w:rPr>
          <w:rFonts w:ascii="Verdana" w:hAnsi="Verdana" w:cs="Calibri"/>
          <w:color w:val="000000"/>
          <w:kern w:val="0"/>
          <w:sz w:val="22"/>
          <w:szCs w:val="22"/>
          <w:lang w:val="es-CO" w:eastAsia="es-CO" w:bidi="ar-SA"/>
        </w:rPr>
        <w:t> </w:t>
      </w:r>
    </w:p>
    <w:p w:rsidR="00B6656D" w:rsidRDefault="00000000">
      <w:pPr>
        <w:widowControl/>
        <w:ind w:left="426" w:right="481"/>
        <w:jc w:val="both"/>
        <w:textAlignment w:val="auto"/>
        <w:rPr>
          <w:rFonts w:ascii="Work Sans" w:hAnsi="Work Sans" w:cs="Times New Roman"/>
          <w:i/>
          <w:color w:val="000000"/>
          <w:kern w:val="0"/>
          <w:sz w:val="18"/>
          <w:szCs w:val="18"/>
          <w:lang w:val="es-CO" w:eastAsia="es-CO" w:bidi="ar-SA"/>
        </w:rPr>
      </w:pPr>
      <w:r>
        <w:rPr>
          <w:rFonts w:ascii="Work Sans" w:hAnsi="Work Sans" w:cs="Times New Roman"/>
          <w:i/>
          <w:color w:val="000000"/>
          <w:kern w:val="0"/>
          <w:sz w:val="18"/>
          <w:szCs w:val="18"/>
          <w:lang w:val="es-CO" w:eastAsia="es-CO" w:bidi="ar-SA"/>
        </w:rPr>
        <w:t>(…)”</w:t>
      </w:r>
    </w:p>
    <w:p w:rsidR="00B6656D" w:rsidRDefault="00B6656D">
      <w:pPr>
        <w:widowControl/>
        <w:ind w:left="426" w:right="481"/>
        <w:jc w:val="both"/>
        <w:textAlignment w:val="auto"/>
        <w:rPr>
          <w:rFonts w:ascii="Work Sans" w:hAnsi="Work Sans" w:cs="Times New Roman"/>
          <w:i/>
          <w:color w:val="000000"/>
          <w:kern w:val="0"/>
          <w:sz w:val="18"/>
          <w:szCs w:val="18"/>
          <w:lang w:val="es-CO" w:eastAsia="es-CO" w:bidi="ar-SA"/>
        </w:rPr>
      </w:pPr>
    </w:p>
    <w:p w:rsidR="00B6656D" w:rsidRDefault="00000000">
      <w:pPr>
        <w:widowControl/>
        <w:ind w:left="426" w:right="481"/>
        <w:jc w:val="both"/>
        <w:textAlignment w:val="auto"/>
      </w:pPr>
      <w:r>
        <w:rPr>
          <w:rFonts w:ascii="Work Sans" w:hAnsi="Work Sans" w:cs="Times New Roman"/>
          <w:i/>
          <w:color w:val="000000"/>
          <w:kern w:val="0"/>
          <w:sz w:val="18"/>
          <w:szCs w:val="18"/>
          <w:lang w:val="es-CO" w:eastAsia="es-CO" w:bidi="ar-SA"/>
        </w:rPr>
        <w:t>Artículo 4</w:t>
      </w:r>
      <w:r>
        <w:rPr>
          <w:rFonts w:ascii="Work Sans" w:hAnsi="Work Sans" w:cs="Times New Roman"/>
          <w:b/>
          <w:bCs/>
          <w:i/>
          <w:color w:val="000000"/>
          <w:kern w:val="0"/>
          <w:sz w:val="18"/>
          <w:szCs w:val="18"/>
          <w:lang w:val="es-CO" w:eastAsia="es-CO" w:bidi="ar-SA"/>
        </w:rPr>
        <w:t>°</w:t>
      </w:r>
      <w:r>
        <w:rPr>
          <w:rFonts w:ascii="Work Sans" w:hAnsi="Work Sans" w:cs="Times New Roman"/>
          <w:i/>
          <w:color w:val="000000"/>
          <w:kern w:val="0"/>
          <w:sz w:val="18"/>
          <w:szCs w:val="18"/>
          <w:lang w:val="es-CO" w:eastAsia="es-CO" w:bidi="ar-SA"/>
        </w:rPr>
        <w:t>. Establecer la siguiente tarifa diferencial en la categoría 1 de la estación de peaje Purgatorio, para los vehículos particulares de los habitantes del K12 (Las Pulgas, Loma Grande, Las Chispas I, Las Chispas II (La Gloria), Pueblo Verde, Palmitas, Los corrales), del K15 (El Porvenir, Casa Blanca, Guateque, San Anterito, Hoyo Oscuro, Mochila, Santa Fé, Santa Isabel, San Isidro, La Victoria, Nueva Lucía, Buenos Aires, Patio Bonito) y de Carrizal:</w:t>
      </w:r>
    </w:p>
    <w:p w:rsidR="00B6656D" w:rsidRDefault="00000000">
      <w:pPr>
        <w:widowControl/>
        <w:spacing w:after="160" w:line="235" w:lineRule="atLeast"/>
        <w:ind w:left="426" w:right="481"/>
        <w:textAlignment w:val="auto"/>
        <w:rPr>
          <w:rFonts w:ascii="Work Sans" w:hAnsi="Work Sans" w:cs="Times New Roman"/>
          <w:i/>
          <w:color w:val="000000"/>
          <w:kern w:val="0"/>
          <w:sz w:val="18"/>
          <w:szCs w:val="18"/>
          <w:lang w:val="es-CO" w:eastAsia="es-CO" w:bidi="ar-SA"/>
        </w:rPr>
      </w:pPr>
      <w:r>
        <w:rPr>
          <w:rFonts w:ascii="Work Sans" w:hAnsi="Work Sans" w:cs="Times New Roman"/>
          <w:i/>
          <w:color w:val="000000"/>
          <w:kern w:val="0"/>
          <w:sz w:val="18"/>
          <w:szCs w:val="18"/>
          <w:lang w:val="es-CO" w:eastAsia="es-CO" w:bidi="ar-SA"/>
        </w:rPr>
        <w:t> </w:t>
      </w:r>
    </w:p>
    <w:tbl>
      <w:tblPr>
        <w:tblW w:w="6798" w:type="dxa"/>
        <w:jc w:val="center"/>
        <w:tblCellMar>
          <w:left w:w="10" w:type="dxa"/>
          <w:right w:w="10" w:type="dxa"/>
        </w:tblCellMar>
        <w:tblLook w:val="04A0" w:firstRow="1" w:lastRow="0" w:firstColumn="1" w:lastColumn="0" w:noHBand="0" w:noVBand="1"/>
      </w:tblPr>
      <w:tblGrid>
        <w:gridCol w:w="1699"/>
        <w:gridCol w:w="1699"/>
        <w:gridCol w:w="1699"/>
        <w:gridCol w:w="1701"/>
      </w:tblGrid>
      <w:tr w:rsidR="00B6656D">
        <w:tblPrEx>
          <w:tblCellMar>
            <w:top w:w="0" w:type="dxa"/>
            <w:bottom w:w="0" w:type="dxa"/>
          </w:tblCellMar>
        </w:tblPrEx>
        <w:trPr>
          <w:trHeight w:val="106"/>
          <w:jc w:val="center"/>
        </w:trPr>
        <w:tc>
          <w:tcPr>
            <w:tcW w:w="679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Work Sans" w:hAnsi="Work Sans" w:cs="Times New Roman"/>
                <w:b/>
                <w:bCs/>
                <w:color w:val="000000"/>
                <w:kern w:val="0"/>
                <w:sz w:val="18"/>
                <w:szCs w:val="18"/>
                <w:lang w:val="es-CO" w:eastAsia="es-CO" w:bidi="ar-SA"/>
              </w:rPr>
              <w:t>ESTACIÓN DE PEAJE PURGATORIO</w:t>
            </w:r>
          </w:p>
        </w:tc>
      </w:tr>
      <w:tr w:rsidR="00B6656D">
        <w:tblPrEx>
          <w:tblCellMar>
            <w:top w:w="0" w:type="dxa"/>
            <w:bottom w:w="0" w:type="dxa"/>
          </w:tblCellMar>
        </w:tblPrEx>
        <w:trPr>
          <w:trHeight w:val="202"/>
          <w:jc w:val="center"/>
        </w:trPr>
        <w:tc>
          <w:tcPr>
            <w:tcW w:w="169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Work Sans" w:hAnsi="Work Sans" w:cs="Times New Roman"/>
                <w:b/>
                <w:bCs/>
                <w:color w:val="000000"/>
                <w:kern w:val="0"/>
                <w:sz w:val="18"/>
                <w:szCs w:val="18"/>
                <w:lang w:val="es-CO" w:eastAsia="es-CO" w:bidi="ar-SA"/>
              </w:rPr>
              <w:t>CATEGORÍAS</w:t>
            </w:r>
          </w:p>
        </w:tc>
        <w:tc>
          <w:tcPr>
            <w:tcW w:w="1699"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Work Sans" w:hAnsi="Work Sans" w:cs="Times New Roman"/>
                <w:b/>
                <w:bCs/>
                <w:color w:val="000000"/>
                <w:kern w:val="0"/>
                <w:sz w:val="18"/>
                <w:szCs w:val="18"/>
                <w:lang w:val="es-CO" w:eastAsia="es-CO" w:bidi="ar-SA"/>
              </w:rPr>
              <w:t>DESCRIPCIÓN</w:t>
            </w:r>
          </w:p>
        </w:tc>
        <w:tc>
          <w:tcPr>
            <w:tcW w:w="1699"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Work Sans" w:hAnsi="Work Sans" w:cs="Times New Roman"/>
                <w:b/>
                <w:bCs/>
                <w:color w:val="000000"/>
                <w:kern w:val="0"/>
                <w:sz w:val="18"/>
                <w:szCs w:val="18"/>
                <w:lang w:val="es-CO" w:eastAsia="es-CO" w:bidi="ar-SA"/>
              </w:rPr>
              <w:t>TARIFA 2019 (incluye FOSEVI)</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Work Sans" w:hAnsi="Work Sans" w:cs="Times New Roman"/>
                <w:b/>
                <w:bCs/>
                <w:color w:val="000000"/>
                <w:kern w:val="0"/>
                <w:sz w:val="18"/>
                <w:szCs w:val="18"/>
                <w:lang w:val="es-CO" w:eastAsia="es-CO" w:bidi="ar-SA"/>
              </w:rPr>
              <w:t>TOTAL CUPOS OTORGADOS</w:t>
            </w:r>
          </w:p>
        </w:tc>
      </w:tr>
      <w:tr w:rsidR="00B6656D">
        <w:tblPrEx>
          <w:tblCellMar>
            <w:top w:w="0" w:type="dxa"/>
            <w:bottom w:w="0" w:type="dxa"/>
          </w:tblCellMar>
        </w:tblPrEx>
        <w:trPr>
          <w:trHeight w:val="201"/>
          <w:jc w:val="center"/>
        </w:trPr>
        <w:tc>
          <w:tcPr>
            <w:tcW w:w="169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Work Sans" w:hAnsi="Work Sans" w:cs="Times New Roman"/>
                <w:color w:val="000000"/>
                <w:kern w:val="0"/>
                <w:sz w:val="18"/>
                <w:szCs w:val="18"/>
                <w:lang w:val="es-CO" w:eastAsia="es-CO" w:bidi="ar-SA"/>
              </w:rPr>
              <w:t>Categoría 1E</w:t>
            </w:r>
          </w:p>
        </w:tc>
        <w:tc>
          <w:tcPr>
            <w:tcW w:w="1699"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both"/>
              <w:textAlignment w:val="auto"/>
            </w:pPr>
            <w:r>
              <w:rPr>
                <w:rFonts w:ascii="Work Sans" w:hAnsi="Work Sans" w:cs="Times New Roman"/>
                <w:color w:val="000000"/>
                <w:kern w:val="0"/>
                <w:sz w:val="18"/>
                <w:szCs w:val="18"/>
                <w:lang w:val="es-CO" w:eastAsia="es-CO" w:bidi="ar-SA"/>
              </w:rPr>
              <w:t>Automóviles, camperos, camionetas, microbuses con ejes de llanta sencilla</w:t>
            </w:r>
          </w:p>
        </w:tc>
        <w:tc>
          <w:tcPr>
            <w:tcW w:w="1699"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Work Sans" w:hAnsi="Work Sans" w:cs="Times New Roman"/>
                <w:color w:val="000000"/>
                <w:kern w:val="0"/>
                <w:sz w:val="18"/>
                <w:szCs w:val="18"/>
                <w:lang w:val="es-CO" w:eastAsia="es-CO" w:bidi="ar-SA"/>
              </w:rPr>
              <w:t>$200</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tcPr>
          <w:p w:rsidR="00B6656D" w:rsidRDefault="00000000">
            <w:pPr>
              <w:widowControl/>
              <w:jc w:val="center"/>
              <w:textAlignment w:val="auto"/>
            </w:pPr>
            <w:r>
              <w:rPr>
                <w:rFonts w:ascii="Work Sans" w:hAnsi="Work Sans" w:cs="Times New Roman"/>
                <w:color w:val="000000"/>
                <w:kern w:val="0"/>
                <w:sz w:val="18"/>
                <w:szCs w:val="18"/>
                <w:lang w:val="es-CO" w:eastAsia="es-CO" w:bidi="ar-SA"/>
              </w:rPr>
              <w:t>120</w:t>
            </w:r>
          </w:p>
        </w:tc>
      </w:tr>
    </w:tbl>
    <w:p w:rsidR="00B6656D" w:rsidRDefault="00B6656D">
      <w:pPr>
        <w:widowControl/>
        <w:spacing w:after="160"/>
        <w:jc w:val="both"/>
        <w:textAlignment w:val="auto"/>
        <w:rPr>
          <w:rFonts w:ascii="Work Sans" w:eastAsia="Caladea" w:hAnsi="Work Sans" w:cs="Caladea"/>
          <w:kern w:val="0"/>
          <w:sz w:val="18"/>
          <w:szCs w:val="18"/>
          <w:lang w:eastAsia="en-US" w:bidi="ar-SA"/>
        </w:rPr>
      </w:pPr>
    </w:p>
    <w:p w:rsidR="00B6656D" w:rsidRDefault="00000000">
      <w:pPr>
        <w:widowControl/>
        <w:spacing w:after="160"/>
        <w:jc w:val="both"/>
        <w:textAlignment w:val="auto"/>
      </w:pPr>
      <w:r>
        <w:rPr>
          <w:rFonts w:ascii="Work Sans" w:eastAsia="Caladea" w:hAnsi="Work Sans" w:cs="Caladea"/>
          <w:kern w:val="0"/>
          <w:sz w:val="20"/>
          <w:szCs w:val="20"/>
          <w:lang w:eastAsia="en-US" w:bidi="ar-SA"/>
        </w:rPr>
        <w:t xml:space="preserve">Que mediante el artículo 7 de la Resolución </w:t>
      </w:r>
      <w:r>
        <w:rPr>
          <w:rFonts w:ascii="Work Sans" w:hAnsi="Work Sans"/>
          <w:color w:val="000000"/>
          <w:sz w:val="20"/>
          <w:szCs w:val="20"/>
        </w:rPr>
        <w:t>0000410 de febrero 27 de 2020, se señaló que las tarifas diferenciales establecidas en la citada resolución para el servicio público de </w:t>
      </w:r>
      <w:r>
        <w:rPr>
          <w:rStyle w:val="grame"/>
          <w:rFonts w:ascii="Work Sans" w:hAnsi="Work Sans"/>
          <w:color w:val="000000"/>
          <w:sz w:val="20"/>
          <w:szCs w:val="20"/>
        </w:rPr>
        <w:t>transporte,</w:t>
      </w:r>
      <w:r>
        <w:rPr>
          <w:rFonts w:ascii="Work Sans" w:hAnsi="Work Sans"/>
          <w:color w:val="000000"/>
          <w:sz w:val="20"/>
          <w:szCs w:val="20"/>
        </w:rPr>
        <w:t> tendrán una vigencia hasta el treinta y uno (31) de diciembre de 2022, según la suficiencia de los mecanismos de compensación del contrato de concesión.</w:t>
      </w:r>
    </w:p>
    <w:p w:rsidR="00B6656D" w:rsidRDefault="00000000">
      <w:pPr>
        <w:widowControl/>
        <w:spacing w:after="160"/>
        <w:jc w:val="both"/>
        <w:textAlignment w:val="auto"/>
      </w:pPr>
      <w:r>
        <w:rPr>
          <w:rFonts w:ascii="Work Sans" w:eastAsia="Caladea" w:hAnsi="Work Sans" w:cs="Caladea"/>
          <w:kern w:val="0"/>
          <w:sz w:val="20"/>
          <w:szCs w:val="20"/>
          <w:lang w:eastAsia="en-US" w:bidi="ar-SA"/>
        </w:rPr>
        <w:t>Que</w:t>
      </w:r>
      <w:r>
        <w:rPr>
          <w:rFonts w:ascii="Work Sans" w:eastAsia="Caladea" w:hAnsi="Work Sans" w:cs="Caladea"/>
          <w:spacing w:val="-11"/>
          <w:kern w:val="0"/>
          <w:sz w:val="20"/>
          <w:szCs w:val="20"/>
          <w:lang w:eastAsia="en-US" w:bidi="ar-SA"/>
        </w:rPr>
        <w:t xml:space="preserve"> mediante oficio con número de radicado 20225000421751 de diciembre 12 de 2022, </w:t>
      </w:r>
      <w:r>
        <w:rPr>
          <w:rFonts w:ascii="Work Sans" w:eastAsia="Caladea" w:hAnsi="Work Sans" w:cs="Caladea"/>
          <w:kern w:val="0"/>
          <w:sz w:val="20"/>
          <w:szCs w:val="20"/>
          <w:lang w:eastAsia="en-US" w:bidi="ar-SA"/>
        </w:rPr>
        <w:t>la</w:t>
      </w:r>
      <w:r>
        <w:rPr>
          <w:rFonts w:ascii="Work Sans" w:eastAsia="Caladea" w:hAnsi="Work Sans" w:cs="Caladea"/>
          <w:spacing w:val="-11"/>
          <w:kern w:val="0"/>
          <w:sz w:val="20"/>
          <w:szCs w:val="20"/>
          <w:lang w:eastAsia="en-US" w:bidi="ar-SA"/>
        </w:rPr>
        <w:t xml:space="preserve"> </w:t>
      </w:r>
      <w:r>
        <w:rPr>
          <w:rFonts w:ascii="Work Sans" w:eastAsia="Caladea" w:hAnsi="Work Sans" w:cs="Caladea"/>
          <w:kern w:val="0"/>
          <w:sz w:val="20"/>
          <w:szCs w:val="20"/>
          <w:lang w:eastAsia="en-US" w:bidi="ar-SA"/>
        </w:rPr>
        <w:t>Agencia</w:t>
      </w:r>
      <w:r>
        <w:rPr>
          <w:rFonts w:ascii="Work Sans" w:eastAsia="Caladea" w:hAnsi="Work Sans" w:cs="Caladea"/>
          <w:spacing w:val="-13"/>
          <w:kern w:val="0"/>
          <w:sz w:val="20"/>
          <w:szCs w:val="20"/>
          <w:lang w:eastAsia="en-US" w:bidi="ar-SA"/>
        </w:rPr>
        <w:t xml:space="preserve"> </w:t>
      </w:r>
      <w:r>
        <w:rPr>
          <w:rFonts w:ascii="Work Sans" w:eastAsia="Caladea" w:hAnsi="Work Sans" w:cs="Caladea"/>
          <w:kern w:val="0"/>
          <w:sz w:val="20"/>
          <w:szCs w:val="20"/>
          <w:lang w:eastAsia="en-US" w:bidi="ar-SA"/>
        </w:rPr>
        <w:t>Nacional</w:t>
      </w:r>
      <w:r>
        <w:rPr>
          <w:rFonts w:ascii="Work Sans" w:eastAsia="Caladea" w:hAnsi="Work Sans" w:cs="Caladea"/>
          <w:spacing w:val="-11"/>
          <w:kern w:val="0"/>
          <w:sz w:val="20"/>
          <w:szCs w:val="20"/>
          <w:lang w:eastAsia="en-US" w:bidi="ar-SA"/>
        </w:rPr>
        <w:t xml:space="preserve"> </w:t>
      </w:r>
      <w:r>
        <w:rPr>
          <w:rFonts w:ascii="Work Sans" w:eastAsia="Caladea" w:hAnsi="Work Sans" w:cs="Caladea"/>
          <w:kern w:val="0"/>
          <w:sz w:val="20"/>
          <w:szCs w:val="20"/>
          <w:lang w:eastAsia="en-US" w:bidi="ar-SA"/>
        </w:rPr>
        <w:t>de</w:t>
      </w:r>
      <w:r>
        <w:rPr>
          <w:rFonts w:ascii="Work Sans" w:eastAsia="Caladea" w:hAnsi="Work Sans" w:cs="Caladea"/>
          <w:spacing w:val="-11"/>
          <w:kern w:val="0"/>
          <w:sz w:val="20"/>
          <w:szCs w:val="20"/>
          <w:lang w:eastAsia="en-US" w:bidi="ar-SA"/>
        </w:rPr>
        <w:t xml:space="preserve"> </w:t>
      </w:r>
      <w:r>
        <w:rPr>
          <w:rFonts w:ascii="Work Sans" w:eastAsia="Caladea" w:hAnsi="Work Sans" w:cs="Caladea"/>
          <w:kern w:val="0"/>
          <w:sz w:val="20"/>
          <w:szCs w:val="20"/>
          <w:lang w:eastAsia="en-US" w:bidi="ar-SA"/>
        </w:rPr>
        <w:t>Infraestructura</w:t>
      </w:r>
      <w:r>
        <w:rPr>
          <w:rFonts w:ascii="Work Sans" w:eastAsia="Caladea" w:hAnsi="Work Sans" w:cs="Caladea"/>
          <w:spacing w:val="-12"/>
          <w:kern w:val="0"/>
          <w:sz w:val="20"/>
          <w:szCs w:val="20"/>
          <w:lang w:eastAsia="en-US" w:bidi="ar-SA"/>
        </w:rPr>
        <w:t xml:space="preserve"> </w:t>
      </w:r>
      <w:r>
        <w:rPr>
          <w:rFonts w:ascii="Work Sans" w:eastAsia="Caladea" w:hAnsi="Work Sans" w:cs="Caladea"/>
          <w:kern w:val="0"/>
          <w:sz w:val="20"/>
          <w:szCs w:val="20"/>
          <w:lang w:eastAsia="en-US" w:bidi="ar-SA"/>
        </w:rPr>
        <w:t xml:space="preserve">solicita la </w:t>
      </w:r>
      <w:r>
        <w:rPr>
          <w:rFonts w:ascii="Work Sans" w:eastAsia="Caladea" w:hAnsi="Work Sans" w:cs="Caladea"/>
          <w:kern w:val="0"/>
          <w:sz w:val="20"/>
          <w:szCs w:val="20"/>
          <w:lang w:val="es-CO" w:eastAsia="en-US" w:bidi="ar-SA"/>
        </w:rPr>
        <w:t xml:space="preserve">ampliación de la vigencia de las tarifas diferenciales fijadas en los artículos 1° y 2° de la Resolución No.000410 de febrero 27 de 2020, para las estaciones de peaje Purgatorio, Manguitos, Mata de Caña y Cedros; y </w:t>
      </w:r>
      <w:r>
        <w:rPr>
          <w:rFonts w:ascii="Work Sans" w:eastAsia="Caladea" w:hAnsi="Work Sans" w:cs="Caladea"/>
          <w:kern w:val="0"/>
          <w:sz w:val="20"/>
          <w:szCs w:val="20"/>
          <w:lang w:val="es-CO" w:eastAsia="en-US" w:bidi="ar-SA"/>
        </w:rPr>
        <w:lastRenderedPageBreak/>
        <w:t>se amplié los cupos establecidos en el artículo 4° de la referida resolución, en la estación de peaje Purgatorio</w:t>
      </w:r>
      <w:r>
        <w:rPr>
          <w:rFonts w:ascii="Work Sans" w:eastAsia="Caladea" w:hAnsi="Work Sans" w:cs="Caladea"/>
          <w:kern w:val="0"/>
          <w:sz w:val="20"/>
          <w:szCs w:val="20"/>
          <w:lang w:eastAsia="en-US" w:bidi="ar-SA"/>
        </w:rPr>
        <w:t>, con fundamento en lo siguiente:</w:t>
      </w:r>
    </w:p>
    <w:p w:rsidR="00B6656D" w:rsidRDefault="00000000">
      <w:pPr>
        <w:widowControl/>
        <w:spacing w:after="160"/>
        <w:jc w:val="both"/>
        <w:textAlignment w:val="auto"/>
        <w:rPr>
          <w:rFonts w:ascii="Work Sans" w:eastAsia="Caladea" w:hAnsi="Work Sans" w:cs="Caladea"/>
          <w:i/>
          <w:kern w:val="0"/>
          <w:sz w:val="20"/>
          <w:szCs w:val="20"/>
          <w:lang w:eastAsia="en-US" w:bidi="ar-SA"/>
        </w:rPr>
      </w:pPr>
      <w:r>
        <w:rPr>
          <w:rFonts w:ascii="Work Sans" w:eastAsia="Caladea" w:hAnsi="Work Sans" w:cs="Caladea"/>
          <w:i/>
          <w:kern w:val="0"/>
          <w:sz w:val="20"/>
          <w:szCs w:val="20"/>
          <w:lang w:eastAsia="en-US" w:bidi="ar-SA"/>
        </w:rPr>
        <w:t xml:space="preserve">      “(…)</w:t>
      </w:r>
    </w:p>
    <w:p w:rsidR="00B6656D" w:rsidRDefault="00000000">
      <w:pPr>
        <w:widowControl/>
        <w:numPr>
          <w:ilvl w:val="0"/>
          <w:numId w:val="20"/>
        </w:numPr>
        <w:spacing w:line="276" w:lineRule="auto"/>
        <w:ind w:left="426" w:right="481" w:firstLine="0"/>
        <w:jc w:val="both"/>
        <w:textAlignment w:val="auto"/>
      </w:pPr>
      <w:r>
        <w:rPr>
          <w:rFonts w:ascii="Work Sans" w:hAnsi="Work Sans" w:cs="Arial"/>
          <w:b/>
          <w:i/>
          <w:kern w:val="0"/>
          <w:sz w:val="18"/>
          <w:szCs w:val="18"/>
          <w:lang w:val="es-ES_tradnl" w:eastAsia="es-ES" w:bidi="ar-SA"/>
        </w:rPr>
        <w:t>Antecedentes r</w:t>
      </w:r>
      <w:r>
        <w:rPr>
          <w:rFonts w:ascii="Work Sans" w:eastAsia="DengXian Light" w:hAnsi="Work Sans" w:cs="Arial"/>
          <w:b/>
          <w:bCs/>
          <w:i/>
          <w:kern w:val="0"/>
          <w:sz w:val="18"/>
          <w:szCs w:val="18"/>
          <w:lang w:val="es-ES_tradnl" w:eastAsia="es-ES" w:bidi="ar-SA"/>
        </w:rPr>
        <w:t xml:space="preserve">especto del proyecto IP Conexión Antioquia – Bolívar. </w:t>
      </w:r>
    </w:p>
    <w:p w:rsidR="00B6656D" w:rsidRDefault="00B6656D">
      <w:pPr>
        <w:widowControl/>
        <w:spacing w:line="276" w:lineRule="auto"/>
        <w:ind w:left="426" w:right="481"/>
        <w:jc w:val="both"/>
        <w:textAlignment w:val="auto"/>
        <w:rPr>
          <w:rFonts w:ascii="Work Sans" w:hAnsi="Work Sans" w:cs="Arial"/>
          <w:i/>
          <w:spacing w:val="-3"/>
          <w:kern w:val="0"/>
          <w:sz w:val="18"/>
          <w:szCs w:val="18"/>
          <w:lang w:val="es-CO" w:eastAsia="es-ES" w:bidi="ar-SA"/>
        </w:rPr>
      </w:pPr>
    </w:p>
    <w:p w:rsidR="00B6656D" w:rsidRDefault="00000000">
      <w:pPr>
        <w:widowControl/>
        <w:spacing w:line="276" w:lineRule="auto"/>
        <w:ind w:left="426" w:right="481"/>
        <w:jc w:val="both"/>
        <w:textAlignment w:val="auto"/>
      </w:pPr>
      <w:r>
        <w:rPr>
          <w:rFonts w:ascii="Work Sans" w:hAnsi="Work Sans" w:cs="Arial"/>
          <w:i/>
          <w:spacing w:val="-3"/>
          <w:kern w:val="0"/>
          <w:sz w:val="18"/>
          <w:szCs w:val="18"/>
          <w:lang w:val="es-CO" w:eastAsia="es-ES" w:bidi="ar-SA"/>
        </w:rPr>
        <w:t xml:space="preserve">Mediante Resolución N°0001884 del 17 de junio de 2015, proferida por el Ministerio de Transporte, se emitió concepto vinculante previo al establecimiento de las estaciones de peaje denominadas San Carlos, Caimanera y </w:t>
      </w:r>
      <w:r>
        <w:rPr>
          <w:rFonts w:ascii="Work Sans" w:hAnsi="Work Sans" w:cs="Arial"/>
          <w:b/>
          <w:bCs/>
          <w:i/>
          <w:spacing w:val="-3"/>
          <w:kern w:val="0"/>
          <w:sz w:val="18"/>
          <w:szCs w:val="18"/>
          <w:u w:val="single"/>
          <w:lang w:val="es-CO" w:eastAsia="es-ES" w:bidi="ar-SA"/>
        </w:rPr>
        <w:t>Los Manguitos</w:t>
      </w:r>
      <w:r>
        <w:rPr>
          <w:rFonts w:ascii="Work Sans" w:hAnsi="Work Sans" w:cs="Arial"/>
          <w:i/>
          <w:spacing w:val="-3"/>
          <w:kern w:val="0"/>
          <w:sz w:val="18"/>
          <w:szCs w:val="18"/>
          <w:lang w:val="es-CO" w:eastAsia="es-ES" w:bidi="ar-SA"/>
        </w:rPr>
        <w:t xml:space="preserve">, se reubican las estaciones existentes </w:t>
      </w:r>
      <w:r>
        <w:rPr>
          <w:rFonts w:ascii="Work Sans" w:hAnsi="Work Sans" w:cs="Arial"/>
          <w:b/>
          <w:bCs/>
          <w:i/>
          <w:spacing w:val="-3"/>
          <w:kern w:val="0"/>
          <w:sz w:val="18"/>
          <w:szCs w:val="18"/>
          <w:u w:val="single"/>
          <w:lang w:val="es-CO" w:eastAsia="es-ES" w:bidi="ar-SA"/>
        </w:rPr>
        <w:t>Purgatorio</w:t>
      </w:r>
      <w:r>
        <w:rPr>
          <w:rFonts w:ascii="Work Sans" w:hAnsi="Work Sans" w:cs="Arial"/>
          <w:i/>
          <w:spacing w:val="-3"/>
          <w:kern w:val="0"/>
          <w:sz w:val="18"/>
          <w:szCs w:val="18"/>
          <w:lang w:val="es-CO" w:eastAsia="es-ES" w:bidi="ar-SA"/>
        </w:rPr>
        <w:t xml:space="preserve"> y  </w:t>
      </w:r>
      <w:r>
        <w:rPr>
          <w:rFonts w:ascii="Work Sans" w:hAnsi="Work Sans" w:cs="Arial"/>
          <w:b/>
          <w:bCs/>
          <w:i/>
          <w:spacing w:val="-3"/>
          <w:kern w:val="0"/>
          <w:sz w:val="18"/>
          <w:szCs w:val="18"/>
          <w:u w:val="single"/>
          <w:lang w:val="es-CO" w:eastAsia="es-ES" w:bidi="ar-SA"/>
        </w:rPr>
        <w:t>Cedros</w:t>
      </w:r>
      <w:r>
        <w:rPr>
          <w:rFonts w:ascii="Work Sans" w:hAnsi="Work Sans" w:cs="Arial"/>
          <w:i/>
          <w:spacing w:val="-3"/>
          <w:kern w:val="0"/>
          <w:sz w:val="18"/>
          <w:szCs w:val="18"/>
          <w:lang w:val="es-CO" w:eastAsia="es-ES" w:bidi="ar-SA"/>
        </w:rPr>
        <w:t xml:space="preserve">, y se establecieron las tarifas a cobrar en las anteriores Estaciones, así como en las Estaciones de Peaje La Apartada, </w:t>
      </w:r>
      <w:r>
        <w:rPr>
          <w:rFonts w:ascii="Work Sans" w:hAnsi="Work Sans" w:cs="Arial"/>
          <w:b/>
          <w:bCs/>
          <w:i/>
          <w:spacing w:val="-3"/>
          <w:kern w:val="0"/>
          <w:sz w:val="18"/>
          <w:szCs w:val="18"/>
          <w:u w:val="single"/>
          <w:lang w:val="es-CO" w:eastAsia="es-ES" w:bidi="ar-SA"/>
        </w:rPr>
        <w:t>Mata de Caña</w:t>
      </w:r>
      <w:r>
        <w:rPr>
          <w:rFonts w:ascii="Work Sans" w:hAnsi="Work Sans" w:cs="Arial"/>
          <w:i/>
          <w:spacing w:val="-3"/>
          <w:kern w:val="0"/>
          <w:sz w:val="18"/>
          <w:szCs w:val="18"/>
          <w:lang w:val="es-CO" w:eastAsia="es-ES" w:bidi="ar-SA"/>
        </w:rPr>
        <w:t xml:space="preserve"> y San Onofre, pertenecientes al proyecto de asociación publico privada CONEXIÓN ANTIOQUÍA - BOLÍVAR. </w:t>
      </w:r>
    </w:p>
    <w:p w:rsidR="00B6656D" w:rsidRDefault="00B6656D">
      <w:pPr>
        <w:widowControl/>
        <w:spacing w:line="276" w:lineRule="auto"/>
        <w:ind w:left="426" w:right="481"/>
        <w:jc w:val="both"/>
        <w:textAlignment w:val="auto"/>
        <w:rPr>
          <w:rFonts w:ascii="Work Sans" w:hAnsi="Work Sans" w:cs="Arial"/>
          <w:i/>
          <w:spacing w:val="-3"/>
          <w:kern w:val="0"/>
          <w:sz w:val="18"/>
          <w:szCs w:val="18"/>
          <w:lang w:val="es-CO" w:eastAsia="es-ES" w:bidi="ar-SA"/>
        </w:rPr>
      </w:pPr>
    </w:p>
    <w:p w:rsidR="00B6656D" w:rsidRDefault="00000000">
      <w:pPr>
        <w:widowControl/>
        <w:spacing w:line="276" w:lineRule="auto"/>
        <w:ind w:left="426" w:right="481"/>
        <w:jc w:val="both"/>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 xml:space="preserve">En la Resolución N°0001884 del 17 de junio de 2015, no se contemplaron tarifas especiales diferenciales para ninguna de las Estaciones de Peaje del Proyecto. </w:t>
      </w:r>
    </w:p>
    <w:p w:rsidR="00B6656D" w:rsidRDefault="00B6656D">
      <w:pPr>
        <w:widowControl/>
        <w:spacing w:line="276" w:lineRule="auto"/>
        <w:ind w:left="426" w:right="481"/>
        <w:jc w:val="both"/>
        <w:textAlignment w:val="auto"/>
        <w:rPr>
          <w:rFonts w:ascii="Work Sans" w:hAnsi="Work Sans" w:cs="Arial"/>
          <w:i/>
          <w:spacing w:val="-3"/>
          <w:kern w:val="0"/>
          <w:sz w:val="18"/>
          <w:szCs w:val="18"/>
          <w:lang w:val="es-CO" w:eastAsia="es-ES" w:bidi="ar-SA"/>
        </w:rPr>
      </w:pPr>
    </w:p>
    <w:p w:rsidR="00B6656D" w:rsidRDefault="00000000">
      <w:pPr>
        <w:widowControl/>
        <w:spacing w:line="276" w:lineRule="auto"/>
        <w:ind w:left="426" w:right="481"/>
        <w:jc w:val="both"/>
        <w:textAlignment w:val="auto"/>
      </w:pPr>
      <w:r>
        <w:rPr>
          <w:rFonts w:ascii="Work Sans" w:hAnsi="Work Sans" w:cs="Arial"/>
          <w:bCs/>
          <w:i/>
          <w:spacing w:val="-3"/>
          <w:kern w:val="0"/>
          <w:sz w:val="18"/>
          <w:szCs w:val="18"/>
          <w:lang w:val="es-CO" w:eastAsia="es-ES" w:bidi="ar-SA"/>
        </w:rPr>
        <w:t xml:space="preserve">El día 14 de octubre de 2015 se suscribió entre la ANI y la Sociedad “Concesión Ruta al Mar S.A.S.”, el Contrato de Concesión bajo el esquema de APP N° 016 de 2015, en adelante El Contrato de Concesión, cuyo objeto es: </w:t>
      </w:r>
      <w:r>
        <w:rPr>
          <w:rFonts w:ascii="Work Sans" w:hAnsi="Work Sans" w:cs="Arial"/>
          <w:bCs/>
          <w:i/>
          <w:iCs/>
          <w:spacing w:val="-3"/>
          <w:kern w:val="0"/>
          <w:sz w:val="18"/>
          <w:szCs w:val="18"/>
          <w:lang w:val="es-CO" w:eastAsia="es-ES" w:bidi="ar-SA"/>
        </w:rPr>
        <w:t>“el otorgamiento de una concesión para la Construcción, Rehabilitación, Mejoramiento, Operación y, Mantenimiento Del Sistema Vial Para La Conexión de los departamentos Antioquia – Bolívar, de conformidad con lo previsto en este Contrato, el Concesionario, por su cuenta y riesgo, lleve a cabo el Proyecto. El alcance físico del Proyecto se describe en la Parte Especial y en el Apéndice Técnico 1.”.</w:t>
      </w:r>
    </w:p>
    <w:p w:rsidR="00B6656D" w:rsidRDefault="00B6656D">
      <w:pPr>
        <w:widowControl/>
        <w:spacing w:line="276" w:lineRule="auto"/>
        <w:ind w:left="426" w:right="481"/>
        <w:jc w:val="both"/>
        <w:textAlignment w:val="auto"/>
        <w:rPr>
          <w:rFonts w:ascii="Work Sans" w:hAnsi="Work Sans" w:cs="Arial"/>
          <w:bCs/>
          <w:spacing w:val="-3"/>
          <w:kern w:val="0"/>
          <w:sz w:val="18"/>
          <w:szCs w:val="18"/>
          <w:lang w:val="es-CO" w:eastAsia="es-ES" w:bidi="ar-SA"/>
        </w:rPr>
      </w:pPr>
    </w:p>
    <w:p w:rsidR="00B6656D" w:rsidRDefault="00000000">
      <w:pPr>
        <w:widowControl/>
        <w:spacing w:line="276" w:lineRule="auto"/>
        <w:ind w:left="426" w:right="481"/>
        <w:jc w:val="both"/>
        <w:textAlignment w:val="auto"/>
      </w:pPr>
      <w:r>
        <w:rPr>
          <w:rFonts w:ascii="Work Sans" w:hAnsi="Work Sans" w:cs="Arial"/>
          <w:bCs/>
          <w:spacing w:val="-3"/>
          <w:kern w:val="0"/>
          <w:sz w:val="18"/>
          <w:szCs w:val="18"/>
          <w:lang w:val="es-CO" w:eastAsia="es-ES" w:bidi="ar-SA"/>
        </w:rPr>
        <w:t xml:space="preserve">Así mismo, el 23 de noviembre de 2015 se </w:t>
      </w:r>
      <w:r>
        <w:rPr>
          <w:rFonts w:ascii="Work Sans" w:hAnsi="Work Sans" w:cs="Arial"/>
          <w:spacing w:val="-3"/>
          <w:kern w:val="0"/>
          <w:sz w:val="18"/>
          <w:szCs w:val="18"/>
          <w:lang w:val="es-CO" w:eastAsia="es-ES" w:bidi="ar-SA"/>
        </w:rPr>
        <w:t xml:space="preserve">suscribió el Contrato de Interventoría N° 514, cuyo objeto es: </w:t>
      </w:r>
      <w:r>
        <w:rPr>
          <w:rFonts w:ascii="Work Sans" w:hAnsi="Work Sans" w:cs="Arial"/>
          <w:i/>
          <w:iCs/>
          <w:spacing w:val="-3"/>
          <w:kern w:val="0"/>
          <w:sz w:val="18"/>
          <w:szCs w:val="18"/>
          <w:lang w:val="es-CO" w:eastAsia="es-ES" w:bidi="ar-SA"/>
        </w:rPr>
        <w:t>“Realizar la interventoría integral que incluye pero no se limita a la Interventoría Técnica, Económica, Financiera, Contable, Jurídica, Administrativa, Operativa, Medio Ambiental y Socio Predial del Contrato de Concesión bajo el esquema de Asociación público privada de iniciativa privada que se derive del proceso licitatorio VJ-VE-APP-IP-006-2015 correspondiente al corredor denominado “SISTEMA VIAL PARA LA CONEXIÓN DE LOS DEPARTAMENTOS DE ANTIOQUIA Y BOLÍVAR”, de acuerdo con el Apéndice Técnico 1 de la Minuta del Contrato”, incluida la interventoría a los estudios y diseños correspondientes”</w:t>
      </w:r>
      <w:r>
        <w:rPr>
          <w:rFonts w:ascii="Work Sans" w:hAnsi="Work Sans" w:cs="Arial"/>
          <w:spacing w:val="-3"/>
          <w:kern w:val="0"/>
          <w:sz w:val="18"/>
          <w:szCs w:val="18"/>
          <w:lang w:val="es-CO" w:eastAsia="es-ES" w:bidi="ar-SA"/>
        </w:rPr>
        <w:t>.</w:t>
      </w:r>
    </w:p>
    <w:p w:rsidR="00B6656D" w:rsidRDefault="00B6656D">
      <w:pPr>
        <w:widowControl/>
        <w:spacing w:line="276" w:lineRule="auto"/>
        <w:ind w:left="426" w:right="481"/>
        <w:jc w:val="both"/>
        <w:textAlignment w:val="auto"/>
        <w:rPr>
          <w:rFonts w:ascii="Work Sans" w:hAnsi="Work Sans" w:cs="Arial"/>
          <w:spacing w:val="-3"/>
          <w:kern w:val="0"/>
          <w:sz w:val="18"/>
          <w:szCs w:val="18"/>
          <w:lang w:val="es-CO" w:eastAsia="es-ES" w:bidi="ar-SA"/>
        </w:rPr>
      </w:pPr>
    </w:p>
    <w:p w:rsidR="00B6656D" w:rsidRDefault="00000000">
      <w:pPr>
        <w:widowControl/>
        <w:spacing w:line="276" w:lineRule="auto"/>
        <w:ind w:left="426" w:right="481"/>
        <w:jc w:val="both"/>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 xml:space="preserve">Una vez cumplidos los requisitos contractuales aplicables, el 27 de noviembre de 2015 la ANI y el CONCESIONARIO suscribieron el Acta de Inicio del Contrato de Concesión IP No.016 de 2015. Así mismo, el 27 de noviembre de 2015, fue suscrita el Acta de Inicio del Contrato de Interventoría No.514 de 2015 celebrado entre la Agencia Nacional de Infraestructura y el Consorcio CR Concesiones. </w:t>
      </w:r>
    </w:p>
    <w:p w:rsidR="00B6656D" w:rsidRDefault="00B6656D">
      <w:pPr>
        <w:widowControl/>
        <w:spacing w:line="276" w:lineRule="auto"/>
        <w:ind w:left="426" w:right="481"/>
        <w:jc w:val="both"/>
        <w:textAlignment w:val="auto"/>
        <w:rPr>
          <w:rFonts w:ascii="Work Sans" w:hAnsi="Work Sans" w:cs="Arial"/>
          <w:i/>
          <w:spacing w:val="-3"/>
          <w:kern w:val="0"/>
          <w:sz w:val="18"/>
          <w:szCs w:val="18"/>
          <w:lang w:val="es-CO" w:eastAsia="es-ES" w:bidi="ar-SA"/>
        </w:rPr>
      </w:pPr>
    </w:p>
    <w:p w:rsidR="00B6656D" w:rsidRDefault="00000000">
      <w:pPr>
        <w:widowControl/>
        <w:spacing w:line="276" w:lineRule="auto"/>
        <w:ind w:left="426" w:right="481"/>
        <w:jc w:val="both"/>
        <w:textAlignment w:val="auto"/>
      </w:pPr>
      <w:r>
        <w:rPr>
          <w:rFonts w:ascii="Work Sans" w:hAnsi="Work Sans" w:cs="Arial"/>
          <w:i/>
          <w:spacing w:val="-3"/>
          <w:kern w:val="0"/>
          <w:sz w:val="18"/>
          <w:szCs w:val="18"/>
          <w:lang w:val="es-CO" w:eastAsia="es-ES" w:bidi="ar-SA"/>
        </w:rPr>
        <w:t>Ahora bien, el 26 de febrero de 2020, mediante Resolución N°000410 el Ministerio de Transporte modificó la estructura tarifaria del Proyecto, estableciendo</w:t>
      </w:r>
      <w:r>
        <w:rPr>
          <w:rFonts w:ascii="Work Sans" w:hAnsi="Work Sans" w:cs="Arial"/>
          <w:i/>
          <w:spacing w:val="-3"/>
          <w:kern w:val="0"/>
          <w:sz w:val="18"/>
          <w:szCs w:val="18"/>
          <w:lang w:eastAsia="es-ES" w:bidi="ar-SA"/>
        </w:rPr>
        <w:t xml:space="preserve"> las categorías vehiculares 1E y 2E de las estaciones de Manguitos, Mata de Caña y Cedros para los vehículos de servicio público, así: </w:t>
      </w:r>
      <w:r>
        <w:rPr>
          <w:rFonts w:ascii="Work Sans" w:hAnsi="Work Sans" w:cs="Arial"/>
          <w:i/>
          <w:spacing w:val="-3"/>
          <w:kern w:val="0"/>
          <w:sz w:val="18"/>
          <w:szCs w:val="18"/>
          <w:lang w:val="es-CO" w:eastAsia="es-ES" w:bidi="ar-SA"/>
        </w:rPr>
        <w:t xml:space="preserve">  </w:t>
      </w:r>
    </w:p>
    <w:p w:rsidR="00B6656D" w:rsidRDefault="00B6656D">
      <w:pPr>
        <w:widowControl/>
        <w:spacing w:line="276" w:lineRule="auto"/>
        <w:ind w:left="426" w:right="481"/>
        <w:jc w:val="both"/>
        <w:textAlignment w:val="auto"/>
        <w:rPr>
          <w:rFonts w:ascii="Work Sans" w:hAnsi="Work Sans" w:cs="Arial"/>
          <w:spacing w:val="-3"/>
          <w:kern w:val="0"/>
          <w:sz w:val="18"/>
          <w:szCs w:val="18"/>
          <w:lang w:val="es-CO" w:eastAsia="es-ES" w:bidi="ar-SA"/>
        </w:rPr>
      </w:pPr>
    </w:p>
    <w:p w:rsidR="00B6656D" w:rsidRDefault="00000000">
      <w:pPr>
        <w:widowControl/>
        <w:ind w:left="426" w:right="481"/>
        <w:jc w:val="both"/>
        <w:textAlignment w:val="auto"/>
      </w:pPr>
      <w:r>
        <w:rPr>
          <w:rFonts w:ascii="Work Sans" w:hAnsi="Work Sans" w:cs="Arial"/>
          <w:i/>
          <w:iCs/>
          <w:spacing w:val="-3"/>
          <w:kern w:val="0"/>
          <w:sz w:val="18"/>
          <w:szCs w:val="18"/>
          <w:lang w:val="es-CO" w:eastAsia="es-ES" w:bidi="ar-SA"/>
        </w:rPr>
        <w:t>“</w:t>
      </w:r>
      <w:r>
        <w:rPr>
          <w:rFonts w:ascii="Work Sans" w:hAnsi="Work Sans" w:cs="Arial"/>
          <w:b/>
          <w:bCs/>
          <w:i/>
          <w:iCs/>
          <w:spacing w:val="-3"/>
          <w:kern w:val="0"/>
          <w:sz w:val="18"/>
          <w:szCs w:val="18"/>
          <w:lang w:val="es-CO" w:eastAsia="es-ES" w:bidi="ar-SA"/>
        </w:rPr>
        <w:t>ARTÍCULO 1.</w:t>
      </w:r>
      <w:r>
        <w:rPr>
          <w:rFonts w:ascii="Work Sans" w:hAnsi="Work Sans" w:cs="Arial"/>
          <w:i/>
          <w:iCs/>
          <w:spacing w:val="-3"/>
          <w:kern w:val="0"/>
          <w:sz w:val="18"/>
          <w:szCs w:val="18"/>
          <w:lang w:val="es-CO" w:eastAsia="es-ES" w:bidi="ar-SA"/>
        </w:rPr>
        <w:t>- Establecer las siguientes tarifas diferenciales en las categorías 1 y 2 de las estaciones de Manguitos, Mata de Caña y Cedros para los vehículos vinculados a empresas debidamente habilitadas para prestar el servicio público de transporte terrestre automotor de pasajeros por carretera cuya ruta haga tránsito por las citadas estaciones de peaje, así:</w:t>
      </w:r>
    </w:p>
    <w:p w:rsidR="00B6656D" w:rsidRDefault="00B6656D">
      <w:pPr>
        <w:widowControl/>
        <w:ind w:left="426" w:right="481"/>
        <w:jc w:val="both"/>
        <w:textAlignment w:val="auto"/>
        <w:rPr>
          <w:rFonts w:ascii="Work Sans" w:hAnsi="Work Sans" w:cs="Arial"/>
          <w:i/>
          <w:iCs/>
          <w:spacing w:val="-3"/>
          <w:kern w:val="0"/>
          <w:sz w:val="18"/>
          <w:szCs w:val="18"/>
          <w:lang w:val="es-CO" w:eastAsia="es-ES" w:bidi="ar-SA"/>
        </w:rPr>
      </w:pPr>
    </w:p>
    <w:tbl>
      <w:tblPr>
        <w:tblW w:w="7939" w:type="dxa"/>
        <w:jc w:val="right"/>
        <w:tblCellMar>
          <w:left w:w="10" w:type="dxa"/>
          <w:right w:w="10" w:type="dxa"/>
        </w:tblCellMar>
        <w:tblLook w:val="04A0" w:firstRow="1" w:lastRow="0" w:firstColumn="1" w:lastColumn="0" w:noHBand="0" w:noVBand="1"/>
      </w:tblPr>
      <w:tblGrid>
        <w:gridCol w:w="2263"/>
        <w:gridCol w:w="3686"/>
        <w:gridCol w:w="1990"/>
      </w:tblGrid>
      <w:tr w:rsidR="00B6656D">
        <w:tblPrEx>
          <w:tblCellMar>
            <w:top w:w="0" w:type="dxa"/>
            <w:bottom w:w="0" w:type="dxa"/>
          </w:tblCellMar>
        </w:tblPrEx>
        <w:trPr>
          <w:jc w:val="right"/>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b/>
                <w:i/>
                <w:spacing w:val="-3"/>
                <w:kern w:val="0"/>
                <w:sz w:val="18"/>
                <w:szCs w:val="18"/>
                <w:lang w:val="es-CO" w:eastAsia="es-ES" w:bidi="ar-SA"/>
              </w:rPr>
            </w:pPr>
            <w:r>
              <w:rPr>
                <w:rFonts w:ascii="Work Sans" w:hAnsi="Work Sans" w:cs="Arial"/>
                <w:b/>
                <w:i/>
                <w:spacing w:val="-3"/>
                <w:kern w:val="0"/>
                <w:sz w:val="18"/>
                <w:szCs w:val="18"/>
                <w:lang w:val="es-CO" w:eastAsia="es-ES" w:bidi="ar-SA"/>
              </w:rPr>
              <w:t>CATEGORÍAS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b/>
                <w:i/>
                <w:spacing w:val="-3"/>
                <w:kern w:val="0"/>
                <w:sz w:val="18"/>
                <w:szCs w:val="18"/>
                <w:lang w:val="es-CO" w:eastAsia="es-ES" w:bidi="ar-SA"/>
              </w:rPr>
            </w:pPr>
            <w:r>
              <w:rPr>
                <w:rFonts w:ascii="Work Sans" w:hAnsi="Work Sans" w:cs="Arial"/>
                <w:b/>
                <w:i/>
                <w:spacing w:val="-3"/>
                <w:kern w:val="0"/>
                <w:sz w:val="18"/>
                <w:szCs w:val="18"/>
                <w:lang w:val="es-CO" w:eastAsia="es-ES" w:bidi="ar-SA"/>
              </w:rPr>
              <w:t>DESCRIPCIÓN</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b/>
                <w:i/>
                <w:spacing w:val="-3"/>
                <w:kern w:val="0"/>
                <w:sz w:val="18"/>
                <w:szCs w:val="18"/>
                <w:lang w:val="es-CO" w:eastAsia="es-ES" w:bidi="ar-SA"/>
              </w:rPr>
            </w:pPr>
            <w:r>
              <w:rPr>
                <w:rFonts w:ascii="Work Sans" w:hAnsi="Work Sans" w:cs="Arial"/>
                <w:b/>
                <w:i/>
                <w:spacing w:val="-3"/>
                <w:kern w:val="0"/>
                <w:sz w:val="18"/>
                <w:szCs w:val="18"/>
                <w:lang w:val="es-CO" w:eastAsia="es-ES" w:bidi="ar-SA"/>
              </w:rPr>
              <w:t>TARIFAS 2019 (INCLUYE FOSEVI)</w:t>
            </w:r>
          </w:p>
        </w:tc>
      </w:tr>
      <w:tr w:rsidR="00B6656D">
        <w:tblPrEx>
          <w:tblCellMar>
            <w:top w:w="0" w:type="dxa"/>
            <w:bottom w:w="0" w:type="dxa"/>
          </w:tblCellMar>
        </w:tblPrEx>
        <w:trPr>
          <w:jc w:val="right"/>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Categoría 1E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Automóviles, camperos, camionetas, microbuses con ejes de llanta sencilla</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$7.600</w:t>
            </w:r>
          </w:p>
        </w:tc>
      </w:tr>
      <w:tr w:rsidR="00B6656D">
        <w:tblPrEx>
          <w:tblCellMar>
            <w:top w:w="0" w:type="dxa"/>
            <w:bottom w:w="0" w:type="dxa"/>
          </w:tblCellMar>
        </w:tblPrEx>
        <w:trPr>
          <w:jc w:val="right"/>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Categoría 2E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Buses, busetas, microbuses con eje trasero de doble llanta</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$11.200</w:t>
            </w:r>
          </w:p>
        </w:tc>
      </w:tr>
    </w:tbl>
    <w:p w:rsidR="00B6656D" w:rsidRDefault="00B6656D">
      <w:pPr>
        <w:widowControl/>
        <w:ind w:left="708"/>
        <w:jc w:val="both"/>
        <w:textAlignment w:val="auto"/>
        <w:rPr>
          <w:rFonts w:ascii="Work Sans" w:hAnsi="Work Sans" w:cs="Arial"/>
          <w:i/>
          <w:spacing w:val="-3"/>
          <w:kern w:val="0"/>
          <w:sz w:val="18"/>
          <w:szCs w:val="18"/>
          <w:lang w:val="es-CO" w:eastAsia="es-ES" w:bidi="ar-SA"/>
        </w:rPr>
      </w:pPr>
    </w:p>
    <w:p w:rsidR="00B6656D" w:rsidRDefault="00000000">
      <w:pPr>
        <w:widowControl/>
        <w:ind w:left="708"/>
        <w:jc w:val="both"/>
        <w:textAlignment w:val="auto"/>
      </w:pPr>
      <w:r>
        <w:rPr>
          <w:rFonts w:ascii="Work Sans" w:hAnsi="Work Sans" w:cs="Arial"/>
          <w:b/>
          <w:bCs/>
          <w:i/>
          <w:iCs/>
          <w:spacing w:val="-3"/>
          <w:kern w:val="0"/>
          <w:sz w:val="18"/>
          <w:szCs w:val="18"/>
          <w:lang w:val="es-CO" w:eastAsia="es-ES" w:bidi="ar-SA"/>
        </w:rPr>
        <w:t>PARÁGRAFO PRIMERO</w:t>
      </w:r>
      <w:r>
        <w:rPr>
          <w:rFonts w:ascii="Work Sans" w:hAnsi="Work Sans" w:cs="Arial"/>
          <w:i/>
          <w:iCs/>
          <w:spacing w:val="-3"/>
          <w:kern w:val="0"/>
          <w:sz w:val="18"/>
          <w:szCs w:val="18"/>
          <w:lang w:val="es-CO" w:eastAsia="es-ES" w:bidi="ar-SA"/>
        </w:rPr>
        <w:t>: Para mantener el beneficio de la tarifa diferencial otorgado, cada vehículo beneficiario deberá transitar por la respectiva estación de peaje con una frecuencia mínima de veinte (20) pasos al mes</w:t>
      </w:r>
      <w:r>
        <w:rPr>
          <w:rFonts w:ascii="Work Sans" w:hAnsi="Work Sans" w:cs="Arial"/>
          <w:spacing w:val="-3"/>
          <w:kern w:val="0"/>
          <w:sz w:val="18"/>
          <w:szCs w:val="18"/>
          <w:lang w:val="es-CO" w:eastAsia="es-ES" w:bidi="ar-SA"/>
        </w:rPr>
        <w:t>.</w:t>
      </w:r>
    </w:p>
    <w:p w:rsidR="00B6656D" w:rsidRDefault="00B6656D">
      <w:pPr>
        <w:widowControl/>
        <w:ind w:left="708"/>
        <w:jc w:val="both"/>
        <w:textAlignment w:val="auto"/>
        <w:rPr>
          <w:rFonts w:ascii="Work Sans" w:hAnsi="Work Sans" w:cs="Arial"/>
          <w:spacing w:val="-3"/>
          <w:kern w:val="0"/>
          <w:sz w:val="18"/>
          <w:szCs w:val="18"/>
          <w:lang w:val="es-CO" w:eastAsia="es-ES" w:bidi="ar-SA"/>
        </w:rPr>
      </w:pPr>
    </w:p>
    <w:p w:rsidR="00B6656D" w:rsidRDefault="00000000">
      <w:pPr>
        <w:widowControl/>
        <w:ind w:left="708"/>
        <w:jc w:val="both"/>
        <w:textAlignment w:val="auto"/>
      </w:pPr>
      <w:r>
        <w:rPr>
          <w:rFonts w:ascii="Work Sans" w:hAnsi="Work Sans" w:cs="Arial"/>
          <w:b/>
          <w:bCs/>
          <w:i/>
          <w:iCs/>
          <w:spacing w:val="-3"/>
          <w:kern w:val="0"/>
          <w:sz w:val="18"/>
          <w:szCs w:val="18"/>
          <w:lang w:val="es-CO" w:eastAsia="es-ES" w:bidi="ar-SA"/>
        </w:rPr>
        <w:t>PARÁGRAFO SEGUNDO:</w:t>
      </w:r>
      <w:r>
        <w:rPr>
          <w:rFonts w:ascii="Work Sans" w:hAnsi="Work Sans" w:cs="Arial"/>
          <w:i/>
          <w:iCs/>
          <w:spacing w:val="-3"/>
          <w:kern w:val="0"/>
          <w:sz w:val="18"/>
          <w:szCs w:val="18"/>
          <w:lang w:val="es-CO" w:eastAsia="es-ES" w:bidi="ar-SA"/>
        </w:rPr>
        <w:t xml:space="preserve"> El total de pasos otorgados en cada categoría para el beneficio tarifa diferencial, en las estaciones de Peaje Los Manguitos, Mata de Caña y Cedros, son los siguientes:</w:t>
      </w:r>
    </w:p>
    <w:p w:rsidR="00B6656D" w:rsidRDefault="00000000">
      <w:pPr>
        <w:widowControl/>
        <w:ind w:left="708"/>
        <w:jc w:val="both"/>
        <w:textAlignment w:val="auto"/>
        <w:rPr>
          <w:rFonts w:ascii="Work Sans" w:hAnsi="Work Sans" w:cs="Arial"/>
          <w:i/>
          <w:iCs/>
          <w:spacing w:val="-3"/>
          <w:kern w:val="0"/>
          <w:sz w:val="18"/>
          <w:szCs w:val="18"/>
          <w:lang w:val="es-CO" w:eastAsia="es-ES" w:bidi="ar-SA"/>
        </w:rPr>
      </w:pPr>
      <w:r>
        <w:rPr>
          <w:rFonts w:ascii="Work Sans" w:hAnsi="Work Sans" w:cs="Arial"/>
          <w:i/>
          <w:iCs/>
          <w:spacing w:val="-3"/>
          <w:kern w:val="0"/>
          <w:sz w:val="18"/>
          <w:szCs w:val="18"/>
          <w:lang w:val="es-CO" w:eastAsia="es-ES" w:bidi="ar-SA"/>
        </w:rPr>
        <w:tab/>
      </w:r>
    </w:p>
    <w:tbl>
      <w:tblPr>
        <w:tblW w:w="8080" w:type="dxa"/>
        <w:jc w:val="right"/>
        <w:tblCellMar>
          <w:left w:w="10" w:type="dxa"/>
          <w:right w:w="10" w:type="dxa"/>
        </w:tblCellMar>
        <w:tblLook w:val="04A0" w:firstRow="1" w:lastRow="0" w:firstColumn="1" w:lastColumn="0" w:noHBand="0" w:noVBand="1"/>
      </w:tblPr>
      <w:tblGrid>
        <w:gridCol w:w="3828"/>
        <w:gridCol w:w="2268"/>
        <w:gridCol w:w="1984"/>
      </w:tblGrid>
      <w:tr w:rsidR="00B6656D">
        <w:tblPrEx>
          <w:tblCellMar>
            <w:top w:w="0" w:type="dxa"/>
            <w:bottom w:w="0" w:type="dxa"/>
          </w:tblCellMar>
        </w:tblPrEx>
        <w:trPr>
          <w:jc w:val="right"/>
        </w:trPr>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b/>
                <w:bCs/>
                <w:i/>
                <w:iCs/>
                <w:spacing w:val="-3"/>
                <w:kern w:val="0"/>
                <w:sz w:val="18"/>
                <w:szCs w:val="18"/>
                <w:lang w:val="es-CO" w:eastAsia="es-ES" w:bidi="ar-SA"/>
              </w:rPr>
            </w:pPr>
            <w:r>
              <w:rPr>
                <w:rFonts w:ascii="Work Sans" w:hAnsi="Work Sans" w:cs="Arial"/>
                <w:b/>
                <w:bCs/>
                <w:i/>
                <w:iCs/>
                <w:spacing w:val="-3"/>
                <w:kern w:val="0"/>
                <w:sz w:val="18"/>
                <w:szCs w:val="18"/>
                <w:lang w:val="es-CO" w:eastAsia="es-ES" w:bidi="ar-SA"/>
              </w:rPr>
              <w:t>ESTACIÓN DE PEAJE</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b/>
                <w:bCs/>
                <w:i/>
                <w:iCs/>
                <w:spacing w:val="-3"/>
                <w:kern w:val="0"/>
                <w:sz w:val="18"/>
                <w:szCs w:val="18"/>
                <w:lang w:val="es-CO" w:eastAsia="es-ES" w:bidi="ar-SA"/>
              </w:rPr>
            </w:pPr>
            <w:r>
              <w:rPr>
                <w:rFonts w:ascii="Work Sans" w:hAnsi="Work Sans" w:cs="Arial"/>
                <w:b/>
                <w:bCs/>
                <w:i/>
                <w:iCs/>
                <w:spacing w:val="-3"/>
                <w:kern w:val="0"/>
                <w:sz w:val="18"/>
                <w:szCs w:val="18"/>
                <w:lang w:val="es-CO" w:eastAsia="es-ES" w:bidi="ar-SA"/>
              </w:rPr>
              <w:t>TOTAL PASOS DIARIOS</w:t>
            </w:r>
          </w:p>
        </w:tc>
      </w:tr>
      <w:tr w:rsidR="00B6656D">
        <w:tblPrEx>
          <w:tblCellMar>
            <w:top w:w="0" w:type="dxa"/>
            <w:bottom w:w="0" w:type="dxa"/>
          </w:tblCellMar>
        </w:tblPrEx>
        <w:trPr>
          <w:jc w:val="right"/>
        </w:trPr>
        <w:tc>
          <w:tcPr>
            <w:tcW w:w="3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B6656D">
            <w:pPr>
              <w:widowControl/>
              <w:jc w:val="center"/>
              <w:textAlignment w:val="auto"/>
              <w:rPr>
                <w:rFonts w:ascii="Work Sans" w:hAnsi="Work Sans" w:cs="Arial"/>
                <w:b/>
                <w:bCs/>
                <w:i/>
                <w:iCs/>
                <w:spacing w:val="-3"/>
                <w:kern w:val="0"/>
                <w:sz w:val="18"/>
                <w:szCs w:val="18"/>
                <w:lang w:val="es-CO" w:eastAsia="es-ES" w:bidi="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b/>
                <w:bCs/>
                <w:i/>
                <w:iCs/>
                <w:spacing w:val="-3"/>
                <w:kern w:val="0"/>
                <w:sz w:val="18"/>
                <w:szCs w:val="18"/>
                <w:lang w:val="es-CO" w:eastAsia="es-ES" w:bidi="ar-SA"/>
              </w:rPr>
            </w:pPr>
            <w:r>
              <w:rPr>
                <w:rFonts w:ascii="Work Sans" w:hAnsi="Work Sans" w:cs="Arial"/>
                <w:b/>
                <w:bCs/>
                <w:i/>
                <w:iCs/>
                <w:spacing w:val="-3"/>
                <w:kern w:val="0"/>
                <w:sz w:val="18"/>
                <w:szCs w:val="18"/>
                <w:lang w:val="es-CO" w:eastAsia="es-ES" w:bidi="ar-SA"/>
              </w:rPr>
              <w:t>CATEGORÍAS 1E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b/>
                <w:bCs/>
                <w:i/>
                <w:iCs/>
                <w:spacing w:val="-3"/>
                <w:kern w:val="0"/>
                <w:sz w:val="18"/>
                <w:szCs w:val="18"/>
                <w:lang w:val="es-CO" w:eastAsia="es-ES" w:bidi="ar-SA"/>
              </w:rPr>
            </w:pPr>
            <w:r>
              <w:rPr>
                <w:rFonts w:ascii="Work Sans" w:hAnsi="Work Sans" w:cs="Arial"/>
                <w:b/>
                <w:bCs/>
                <w:i/>
                <w:iCs/>
                <w:spacing w:val="-3"/>
                <w:kern w:val="0"/>
                <w:sz w:val="18"/>
                <w:szCs w:val="18"/>
                <w:lang w:val="es-CO" w:eastAsia="es-ES" w:bidi="ar-SA"/>
              </w:rPr>
              <w:t>CATEGORÍAS 2E</w:t>
            </w:r>
          </w:p>
        </w:tc>
      </w:tr>
      <w:tr w:rsidR="00B6656D">
        <w:tblPrEx>
          <w:tblCellMar>
            <w:top w:w="0" w:type="dxa"/>
            <w:bottom w:w="0" w:type="dxa"/>
          </w:tblCellMar>
        </w:tblPrEx>
        <w:trPr>
          <w:jc w:val="right"/>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6D" w:rsidRDefault="00000000">
            <w:pPr>
              <w:widowControl/>
              <w:jc w:val="center"/>
              <w:textAlignment w:val="auto"/>
              <w:rPr>
                <w:rFonts w:ascii="Work Sans" w:hAnsi="Work Sans" w:cs="Arial"/>
                <w:i/>
                <w:iCs/>
                <w:spacing w:val="-3"/>
                <w:kern w:val="0"/>
                <w:sz w:val="18"/>
                <w:szCs w:val="18"/>
                <w:lang w:val="es-CO" w:eastAsia="es-ES" w:bidi="ar-SA"/>
              </w:rPr>
            </w:pPr>
            <w:r>
              <w:rPr>
                <w:rFonts w:ascii="Work Sans" w:hAnsi="Work Sans" w:cs="Arial"/>
                <w:i/>
                <w:iCs/>
                <w:spacing w:val="-3"/>
                <w:kern w:val="0"/>
                <w:sz w:val="18"/>
                <w:szCs w:val="18"/>
                <w:lang w:val="es-CO" w:eastAsia="es-ES" w:bidi="ar-SA"/>
              </w:rPr>
              <w:t>LOS MANGUITOS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6D" w:rsidRDefault="00000000">
            <w:pPr>
              <w:widowControl/>
              <w:jc w:val="center"/>
              <w:textAlignment w:val="auto"/>
              <w:rPr>
                <w:rFonts w:ascii="Work Sans" w:hAnsi="Work Sans" w:cs="Arial"/>
                <w:i/>
                <w:iCs/>
                <w:spacing w:val="-3"/>
                <w:kern w:val="0"/>
                <w:sz w:val="18"/>
                <w:szCs w:val="18"/>
                <w:lang w:val="es-CO" w:eastAsia="es-ES" w:bidi="ar-SA"/>
              </w:rPr>
            </w:pPr>
            <w:r>
              <w:rPr>
                <w:rFonts w:ascii="Work Sans" w:hAnsi="Work Sans" w:cs="Arial"/>
                <w:i/>
                <w:iCs/>
                <w:spacing w:val="-3"/>
                <w:kern w:val="0"/>
                <w:sz w:val="18"/>
                <w:szCs w:val="18"/>
                <w:lang w:val="es-CO" w:eastAsia="es-ES" w:bidi="ar-SA"/>
              </w:rPr>
              <w:t>264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6D" w:rsidRDefault="00000000">
            <w:pPr>
              <w:widowControl/>
              <w:jc w:val="center"/>
              <w:textAlignment w:val="auto"/>
              <w:rPr>
                <w:rFonts w:ascii="Work Sans" w:hAnsi="Work Sans" w:cs="Arial"/>
                <w:i/>
                <w:iCs/>
                <w:spacing w:val="-3"/>
                <w:kern w:val="0"/>
                <w:sz w:val="18"/>
                <w:szCs w:val="18"/>
                <w:lang w:val="es-CO" w:eastAsia="es-ES" w:bidi="ar-SA"/>
              </w:rPr>
            </w:pPr>
            <w:r>
              <w:rPr>
                <w:rFonts w:ascii="Work Sans" w:hAnsi="Work Sans" w:cs="Arial"/>
                <w:i/>
                <w:iCs/>
                <w:spacing w:val="-3"/>
                <w:kern w:val="0"/>
                <w:sz w:val="18"/>
                <w:szCs w:val="18"/>
                <w:lang w:val="es-CO" w:eastAsia="es-ES" w:bidi="ar-SA"/>
              </w:rPr>
              <w:t>36</w:t>
            </w:r>
          </w:p>
        </w:tc>
      </w:tr>
      <w:tr w:rsidR="00B6656D">
        <w:tblPrEx>
          <w:tblCellMar>
            <w:top w:w="0" w:type="dxa"/>
            <w:bottom w:w="0" w:type="dxa"/>
          </w:tblCellMar>
        </w:tblPrEx>
        <w:trPr>
          <w:jc w:val="right"/>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6D" w:rsidRDefault="00000000">
            <w:pPr>
              <w:widowControl/>
              <w:jc w:val="center"/>
              <w:textAlignment w:val="auto"/>
              <w:rPr>
                <w:rFonts w:ascii="Work Sans" w:hAnsi="Work Sans" w:cs="Arial"/>
                <w:i/>
                <w:iCs/>
                <w:spacing w:val="-3"/>
                <w:kern w:val="0"/>
                <w:sz w:val="18"/>
                <w:szCs w:val="18"/>
                <w:lang w:val="es-CO" w:eastAsia="es-ES" w:bidi="ar-SA"/>
              </w:rPr>
            </w:pPr>
            <w:r>
              <w:rPr>
                <w:rFonts w:ascii="Work Sans" w:hAnsi="Work Sans" w:cs="Arial"/>
                <w:i/>
                <w:iCs/>
                <w:spacing w:val="-3"/>
                <w:kern w:val="0"/>
                <w:sz w:val="18"/>
                <w:szCs w:val="18"/>
                <w:lang w:val="es-CO" w:eastAsia="es-ES" w:bidi="ar-SA"/>
              </w:rPr>
              <w:t>MATA DE CAÑA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6D" w:rsidRDefault="00000000">
            <w:pPr>
              <w:widowControl/>
              <w:jc w:val="center"/>
              <w:textAlignment w:val="auto"/>
              <w:rPr>
                <w:rFonts w:ascii="Work Sans" w:hAnsi="Work Sans" w:cs="Arial"/>
                <w:i/>
                <w:iCs/>
                <w:spacing w:val="-3"/>
                <w:kern w:val="0"/>
                <w:sz w:val="18"/>
                <w:szCs w:val="18"/>
                <w:lang w:val="es-CO" w:eastAsia="es-ES" w:bidi="ar-SA"/>
              </w:rPr>
            </w:pPr>
            <w:r>
              <w:rPr>
                <w:rFonts w:ascii="Work Sans" w:hAnsi="Work Sans" w:cs="Arial"/>
                <w:i/>
                <w:iCs/>
                <w:spacing w:val="-3"/>
                <w:kern w:val="0"/>
                <w:sz w:val="18"/>
                <w:szCs w:val="18"/>
                <w:lang w:val="es-CO" w:eastAsia="es-ES" w:bidi="ar-SA"/>
              </w:rPr>
              <w:t>150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6D" w:rsidRDefault="00000000">
            <w:pPr>
              <w:widowControl/>
              <w:jc w:val="center"/>
              <w:textAlignment w:val="auto"/>
              <w:rPr>
                <w:rFonts w:ascii="Work Sans" w:hAnsi="Work Sans" w:cs="Arial"/>
                <w:i/>
                <w:iCs/>
                <w:spacing w:val="-3"/>
                <w:kern w:val="0"/>
                <w:sz w:val="18"/>
                <w:szCs w:val="18"/>
                <w:lang w:val="es-CO" w:eastAsia="es-ES" w:bidi="ar-SA"/>
              </w:rPr>
            </w:pPr>
            <w:r>
              <w:rPr>
                <w:rFonts w:ascii="Work Sans" w:hAnsi="Work Sans" w:cs="Arial"/>
                <w:i/>
                <w:iCs/>
                <w:spacing w:val="-3"/>
                <w:kern w:val="0"/>
                <w:sz w:val="18"/>
                <w:szCs w:val="18"/>
                <w:lang w:val="es-CO" w:eastAsia="es-ES" w:bidi="ar-SA"/>
              </w:rPr>
              <w:t>100</w:t>
            </w:r>
          </w:p>
        </w:tc>
      </w:tr>
      <w:tr w:rsidR="00B6656D">
        <w:tblPrEx>
          <w:tblCellMar>
            <w:top w:w="0" w:type="dxa"/>
            <w:bottom w:w="0" w:type="dxa"/>
          </w:tblCellMar>
        </w:tblPrEx>
        <w:trPr>
          <w:jc w:val="right"/>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6D" w:rsidRDefault="00000000">
            <w:pPr>
              <w:widowControl/>
              <w:jc w:val="center"/>
              <w:textAlignment w:val="auto"/>
              <w:rPr>
                <w:rFonts w:ascii="Work Sans" w:hAnsi="Work Sans" w:cs="Arial"/>
                <w:i/>
                <w:iCs/>
                <w:spacing w:val="-3"/>
                <w:kern w:val="0"/>
                <w:sz w:val="18"/>
                <w:szCs w:val="18"/>
                <w:lang w:val="es-CO" w:eastAsia="es-ES" w:bidi="ar-SA"/>
              </w:rPr>
            </w:pPr>
            <w:r>
              <w:rPr>
                <w:rFonts w:ascii="Work Sans" w:hAnsi="Work Sans" w:cs="Arial"/>
                <w:i/>
                <w:iCs/>
                <w:spacing w:val="-3"/>
                <w:kern w:val="0"/>
                <w:sz w:val="18"/>
                <w:szCs w:val="18"/>
                <w:lang w:val="es-CO" w:eastAsia="es-ES" w:bidi="ar-SA"/>
              </w:rPr>
              <w:t>CEDROS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6D" w:rsidRDefault="00000000">
            <w:pPr>
              <w:widowControl/>
              <w:jc w:val="center"/>
              <w:textAlignment w:val="auto"/>
              <w:rPr>
                <w:rFonts w:ascii="Work Sans" w:hAnsi="Work Sans" w:cs="Arial"/>
                <w:i/>
                <w:iCs/>
                <w:spacing w:val="-3"/>
                <w:kern w:val="0"/>
                <w:sz w:val="18"/>
                <w:szCs w:val="18"/>
                <w:lang w:val="es-CO" w:eastAsia="es-ES" w:bidi="ar-SA"/>
              </w:rPr>
            </w:pPr>
            <w:r>
              <w:rPr>
                <w:rFonts w:ascii="Work Sans" w:hAnsi="Work Sans" w:cs="Arial"/>
                <w:i/>
                <w:iCs/>
                <w:spacing w:val="-3"/>
                <w:kern w:val="0"/>
                <w:sz w:val="18"/>
                <w:szCs w:val="18"/>
                <w:lang w:val="es-CO" w:eastAsia="es-ES" w:bidi="ar-SA"/>
              </w:rPr>
              <w:t>90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6D" w:rsidRDefault="00000000">
            <w:pPr>
              <w:widowControl/>
              <w:jc w:val="center"/>
              <w:textAlignment w:val="auto"/>
              <w:rPr>
                <w:rFonts w:ascii="Work Sans" w:hAnsi="Work Sans" w:cs="Arial"/>
                <w:i/>
                <w:iCs/>
                <w:spacing w:val="-3"/>
                <w:kern w:val="0"/>
                <w:sz w:val="18"/>
                <w:szCs w:val="18"/>
                <w:lang w:val="es-CO" w:eastAsia="es-ES" w:bidi="ar-SA"/>
              </w:rPr>
            </w:pPr>
            <w:r>
              <w:rPr>
                <w:rFonts w:ascii="Work Sans" w:hAnsi="Work Sans" w:cs="Arial"/>
                <w:i/>
                <w:iCs/>
                <w:spacing w:val="-3"/>
                <w:kern w:val="0"/>
                <w:sz w:val="18"/>
                <w:szCs w:val="18"/>
                <w:lang w:val="es-CO" w:eastAsia="es-ES" w:bidi="ar-SA"/>
              </w:rPr>
              <w:t>60</w:t>
            </w:r>
          </w:p>
        </w:tc>
      </w:tr>
    </w:tbl>
    <w:p w:rsidR="00B6656D" w:rsidRDefault="00B6656D">
      <w:pPr>
        <w:widowControl/>
        <w:ind w:left="708"/>
        <w:jc w:val="both"/>
        <w:textAlignment w:val="auto"/>
        <w:rPr>
          <w:rFonts w:ascii="Work Sans" w:hAnsi="Work Sans" w:cs="Arial"/>
          <w:i/>
          <w:iCs/>
          <w:spacing w:val="-3"/>
          <w:kern w:val="0"/>
          <w:sz w:val="18"/>
          <w:szCs w:val="18"/>
          <w:lang w:val="es-CO" w:eastAsia="es-ES" w:bidi="ar-SA"/>
        </w:rPr>
      </w:pPr>
    </w:p>
    <w:p w:rsidR="00B6656D" w:rsidRDefault="00000000">
      <w:pPr>
        <w:widowControl/>
        <w:ind w:left="708"/>
        <w:jc w:val="both"/>
        <w:textAlignment w:val="auto"/>
      </w:pPr>
      <w:r>
        <w:rPr>
          <w:rFonts w:ascii="Work Sans" w:hAnsi="Work Sans" w:cs="Arial"/>
          <w:b/>
          <w:bCs/>
          <w:i/>
          <w:iCs/>
          <w:spacing w:val="-3"/>
          <w:kern w:val="0"/>
          <w:sz w:val="18"/>
          <w:szCs w:val="18"/>
          <w:lang w:val="es-CO" w:eastAsia="es-ES" w:bidi="ar-SA"/>
        </w:rPr>
        <w:t>ARTÍCULO 2</w:t>
      </w:r>
      <w:r>
        <w:rPr>
          <w:rFonts w:ascii="Work Sans" w:hAnsi="Work Sans" w:cs="Arial"/>
          <w:i/>
          <w:iCs/>
          <w:spacing w:val="-3"/>
          <w:kern w:val="0"/>
          <w:sz w:val="18"/>
          <w:szCs w:val="18"/>
          <w:lang w:val="es-CO" w:eastAsia="es-ES" w:bidi="ar-SA"/>
        </w:rPr>
        <w:t>.- Establecer las siguientes tarifas diferenciales en las categorías 1 y 2 de la</w:t>
      </w:r>
    </w:p>
    <w:p w:rsidR="00B6656D" w:rsidRDefault="00000000">
      <w:pPr>
        <w:widowControl/>
        <w:ind w:left="708"/>
        <w:jc w:val="both"/>
        <w:textAlignment w:val="auto"/>
        <w:rPr>
          <w:rFonts w:ascii="Work Sans" w:hAnsi="Work Sans" w:cs="Arial"/>
          <w:i/>
          <w:iCs/>
          <w:spacing w:val="-3"/>
          <w:kern w:val="0"/>
          <w:sz w:val="18"/>
          <w:szCs w:val="18"/>
          <w:lang w:val="es-CO" w:eastAsia="es-ES" w:bidi="ar-SA"/>
        </w:rPr>
      </w:pPr>
      <w:r>
        <w:rPr>
          <w:rFonts w:ascii="Work Sans" w:hAnsi="Work Sans" w:cs="Arial"/>
          <w:i/>
          <w:iCs/>
          <w:spacing w:val="-3"/>
          <w:kern w:val="0"/>
          <w:sz w:val="18"/>
          <w:szCs w:val="18"/>
          <w:lang w:val="es-CO" w:eastAsia="es-ES" w:bidi="ar-SA"/>
        </w:rPr>
        <w:t xml:space="preserve">estación de peaje Purgatorio:” </w:t>
      </w:r>
    </w:p>
    <w:p w:rsidR="00B6656D" w:rsidRDefault="00B6656D">
      <w:pPr>
        <w:widowControl/>
        <w:ind w:left="708"/>
        <w:jc w:val="both"/>
        <w:textAlignment w:val="auto"/>
        <w:rPr>
          <w:rFonts w:ascii="Work Sans" w:hAnsi="Work Sans" w:cs="Arial"/>
          <w:i/>
          <w:iCs/>
          <w:spacing w:val="-3"/>
          <w:kern w:val="0"/>
          <w:sz w:val="18"/>
          <w:szCs w:val="18"/>
          <w:lang w:val="es-CO" w:eastAsia="es-ES" w:bidi="ar-SA"/>
        </w:rPr>
      </w:pPr>
    </w:p>
    <w:tbl>
      <w:tblPr>
        <w:tblW w:w="8172" w:type="dxa"/>
        <w:jc w:val="right"/>
        <w:tblCellMar>
          <w:left w:w="10" w:type="dxa"/>
          <w:right w:w="10" w:type="dxa"/>
        </w:tblCellMar>
        <w:tblLook w:val="04A0" w:firstRow="1" w:lastRow="0" w:firstColumn="1" w:lastColumn="0" w:noHBand="0" w:noVBand="1"/>
      </w:tblPr>
      <w:tblGrid>
        <w:gridCol w:w="1643"/>
        <w:gridCol w:w="2657"/>
        <w:gridCol w:w="1795"/>
        <w:gridCol w:w="2077"/>
      </w:tblGrid>
      <w:tr w:rsidR="00B6656D">
        <w:tblPrEx>
          <w:tblCellMar>
            <w:top w:w="0" w:type="dxa"/>
            <w:bottom w:w="0" w:type="dxa"/>
          </w:tblCellMar>
        </w:tblPrEx>
        <w:trPr>
          <w:jc w:val="right"/>
        </w:trPr>
        <w:tc>
          <w:tcPr>
            <w:tcW w:w="81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6D" w:rsidRDefault="00000000">
            <w:pPr>
              <w:widowControl/>
              <w:jc w:val="center"/>
              <w:textAlignment w:val="auto"/>
              <w:rPr>
                <w:rFonts w:ascii="Work Sans" w:hAnsi="Work Sans" w:cs="Arial"/>
                <w:b/>
                <w:i/>
                <w:spacing w:val="-3"/>
                <w:kern w:val="0"/>
                <w:sz w:val="18"/>
                <w:szCs w:val="18"/>
                <w:lang w:val="es-CO" w:eastAsia="es-ES" w:bidi="ar-SA"/>
              </w:rPr>
            </w:pPr>
            <w:r>
              <w:rPr>
                <w:rFonts w:ascii="Work Sans" w:hAnsi="Work Sans" w:cs="Arial"/>
                <w:b/>
                <w:i/>
                <w:spacing w:val="-3"/>
                <w:kern w:val="0"/>
                <w:sz w:val="18"/>
                <w:szCs w:val="18"/>
                <w:lang w:val="es-CO" w:eastAsia="es-ES" w:bidi="ar-SA"/>
              </w:rPr>
              <w:t>ESTACIÓN DE PEAJE PURGATORIO</w:t>
            </w:r>
          </w:p>
        </w:tc>
      </w:tr>
      <w:tr w:rsidR="00B6656D">
        <w:tblPrEx>
          <w:tblCellMar>
            <w:top w:w="0" w:type="dxa"/>
            <w:bottom w:w="0" w:type="dxa"/>
          </w:tblCellMar>
        </w:tblPrEx>
        <w:trPr>
          <w:jc w:val="right"/>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b/>
                <w:i/>
                <w:spacing w:val="-3"/>
                <w:kern w:val="0"/>
                <w:sz w:val="18"/>
                <w:szCs w:val="18"/>
                <w:lang w:val="es-CO" w:eastAsia="es-ES" w:bidi="ar-SA"/>
              </w:rPr>
            </w:pPr>
            <w:r>
              <w:rPr>
                <w:rFonts w:ascii="Work Sans" w:hAnsi="Work Sans" w:cs="Arial"/>
                <w:b/>
                <w:i/>
                <w:spacing w:val="-3"/>
                <w:kern w:val="0"/>
                <w:sz w:val="18"/>
                <w:szCs w:val="18"/>
                <w:lang w:val="es-CO" w:eastAsia="es-ES" w:bidi="ar-SA"/>
              </w:rPr>
              <w:t>CATEGORÍAS</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b/>
                <w:i/>
                <w:spacing w:val="-3"/>
                <w:kern w:val="0"/>
                <w:sz w:val="18"/>
                <w:szCs w:val="18"/>
                <w:lang w:val="es-CO" w:eastAsia="es-ES" w:bidi="ar-SA"/>
              </w:rPr>
            </w:pPr>
            <w:r>
              <w:rPr>
                <w:rFonts w:ascii="Work Sans" w:hAnsi="Work Sans" w:cs="Arial"/>
                <w:b/>
                <w:i/>
                <w:spacing w:val="-3"/>
                <w:kern w:val="0"/>
                <w:sz w:val="18"/>
                <w:szCs w:val="18"/>
                <w:lang w:val="es-CO" w:eastAsia="es-ES" w:bidi="ar-SA"/>
              </w:rPr>
              <w:t>DESCRIPCIÓN</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b/>
                <w:i/>
                <w:spacing w:val="-3"/>
                <w:kern w:val="0"/>
                <w:sz w:val="18"/>
                <w:szCs w:val="18"/>
                <w:lang w:val="es-CO" w:eastAsia="es-ES" w:bidi="ar-SA"/>
              </w:rPr>
            </w:pPr>
            <w:r>
              <w:rPr>
                <w:rFonts w:ascii="Work Sans" w:hAnsi="Work Sans" w:cs="Arial"/>
                <w:b/>
                <w:i/>
                <w:spacing w:val="-3"/>
                <w:kern w:val="0"/>
                <w:sz w:val="18"/>
                <w:szCs w:val="18"/>
                <w:lang w:val="es-CO" w:eastAsia="es-ES" w:bidi="ar-SA"/>
              </w:rPr>
              <w:t>TARIFAS 2019 (Incluye FOSEVI)</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b/>
                <w:i/>
                <w:spacing w:val="-3"/>
                <w:kern w:val="0"/>
                <w:sz w:val="18"/>
                <w:szCs w:val="18"/>
                <w:lang w:val="es-CO" w:eastAsia="es-ES" w:bidi="ar-SA"/>
              </w:rPr>
            </w:pPr>
            <w:r>
              <w:rPr>
                <w:rFonts w:ascii="Work Sans" w:hAnsi="Work Sans" w:cs="Arial"/>
                <w:b/>
                <w:i/>
                <w:spacing w:val="-3"/>
                <w:kern w:val="0"/>
                <w:sz w:val="18"/>
                <w:szCs w:val="18"/>
                <w:lang w:val="es-CO" w:eastAsia="es-ES" w:bidi="ar-SA"/>
              </w:rPr>
              <w:t>TOTAL PASOS DIARIOS OTORGADOS</w:t>
            </w:r>
          </w:p>
        </w:tc>
      </w:tr>
      <w:tr w:rsidR="00B6656D">
        <w:tblPrEx>
          <w:tblCellMar>
            <w:top w:w="0" w:type="dxa"/>
            <w:bottom w:w="0" w:type="dxa"/>
          </w:tblCellMar>
        </w:tblPrEx>
        <w:trPr>
          <w:trHeight w:val="452"/>
          <w:jc w:val="right"/>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Categoría 1E</w:t>
            </w:r>
          </w:p>
        </w:tc>
        <w:tc>
          <w:tcPr>
            <w:tcW w:w="26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Automóviles, camperos, camionetas, microbuses con ejes de llanta sencilla</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$7.600</w:t>
            </w:r>
          </w:p>
        </w:tc>
        <w:tc>
          <w:tcPr>
            <w:tcW w:w="20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ind w:right="-9"/>
              <w:jc w:val="center"/>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200</w:t>
            </w:r>
          </w:p>
        </w:tc>
      </w:tr>
      <w:tr w:rsidR="00B6656D">
        <w:tblPrEx>
          <w:tblCellMar>
            <w:top w:w="0" w:type="dxa"/>
            <w:bottom w:w="0" w:type="dxa"/>
          </w:tblCellMar>
        </w:tblPrEx>
        <w:trPr>
          <w:trHeight w:val="545"/>
          <w:jc w:val="right"/>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Categoría 1EE</w:t>
            </w:r>
          </w:p>
        </w:tc>
        <w:tc>
          <w:tcPr>
            <w:tcW w:w="2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B6656D">
            <w:pPr>
              <w:widowControl/>
              <w:jc w:val="center"/>
              <w:textAlignment w:val="auto"/>
              <w:rPr>
                <w:rFonts w:ascii="Work Sans" w:hAnsi="Work Sans" w:cs="Arial"/>
                <w:i/>
                <w:spacing w:val="-3"/>
                <w:kern w:val="0"/>
                <w:sz w:val="18"/>
                <w:szCs w:val="18"/>
                <w:lang w:val="es-CO" w:eastAsia="es-ES" w:bidi="ar-SA"/>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$2.200</w:t>
            </w:r>
          </w:p>
        </w:tc>
        <w:tc>
          <w:tcPr>
            <w:tcW w:w="20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B6656D">
            <w:pPr>
              <w:widowControl/>
              <w:jc w:val="center"/>
              <w:textAlignment w:val="auto"/>
              <w:rPr>
                <w:rFonts w:ascii="Work Sans" w:hAnsi="Work Sans" w:cs="Arial"/>
                <w:i/>
                <w:spacing w:val="-3"/>
                <w:kern w:val="0"/>
                <w:sz w:val="18"/>
                <w:szCs w:val="18"/>
                <w:lang w:val="es-CO" w:eastAsia="es-ES" w:bidi="ar-SA"/>
              </w:rPr>
            </w:pPr>
          </w:p>
        </w:tc>
      </w:tr>
      <w:tr w:rsidR="00B6656D">
        <w:tblPrEx>
          <w:tblCellMar>
            <w:top w:w="0" w:type="dxa"/>
            <w:bottom w:w="0" w:type="dxa"/>
          </w:tblCellMar>
        </w:tblPrEx>
        <w:trPr>
          <w:trHeight w:val="284"/>
          <w:jc w:val="right"/>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Categoría 2E</w:t>
            </w:r>
          </w:p>
        </w:tc>
        <w:tc>
          <w:tcPr>
            <w:tcW w:w="26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Buses, busetas, microbuses con eje trasero de doble llanta</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$11.200</w:t>
            </w:r>
          </w:p>
        </w:tc>
        <w:tc>
          <w:tcPr>
            <w:tcW w:w="20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140</w:t>
            </w:r>
          </w:p>
        </w:tc>
      </w:tr>
      <w:tr w:rsidR="00B6656D">
        <w:tblPrEx>
          <w:tblCellMar>
            <w:top w:w="0" w:type="dxa"/>
            <w:bottom w:w="0" w:type="dxa"/>
          </w:tblCellMar>
        </w:tblPrEx>
        <w:trPr>
          <w:jc w:val="right"/>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Categoría 2EE</w:t>
            </w:r>
          </w:p>
        </w:tc>
        <w:tc>
          <w:tcPr>
            <w:tcW w:w="2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B6656D">
            <w:pPr>
              <w:widowControl/>
              <w:jc w:val="center"/>
              <w:textAlignment w:val="auto"/>
              <w:rPr>
                <w:rFonts w:ascii="Work Sans" w:hAnsi="Work Sans" w:cs="Arial"/>
                <w:i/>
                <w:spacing w:val="-3"/>
                <w:kern w:val="0"/>
                <w:sz w:val="18"/>
                <w:szCs w:val="18"/>
                <w:lang w:val="es-CO" w:eastAsia="es-ES" w:bidi="ar-SA"/>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$200</w:t>
            </w:r>
          </w:p>
        </w:tc>
        <w:tc>
          <w:tcPr>
            <w:tcW w:w="20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B6656D">
            <w:pPr>
              <w:widowControl/>
              <w:jc w:val="center"/>
              <w:textAlignment w:val="auto"/>
              <w:rPr>
                <w:rFonts w:ascii="Work Sans" w:hAnsi="Work Sans" w:cs="Arial"/>
                <w:i/>
                <w:spacing w:val="-3"/>
                <w:kern w:val="0"/>
                <w:sz w:val="18"/>
                <w:szCs w:val="18"/>
                <w:lang w:val="es-CO" w:eastAsia="es-ES" w:bidi="ar-SA"/>
              </w:rPr>
            </w:pPr>
          </w:p>
        </w:tc>
      </w:tr>
    </w:tbl>
    <w:p w:rsidR="00B6656D" w:rsidRDefault="00B6656D">
      <w:pPr>
        <w:widowControl/>
        <w:ind w:left="708"/>
        <w:jc w:val="center"/>
        <w:textAlignment w:val="auto"/>
        <w:rPr>
          <w:rFonts w:ascii="Work Sans" w:hAnsi="Work Sans" w:cs="Arial"/>
          <w:i/>
          <w:iCs/>
          <w:spacing w:val="-3"/>
          <w:kern w:val="0"/>
          <w:sz w:val="18"/>
          <w:szCs w:val="18"/>
          <w:lang w:val="es-CO" w:eastAsia="es-ES" w:bidi="ar-SA"/>
        </w:rPr>
      </w:pPr>
    </w:p>
    <w:p w:rsidR="00B6656D" w:rsidRDefault="00000000">
      <w:pPr>
        <w:widowControl/>
        <w:ind w:left="708" w:right="481"/>
        <w:jc w:val="both"/>
        <w:textAlignment w:val="auto"/>
      </w:pPr>
      <w:r>
        <w:rPr>
          <w:rFonts w:ascii="Work Sans" w:hAnsi="Work Sans" w:cs="Arial"/>
          <w:b/>
          <w:bCs/>
          <w:i/>
          <w:iCs/>
          <w:spacing w:val="-3"/>
          <w:kern w:val="0"/>
          <w:sz w:val="18"/>
          <w:szCs w:val="18"/>
          <w:lang w:val="es-CO" w:eastAsia="es-ES" w:bidi="ar-SA"/>
        </w:rPr>
        <w:t>PARAGRAFO PRIMERO:</w:t>
      </w:r>
      <w:r>
        <w:rPr>
          <w:rFonts w:ascii="Work Sans" w:hAnsi="Work Sans" w:cs="Arial"/>
          <w:i/>
          <w:iCs/>
          <w:spacing w:val="-3"/>
          <w:kern w:val="0"/>
          <w:sz w:val="18"/>
          <w:szCs w:val="18"/>
          <w:lang w:val="es-CO" w:eastAsia="es-ES" w:bidi="ar-SA"/>
        </w:rPr>
        <w:t xml:space="preserve"> Las tarifas diferenciales para la categoría 1E y 2E previstas en el presente artículo, aplican para los vehículos vinculados a empresas debidamente habilitadas para prestar el servicio público de transporte terrestre automotor de pasajeros por carretera entre Montería y sus veredas rurales ubicadas sobre el corredor del Proyecto, en el área de influencia de la Estación de Peaje Purgatorio, a saber: Los Corrales, Casa Blanca, Mochilas, La Victoria, San Isidro, San Anterito, El Porvenir, Tres Palmas, entrada Nueva Ola, Tres Piedras, Parcelas de Costa de Oro, entrada a Maracayo, entrada a Guateque, Santa Fe, Betancí, Santa Isabel.</w:t>
      </w:r>
    </w:p>
    <w:p w:rsidR="00B6656D" w:rsidRDefault="00B6656D">
      <w:pPr>
        <w:widowControl/>
        <w:ind w:left="708" w:right="481"/>
        <w:jc w:val="both"/>
        <w:textAlignment w:val="auto"/>
        <w:rPr>
          <w:rFonts w:ascii="Work Sans" w:hAnsi="Work Sans" w:cs="Arial"/>
          <w:i/>
          <w:iCs/>
          <w:spacing w:val="-3"/>
          <w:kern w:val="0"/>
          <w:sz w:val="18"/>
          <w:szCs w:val="18"/>
          <w:lang w:val="es-CO" w:eastAsia="es-ES" w:bidi="ar-SA"/>
        </w:rPr>
      </w:pPr>
    </w:p>
    <w:p w:rsidR="00B6656D" w:rsidRDefault="00000000">
      <w:pPr>
        <w:widowControl/>
        <w:ind w:left="708" w:right="481"/>
        <w:jc w:val="both"/>
        <w:textAlignment w:val="auto"/>
      </w:pPr>
      <w:r>
        <w:rPr>
          <w:rFonts w:ascii="Work Sans" w:hAnsi="Work Sans" w:cs="Arial"/>
          <w:b/>
          <w:bCs/>
          <w:i/>
          <w:iCs/>
          <w:spacing w:val="-3"/>
          <w:kern w:val="0"/>
          <w:sz w:val="18"/>
          <w:szCs w:val="18"/>
          <w:lang w:val="es-CO" w:eastAsia="es-ES" w:bidi="ar-SA"/>
        </w:rPr>
        <w:t>PARÁGRAFO SEGUNDO:</w:t>
      </w:r>
      <w:r>
        <w:rPr>
          <w:rFonts w:ascii="Work Sans" w:hAnsi="Work Sans" w:cs="Arial"/>
          <w:i/>
          <w:iCs/>
          <w:spacing w:val="-3"/>
          <w:kern w:val="0"/>
          <w:sz w:val="18"/>
          <w:szCs w:val="18"/>
          <w:lang w:val="es-CO" w:eastAsia="es-ES" w:bidi="ar-SA"/>
        </w:rPr>
        <w:t xml:space="preserve"> Las tarifas diferenciales para la categoría 1EE y 2EE previstas en el presente artículo, aplican para los vehículos vinculados a empresas debidamente </w:t>
      </w:r>
      <w:r>
        <w:rPr>
          <w:rFonts w:ascii="Work Sans" w:hAnsi="Work Sans" w:cs="Arial"/>
          <w:i/>
          <w:iCs/>
          <w:spacing w:val="-3"/>
          <w:kern w:val="0"/>
          <w:sz w:val="18"/>
          <w:szCs w:val="18"/>
          <w:lang w:val="es-CO" w:eastAsia="es-ES" w:bidi="ar-SA"/>
        </w:rPr>
        <w:lastRenderedPageBreak/>
        <w:t>habilitadas para prestar el servicio público de transporte terrestre automotor colectivo e individual de pasajeros en vehículos taxi, que operen dentro de la jurisdicción del municipio de Montería (Metrosinú, Monteriana móvil).</w:t>
      </w:r>
    </w:p>
    <w:p w:rsidR="00B6656D" w:rsidRDefault="00B6656D">
      <w:pPr>
        <w:widowControl/>
        <w:ind w:left="708" w:right="481"/>
        <w:jc w:val="both"/>
        <w:textAlignment w:val="auto"/>
        <w:rPr>
          <w:rFonts w:ascii="Work Sans" w:hAnsi="Work Sans" w:cs="Arial"/>
          <w:i/>
          <w:iCs/>
          <w:spacing w:val="-3"/>
          <w:kern w:val="0"/>
          <w:sz w:val="18"/>
          <w:szCs w:val="18"/>
          <w:lang w:val="es-CO" w:eastAsia="es-ES" w:bidi="ar-SA"/>
        </w:rPr>
      </w:pPr>
    </w:p>
    <w:p w:rsidR="00B6656D" w:rsidRDefault="00000000">
      <w:pPr>
        <w:widowControl/>
        <w:ind w:left="708" w:right="481"/>
        <w:jc w:val="both"/>
        <w:textAlignment w:val="auto"/>
      </w:pPr>
      <w:r>
        <w:rPr>
          <w:rFonts w:ascii="Work Sans" w:hAnsi="Work Sans" w:cs="Arial"/>
          <w:b/>
          <w:bCs/>
          <w:i/>
          <w:iCs/>
          <w:spacing w:val="-3"/>
          <w:kern w:val="0"/>
          <w:sz w:val="18"/>
          <w:szCs w:val="18"/>
          <w:lang w:val="es-CO" w:eastAsia="es-ES" w:bidi="ar-SA"/>
        </w:rPr>
        <w:t xml:space="preserve">PARÁGRAFO TERCERO: </w:t>
      </w:r>
      <w:r>
        <w:rPr>
          <w:rFonts w:ascii="Work Sans" w:hAnsi="Work Sans" w:cs="Arial"/>
          <w:i/>
          <w:iCs/>
          <w:spacing w:val="-3"/>
          <w:kern w:val="0"/>
          <w:sz w:val="18"/>
          <w:szCs w:val="18"/>
          <w:lang w:val="es-CO" w:eastAsia="es-ES" w:bidi="ar-SA"/>
        </w:rPr>
        <w:t xml:space="preserve">Para mantener el beneficio de la tarifa diferencial otorgado en las categorías 1E y 2E, cada vehículo beneficiario deberá transitar por la respectiva estación de peaje con una frecuencia mínima de veinte (20) pasos al mes. </w:t>
      </w:r>
    </w:p>
    <w:p w:rsidR="00B6656D" w:rsidRDefault="00B6656D">
      <w:pPr>
        <w:widowControl/>
        <w:ind w:left="708" w:right="481"/>
        <w:jc w:val="both"/>
        <w:textAlignment w:val="auto"/>
        <w:rPr>
          <w:rFonts w:ascii="Work Sans" w:hAnsi="Work Sans" w:cs="Arial"/>
          <w:i/>
          <w:iCs/>
          <w:spacing w:val="-3"/>
          <w:kern w:val="0"/>
          <w:sz w:val="18"/>
          <w:szCs w:val="18"/>
          <w:lang w:val="es-CO" w:eastAsia="es-ES" w:bidi="ar-SA"/>
        </w:rPr>
      </w:pPr>
    </w:p>
    <w:p w:rsidR="00B6656D" w:rsidRDefault="00000000">
      <w:pPr>
        <w:widowControl/>
        <w:ind w:left="708" w:right="481"/>
        <w:jc w:val="both"/>
        <w:textAlignment w:val="auto"/>
      </w:pPr>
      <w:r>
        <w:rPr>
          <w:rFonts w:ascii="Work Sans" w:hAnsi="Work Sans" w:cs="Arial"/>
          <w:b/>
          <w:bCs/>
          <w:i/>
          <w:iCs/>
          <w:spacing w:val="-3"/>
          <w:kern w:val="0"/>
          <w:sz w:val="18"/>
          <w:szCs w:val="18"/>
          <w:lang w:val="es-CO" w:eastAsia="es-ES" w:bidi="ar-SA"/>
        </w:rPr>
        <w:t xml:space="preserve">PARÁGRAFO CUARTO: </w:t>
      </w:r>
      <w:r>
        <w:rPr>
          <w:rFonts w:ascii="Work Sans" w:hAnsi="Work Sans" w:cs="Arial"/>
          <w:i/>
          <w:iCs/>
          <w:spacing w:val="-3"/>
          <w:kern w:val="0"/>
          <w:sz w:val="18"/>
          <w:szCs w:val="18"/>
          <w:lang w:val="es-CO" w:eastAsia="es-ES" w:bidi="ar-SA"/>
        </w:rPr>
        <w:t xml:space="preserve">Para mantener el beneficio de la tarifa diferencial otorgado en las categorías 1EE y 2EE, cada vehículo beneficiario deberá transitar por la respectiva estación de peaje con una frecuencia mínima de veinte (20) pasos al mes, con excepción de los vehículos destinados a la prestación del servicio público de transporte terrestre automotor individual de pasajeros en vehículos taxi. </w:t>
      </w:r>
    </w:p>
    <w:p w:rsidR="00B6656D" w:rsidRDefault="00B6656D">
      <w:pPr>
        <w:widowControl/>
        <w:ind w:left="708" w:right="481"/>
        <w:jc w:val="both"/>
        <w:textAlignment w:val="auto"/>
        <w:rPr>
          <w:rFonts w:ascii="Work Sans" w:hAnsi="Work Sans" w:cs="Arial"/>
          <w:i/>
          <w:iCs/>
          <w:spacing w:val="-3"/>
          <w:kern w:val="0"/>
          <w:sz w:val="18"/>
          <w:szCs w:val="18"/>
          <w:lang w:val="es-CO" w:eastAsia="es-ES" w:bidi="ar-SA"/>
        </w:rPr>
      </w:pPr>
    </w:p>
    <w:p w:rsidR="00B6656D" w:rsidRDefault="00000000">
      <w:pPr>
        <w:widowControl/>
        <w:ind w:left="708" w:right="481"/>
        <w:jc w:val="both"/>
        <w:textAlignment w:val="auto"/>
        <w:rPr>
          <w:rFonts w:ascii="Work Sans" w:hAnsi="Work Sans" w:cs="Arial"/>
          <w:i/>
          <w:iCs/>
          <w:spacing w:val="-3"/>
          <w:kern w:val="0"/>
          <w:sz w:val="18"/>
          <w:szCs w:val="18"/>
          <w:lang w:val="es-CO" w:eastAsia="es-ES" w:bidi="ar-SA"/>
        </w:rPr>
      </w:pPr>
      <w:r>
        <w:rPr>
          <w:rFonts w:ascii="Work Sans" w:hAnsi="Work Sans" w:cs="Arial"/>
          <w:i/>
          <w:iCs/>
          <w:spacing w:val="-3"/>
          <w:kern w:val="0"/>
          <w:sz w:val="18"/>
          <w:szCs w:val="18"/>
          <w:lang w:val="es-CO" w:eastAsia="es-ES" w:bidi="ar-SA"/>
        </w:rPr>
        <w:t>[…]</w:t>
      </w:r>
    </w:p>
    <w:p w:rsidR="00B6656D" w:rsidRDefault="00B6656D">
      <w:pPr>
        <w:widowControl/>
        <w:ind w:left="708" w:right="481"/>
        <w:jc w:val="both"/>
        <w:textAlignment w:val="auto"/>
        <w:rPr>
          <w:rFonts w:ascii="Work Sans" w:hAnsi="Work Sans" w:cs="Arial"/>
          <w:i/>
          <w:iCs/>
          <w:spacing w:val="-3"/>
          <w:kern w:val="0"/>
          <w:sz w:val="18"/>
          <w:szCs w:val="18"/>
          <w:lang w:val="es-CO" w:eastAsia="es-ES" w:bidi="ar-SA"/>
        </w:rPr>
      </w:pPr>
    </w:p>
    <w:p w:rsidR="00B6656D" w:rsidRDefault="00000000">
      <w:pPr>
        <w:widowControl/>
        <w:ind w:left="708" w:right="481"/>
        <w:jc w:val="both"/>
        <w:textAlignment w:val="auto"/>
      </w:pPr>
      <w:r>
        <w:rPr>
          <w:rFonts w:ascii="Work Sans" w:hAnsi="Work Sans" w:cs="Arial"/>
          <w:b/>
          <w:bCs/>
          <w:i/>
          <w:iCs/>
          <w:spacing w:val="-3"/>
          <w:kern w:val="0"/>
          <w:sz w:val="18"/>
          <w:szCs w:val="18"/>
          <w:lang w:val="es-CO" w:eastAsia="es-ES" w:bidi="ar-SA"/>
        </w:rPr>
        <w:t>ARTÍCULO  4</w:t>
      </w:r>
      <w:r>
        <w:rPr>
          <w:rFonts w:ascii="Work Sans" w:hAnsi="Work Sans" w:cs="Arial"/>
          <w:i/>
          <w:iCs/>
          <w:spacing w:val="-3"/>
          <w:kern w:val="0"/>
          <w:sz w:val="18"/>
          <w:szCs w:val="18"/>
          <w:lang w:val="es-CO" w:eastAsia="es-ES" w:bidi="ar-SA"/>
        </w:rPr>
        <w:t>.- Establecer la siguiente tarifa diferencial en la categoría 1 de la estación de peaje Purgatorio, para los vehículos particulares de los habitantes del K12 (Las Pulgas, Loma Grande, Las Chispas I, Las Chispas II (La Gloria), Pueblo Verde, Palmitas, Los corrales), del K15 (El. Porvenir, Casa Blanca, Guateque, San Anterito, Hoyo Oscuro, Mochila, Santa Fé, Santa Isabel, San Isidro, La Victoria, Nueva Lucía, Buenos Aires, Patio Bonito) y de Carrizal:</w:t>
      </w:r>
    </w:p>
    <w:p w:rsidR="00B6656D" w:rsidRDefault="00B6656D">
      <w:pPr>
        <w:widowControl/>
        <w:ind w:left="708"/>
        <w:jc w:val="both"/>
        <w:textAlignment w:val="auto"/>
        <w:rPr>
          <w:rFonts w:ascii="Work Sans" w:hAnsi="Work Sans" w:cs="Arial"/>
          <w:i/>
          <w:iCs/>
          <w:spacing w:val="-3"/>
          <w:kern w:val="0"/>
          <w:sz w:val="18"/>
          <w:szCs w:val="18"/>
          <w:lang w:val="es-CO" w:eastAsia="es-ES" w:bidi="ar-SA"/>
        </w:rPr>
      </w:pPr>
    </w:p>
    <w:tbl>
      <w:tblPr>
        <w:tblW w:w="8073" w:type="dxa"/>
        <w:jc w:val="right"/>
        <w:tblCellMar>
          <w:left w:w="10" w:type="dxa"/>
          <w:right w:w="10" w:type="dxa"/>
        </w:tblCellMar>
        <w:tblLook w:val="04A0" w:firstRow="1" w:lastRow="0" w:firstColumn="1" w:lastColumn="0" w:noHBand="0" w:noVBand="1"/>
      </w:tblPr>
      <w:tblGrid>
        <w:gridCol w:w="1701"/>
        <w:gridCol w:w="2835"/>
        <w:gridCol w:w="1850"/>
        <w:gridCol w:w="1687"/>
      </w:tblGrid>
      <w:tr w:rsidR="00B6656D">
        <w:tblPrEx>
          <w:tblCellMar>
            <w:top w:w="0" w:type="dxa"/>
            <w:bottom w:w="0" w:type="dxa"/>
          </w:tblCellMar>
        </w:tblPrEx>
        <w:trPr>
          <w:jc w:val="right"/>
        </w:trPr>
        <w:tc>
          <w:tcPr>
            <w:tcW w:w="80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6D" w:rsidRDefault="00000000">
            <w:pPr>
              <w:widowControl/>
              <w:jc w:val="center"/>
              <w:textAlignment w:val="auto"/>
              <w:rPr>
                <w:rFonts w:ascii="Work Sans" w:hAnsi="Work Sans" w:cs="Arial"/>
                <w:b/>
                <w:i/>
                <w:spacing w:val="-3"/>
                <w:kern w:val="0"/>
                <w:sz w:val="18"/>
                <w:szCs w:val="18"/>
                <w:lang w:val="es-CO" w:eastAsia="es-ES" w:bidi="ar-SA"/>
              </w:rPr>
            </w:pPr>
            <w:r>
              <w:rPr>
                <w:rFonts w:ascii="Work Sans" w:hAnsi="Work Sans" w:cs="Arial"/>
                <w:b/>
                <w:i/>
                <w:spacing w:val="-3"/>
                <w:kern w:val="0"/>
                <w:sz w:val="18"/>
                <w:szCs w:val="18"/>
                <w:lang w:val="es-CO" w:eastAsia="es-ES" w:bidi="ar-SA"/>
              </w:rPr>
              <w:t>ESTACIÓN DE PEAJE PURGATORIO</w:t>
            </w:r>
          </w:p>
        </w:tc>
      </w:tr>
      <w:tr w:rsidR="00B6656D">
        <w:tblPrEx>
          <w:tblCellMar>
            <w:top w:w="0" w:type="dxa"/>
            <w:bottom w:w="0" w:type="dxa"/>
          </w:tblCellMar>
        </w:tblPrEx>
        <w:trPr>
          <w:jc w:val="right"/>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b/>
                <w:i/>
                <w:spacing w:val="-3"/>
                <w:kern w:val="0"/>
                <w:sz w:val="18"/>
                <w:szCs w:val="18"/>
                <w:lang w:val="es-CO" w:eastAsia="es-ES" w:bidi="ar-SA"/>
              </w:rPr>
            </w:pPr>
            <w:r>
              <w:rPr>
                <w:rFonts w:ascii="Work Sans" w:hAnsi="Work Sans" w:cs="Arial"/>
                <w:b/>
                <w:i/>
                <w:spacing w:val="-3"/>
                <w:kern w:val="0"/>
                <w:sz w:val="18"/>
                <w:szCs w:val="18"/>
                <w:lang w:val="es-CO" w:eastAsia="es-ES" w:bidi="ar-SA"/>
              </w:rPr>
              <w:t>CATEGORÍAS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b/>
                <w:i/>
                <w:spacing w:val="-3"/>
                <w:kern w:val="0"/>
                <w:sz w:val="18"/>
                <w:szCs w:val="18"/>
                <w:lang w:val="es-CO" w:eastAsia="es-ES" w:bidi="ar-SA"/>
              </w:rPr>
            </w:pPr>
            <w:r>
              <w:rPr>
                <w:rFonts w:ascii="Work Sans" w:hAnsi="Work Sans" w:cs="Arial"/>
                <w:b/>
                <w:i/>
                <w:spacing w:val="-3"/>
                <w:kern w:val="0"/>
                <w:sz w:val="18"/>
                <w:szCs w:val="18"/>
                <w:lang w:val="es-CO" w:eastAsia="es-ES" w:bidi="ar-SA"/>
              </w:rPr>
              <w:t>DESCRIPCIÓN</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b/>
                <w:i/>
                <w:spacing w:val="-3"/>
                <w:kern w:val="0"/>
                <w:sz w:val="18"/>
                <w:szCs w:val="18"/>
                <w:lang w:val="es-CO" w:eastAsia="es-ES" w:bidi="ar-SA"/>
              </w:rPr>
            </w:pPr>
            <w:r>
              <w:rPr>
                <w:rFonts w:ascii="Work Sans" w:hAnsi="Work Sans" w:cs="Arial"/>
                <w:b/>
                <w:i/>
                <w:spacing w:val="-3"/>
                <w:kern w:val="0"/>
                <w:sz w:val="18"/>
                <w:szCs w:val="18"/>
                <w:lang w:val="es-CO" w:eastAsia="es-ES" w:bidi="ar-SA"/>
              </w:rPr>
              <w:t>TARIFAS 2019 (Incluye FOSEVI)</w:t>
            </w: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b/>
                <w:i/>
                <w:spacing w:val="-3"/>
                <w:kern w:val="0"/>
                <w:sz w:val="18"/>
                <w:szCs w:val="18"/>
                <w:lang w:val="es-CO" w:eastAsia="es-ES" w:bidi="ar-SA"/>
              </w:rPr>
            </w:pPr>
            <w:r>
              <w:rPr>
                <w:rFonts w:ascii="Work Sans" w:hAnsi="Work Sans" w:cs="Arial"/>
                <w:b/>
                <w:i/>
                <w:spacing w:val="-3"/>
                <w:kern w:val="0"/>
                <w:sz w:val="18"/>
                <w:szCs w:val="18"/>
                <w:lang w:val="es-CO" w:eastAsia="es-ES" w:bidi="ar-SA"/>
              </w:rPr>
              <w:t>TOTAL CUPOS OTORGADOS</w:t>
            </w:r>
          </w:p>
        </w:tc>
      </w:tr>
      <w:tr w:rsidR="00B6656D">
        <w:tblPrEx>
          <w:tblCellMar>
            <w:top w:w="0" w:type="dxa"/>
            <w:bottom w:w="0" w:type="dxa"/>
          </w:tblCellMar>
        </w:tblPrEx>
        <w:trPr>
          <w:trHeight w:val="325"/>
          <w:jc w:val="right"/>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Categoría 1E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Automóviles, camperos, camionetas, microbuses con ejes de llanta sencilla</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$200</w:t>
            </w: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120</w:t>
            </w:r>
          </w:p>
        </w:tc>
      </w:tr>
    </w:tbl>
    <w:p w:rsidR="00B6656D" w:rsidRDefault="00B6656D">
      <w:pPr>
        <w:widowControl/>
        <w:ind w:left="708"/>
        <w:jc w:val="both"/>
        <w:textAlignment w:val="auto"/>
        <w:rPr>
          <w:rFonts w:ascii="Work Sans" w:hAnsi="Work Sans" w:cs="Arial"/>
          <w:i/>
          <w:iCs/>
          <w:spacing w:val="-3"/>
          <w:kern w:val="0"/>
          <w:sz w:val="18"/>
          <w:szCs w:val="18"/>
          <w:lang w:val="es-CO" w:eastAsia="es-ES" w:bidi="ar-SA"/>
        </w:rPr>
      </w:pPr>
    </w:p>
    <w:p w:rsidR="00B6656D" w:rsidRDefault="00000000">
      <w:pPr>
        <w:widowControl/>
        <w:ind w:left="708" w:right="481"/>
        <w:jc w:val="both"/>
        <w:textAlignment w:val="auto"/>
      </w:pPr>
      <w:r>
        <w:rPr>
          <w:rFonts w:ascii="Work Sans" w:hAnsi="Work Sans" w:cs="Arial"/>
          <w:b/>
          <w:bCs/>
          <w:i/>
          <w:iCs/>
          <w:spacing w:val="-3"/>
          <w:kern w:val="0"/>
          <w:sz w:val="18"/>
          <w:szCs w:val="18"/>
          <w:lang w:val="es-CO" w:eastAsia="es-ES" w:bidi="ar-SA"/>
        </w:rPr>
        <w:t xml:space="preserve">PARAGRAFO: </w:t>
      </w:r>
      <w:r>
        <w:rPr>
          <w:rFonts w:ascii="Work Sans" w:hAnsi="Work Sans" w:cs="Arial"/>
          <w:i/>
          <w:iCs/>
          <w:spacing w:val="-3"/>
          <w:kern w:val="0"/>
          <w:sz w:val="18"/>
          <w:szCs w:val="18"/>
          <w:lang w:val="es-CO" w:eastAsia="es-ES" w:bidi="ar-SA"/>
        </w:rPr>
        <w:t xml:space="preserve">Para mantener el beneficio de la tarifa especial en cualquiera de las categorías de las Estación de Peaje Purgatorio, el vehículo deberá transitar por la respectiva estación de peaje, con una frecuencia mínima de veinte (20) pasos al mes. </w:t>
      </w:r>
    </w:p>
    <w:p w:rsidR="00B6656D" w:rsidRDefault="00B6656D">
      <w:pPr>
        <w:widowControl/>
        <w:ind w:left="708" w:right="481"/>
        <w:jc w:val="both"/>
        <w:textAlignment w:val="auto"/>
        <w:rPr>
          <w:rFonts w:ascii="Work Sans" w:hAnsi="Work Sans" w:cs="Arial"/>
          <w:b/>
          <w:bCs/>
          <w:i/>
          <w:iCs/>
          <w:spacing w:val="-3"/>
          <w:kern w:val="0"/>
          <w:sz w:val="18"/>
          <w:szCs w:val="18"/>
          <w:lang w:val="es-CO" w:eastAsia="es-ES" w:bidi="ar-SA"/>
        </w:rPr>
      </w:pPr>
    </w:p>
    <w:p w:rsidR="00B6656D" w:rsidRDefault="00000000">
      <w:pPr>
        <w:widowControl/>
        <w:ind w:left="708" w:right="481"/>
        <w:jc w:val="both"/>
        <w:textAlignment w:val="auto"/>
      </w:pPr>
      <w:r>
        <w:rPr>
          <w:rFonts w:ascii="Work Sans" w:hAnsi="Work Sans" w:cs="Arial"/>
          <w:b/>
          <w:bCs/>
          <w:i/>
          <w:iCs/>
          <w:spacing w:val="-3"/>
          <w:kern w:val="0"/>
          <w:sz w:val="18"/>
          <w:szCs w:val="18"/>
          <w:lang w:val="es-CO" w:eastAsia="es-ES" w:bidi="ar-SA"/>
        </w:rPr>
        <w:t xml:space="preserve">ARTÍCULO 5.- </w:t>
      </w:r>
      <w:r>
        <w:rPr>
          <w:rFonts w:ascii="Work Sans" w:hAnsi="Work Sans" w:cs="Arial"/>
          <w:i/>
          <w:iCs/>
          <w:spacing w:val="-3"/>
          <w:kern w:val="0"/>
          <w:sz w:val="18"/>
          <w:szCs w:val="18"/>
          <w:lang w:val="es-CO" w:eastAsia="es-ES" w:bidi="ar-SA"/>
        </w:rPr>
        <w:t>Las tarifas diferenciales establecidas en la presente resolución incluyen el valor correspondiente al Fondo de Seguridad Vial -FOSEVI. En todo caso, si el FOSEVI se llegare a incrementar, dicho incremento se deberá adicionar a esta tarifa en el momento del cobro.</w:t>
      </w:r>
    </w:p>
    <w:p w:rsidR="00B6656D" w:rsidRDefault="00B6656D">
      <w:pPr>
        <w:widowControl/>
        <w:ind w:left="708" w:right="481"/>
        <w:jc w:val="both"/>
        <w:textAlignment w:val="auto"/>
        <w:rPr>
          <w:rFonts w:ascii="Work Sans" w:hAnsi="Work Sans" w:cs="Arial"/>
          <w:i/>
          <w:iCs/>
          <w:spacing w:val="-3"/>
          <w:kern w:val="0"/>
          <w:sz w:val="18"/>
          <w:szCs w:val="18"/>
          <w:lang w:val="es-CO" w:eastAsia="es-ES" w:bidi="ar-SA"/>
        </w:rPr>
      </w:pPr>
    </w:p>
    <w:p w:rsidR="00B6656D" w:rsidRDefault="00000000">
      <w:pPr>
        <w:widowControl/>
        <w:ind w:left="708" w:right="481"/>
        <w:jc w:val="both"/>
        <w:textAlignment w:val="auto"/>
      </w:pPr>
      <w:r>
        <w:rPr>
          <w:rFonts w:ascii="Work Sans" w:hAnsi="Work Sans" w:cs="Arial"/>
          <w:b/>
          <w:bCs/>
          <w:i/>
          <w:iCs/>
          <w:spacing w:val="-3"/>
          <w:kern w:val="0"/>
          <w:sz w:val="18"/>
          <w:szCs w:val="18"/>
          <w:lang w:val="es-CO" w:eastAsia="es-ES" w:bidi="ar-SA"/>
        </w:rPr>
        <w:t xml:space="preserve">ARTÍCULO 6.- </w:t>
      </w:r>
      <w:r>
        <w:rPr>
          <w:rFonts w:ascii="Work Sans" w:hAnsi="Work Sans" w:cs="Arial"/>
          <w:i/>
          <w:iCs/>
          <w:spacing w:val="-3"/>
          <w:kern w:val="0"/>
          <w:sz w:val="18"/>
          <w:szCs w:val="18"/>
          <w:lang w:val="es-CO" w:eastAsia="es-ES" w:bidi="ar-SA"/>
        </w:rPr>
        <w:t xml:space="preserve">Las tarifas diferenciales establecidas en la presente resolución serán actualizadas para el año 2020 y anualmente sin necesidad de acto administrativo, teniendo en cuenta los plazos y la fórmula de incremento prevista en el Contrato de Concesión No. 016 de 2015. En todo caso dicho incremento nunca será inferior a cien pesos ($100). </w:t>
      </w:r>
    </w:p>
    <w:p w:rsidR="00B6656D" w:rsidRDefault="00B6656D">
      <w:pPr>
        <w:widowControl/>
        <w:ind w:left="708" w:right="481"/>
        <w:jc w:val="both"/>
        <w:textAlignment w:val="auto"/>
        <w:rPr>
          <w:rFonts w:ascii="Work Sans" w:hAnsi="Work Sans" w:cs="Arial"/>
          <w:b/>
          <w:bCs/>
          <w:i/>
          <w:iCs/>
          <w:spacing w:val="-3"/>
          <w:kern w:val="0"/>
          <w:sz w:val="18"/>
          <w:szCs w:val="18"/>
          <w:lang w:val="es-CO" w:eastAsia="es-ES" w:bidi="ar-SA"/>
        </w:rPr>
      </w:pPr>
    </w:p>
    <w:p w:rsidR="00B6656D" w:rsidRDefault="00000000">
      <w:pPr>
        <w:widowControl/>
        <w:ind w:left="708" w:right="481"/>
        <w:jc w:val="both"/>
        <w:textAlignment w:val="auto"/>
      </w:pPr>
      <w:r>
        <w:rPr>
          <w:rFonts w:ascii="Work Sans" w:hAnsi="Work Sans" w:cs="Arial"/>
          <w:b/>
          <w:bCs/>
          <w:i/>
          <w:iCs/>
          <w:spacing w:val="-3"/>
          <w:kern w:val="0"/>
          <w:sz w:val="18"/>
          <w:szCs w:val="18"/>
          <w:lang w:val="es-CO" w:eastAsia="es-ES" w:bidi="ar-SA"/>
        </w:rPr>
        <w:t xml:space="preserve">ARTÍCULO 7.- </w:t>
      </w:r>
      <w:r>
        <w:rPr>
          <w:rFonts w:ascii="Work Sans" w:hAnsi="Work Sans" w:cs="Arial"/>
          <w:b/>
          <w:bCs/>
          <w:i/>
          <w:iCs/>
          <w:spacing w:val="-3"/>
          <w:kern w:val="0"/>
          <w:sz w:val="18"/>
          <w:szCs w:val="18"/>
          <w:u w:val="single"/>
          <w:lang w:val="es-CO" w:eastAsia="es-ES" w:bidi="ar-SA"/>
        </w:rPr>
        <w:t>Las tarifas diferenciales establecidas en la presente resolución para el servicio público de transporte, tendrán una vigencia hasta el treinta y uno (31) de diciembre de 2022, según la suficiencia de los mecanismos de compensación del contrato de concesión</w:t>
      </w:r>
      <w:r>
        <w:rPr>
          <w:rFonts w:ascii="Work Sans" w:hAnsi="Work Sans" w:cs="Arial"/>
          <w:i/>
          <w:iCs/>
          <w:spacing w:val="-3"/>
          <w:kern w:val="0"/>
          <w:sz w:val="18"/>
          <w:szCs w:val="18"/>
          <w:lang w:val="es-CO" w:eastAsia="es-ES" w:bidi="ar-SA"/>
        </w:rPr>
        <w:t xml:space="preserve">. </w:t>
      </w:r>
    </w:p>
    <w:p w:rsidR="00B6656D" w:rsidRDefault="00B6656D">
      <w:pPr>
        <w:widowControl/>
        <w:ind w:left="708" w:right="481"/>
        <w:jc w:val="both"/>
        <w:textAlignment w:val="auto"/>
        <w:rPr>
          <w:rFonts w:ascii="Work Sans" w:hAnsi="Work Sans" w:cs="Arial"/>
          <w:b/>
          <w:bCs/>
          <w:i/>
          <w:iCs/>
          <w:spacing w:val="-3"/>
          <w:kern w:val="0"/>
          <w:sz w:val="18"/>
          <w:szCs w:val="18"/>
          <w:lang w:val="es-CO" w:eastAsia="es-ES" w:bidi="ar-SA"/>
        </w:rPr>
      </w:pPr>
    </w:p>
    <w:p w:rsidR="00B6656D" w:rsidRDefault="00000000">
      <w:pPr>
        <w:widowControl/>
        <w:ind w:left="708" w:right="481"/>
        <w:jc w:val="both"/>
        <w:textAlignment w:val="auto"/>
      </w:pPr>
      <w:r>
        <w:rPr>
          <w:rFonts w:ascii="Work Sans" w:hAnsi="Work Sans" w:cs="Arial"/>
          <w:b/>
          <w:bCs/>
          <w:i/>
          <w:iCs/>
          <w:spacing w:val="-3"/>
          <w:kern w:val="0"/>
          <w:sz w:val="18"/>
          <w:szCs w:val="18"/>
          <w:lang w:val="es-CO" w:eastAsia="es-ES" w:bidi="ar-SA"/>
        </w:rPr>
        <w:t xml:space="preserve">ARTÍCULO 8.- </w:t>
      </w:r>
      <w:r>
        <w:rPr>
          <w:rFonts w:ascii="Work Sans" w:hAnsi="Work Sans" w:cs="Arial"/>
          <w:i/>
          <w:iCs/>
          <w:spacing w:val="-3"/>
          <w:kern w:val="0"/>
          <w:sz w:val="18"/>
          <w:szCs w:val="18"/>
          <w:lang w:val="es-CO" w:eastAsia="es-ES" w:bidi="ar-SA"/>
        </w:rPr>
        <w:t xml:space="preserve">La Agencia Nacional de Infraestructura fijará los requisitos para acreditar la calidad de beneficiario, el procedimiento para acceder al beneficio y las </w:t>
      </w:r>
      <w:r>
        <w:rPr>
          <w:rFonts w:ascii="Work Sans" w:hAnsi="Work Sans" w:cs="Arial"/>
          <w:i/>
          <w:iCs/>
          <w:spacing w:val="-3"/>
          <w:kern w:val="0"/>
          <w:sz w:val="18"/>
          <w:szCs w:val="18"/>
          <w:lang w:val="es-CO" w:eastAsia="es-ES" w:bidi="ar-SA"/>
        </w:rPr>
        <w:lastRenderedPageBreak/>
        <w:t>causales de pérdida del beneficio, de las tarifas diferenciales en las estaciones de peaje Caimanera y Manguitos, establecidas en la presente resolución.</w:t>
      </w:r>
    </w:p>
    <w:p w:rsidR="00B6656D" w:rsidRDefault="00B6656D">
      <w:pPr>
        <w:widowControl/>
        <w:ind w:left="708" w:right="481"/>
        <w:jc w:val="both"/>
        <w:textAlignment w:val="auto"/>
        <w:rPr>
          <w:rFonts w:ascii="Work Sans" w:hAnsi="Work Sans" w:cs="Arial"/>
          <w:i/>
          <w:iCs/>
          <w:spacing w:val="-3"/>
          <w:kern w:val="0"/>
          <w:sz w:val="18"/>
          <w:szCs w:val="18"/>
          <w:lang w:val="es-CO" w:eastAsia="es-ES" w:bidi="ar-SA"/>
        </w:rPr>
      </w:pPr>
    </w:p>
    <w:p w:rsidR="00B6656D" w:rsidRDefault="00000000">
      <w:pPr>
        <w:widowControl/>
        <w:ind w:left="708" w:right="481"/>
        <w:jc w:val="both"/>
        <w:textAlignment w:val="auto"/>
      </w:pPr>
      <w:r>
        <w:rPr>
          <w:rFonts w:ascii="Work Sans" w:hAnsi="Work Sans" w:cs="Arial"/>
          <w:b/>
          <w:bCs/>
          <w:i/>
          <w:iCs/>
          <w:spacing w:val="-3"/>
          <w:kern w:val="0"/>
          <w:sz w:val="18"/>
          <w:szCs w:val="18"/>
          <w:lang w:val="es-CO" w:eastAsia="es-ES" w:bidi="ar-SA"/>
        </w:rPr>
        <w:t xml:space="preserve">ARTÍCULO 9.- </w:t>
      </w:r>
      <w:r>
        <w:rPr>
          <w:rFonts w:ascii="Work Sans" w:hAnsi="Work Sans" w:cs="Arial"/>
          <w:i/>
          <w:iCs/>
          <w:spacing w:val="-3"/>
          <w:kern w:val="0"/>
          <w:sz w:val="18"/>
          <w:szCs w:val="18"/>
          <w:lang w:val="es-CO" w:eastAsia="es-ES" w:bidi="ar-SA"/>
        </w:rPr>
        <w:t xml:space="preserve">La Agencia Nacional de Infraestructura deberá proponer con suficiente antelación al Ministerio de Transporte una modificación y/o redistribución de los cupos y/o incremento del valor de las tarifas y demás condiciones previstas en la presente resolución, cuando advierta amenaza o insuficiencia de alguno de los mecanismos de compensación contemplados en el Contrato de Concesión No. 016 de 2015 que pueda impactar el equilibrio financiero del mismo.” </w:t>
      </w:r>
      <w:r>
        <w:rPr>
          <w:rFonts w:ascii="Work Sans" w:hAnsi="Work Sans" w:cs="Arial"/>
          <w:spacing w:val="-3"/>
          <w:kern w:val="0"/>
          <w:sz w:val="18"/>
          <w:szCs w:val="18"/>
          <w:lang w:val="es-CO" w:eastAsia="es-ES" w:bidi="ar-SA"/>
        </w:rPr>
        <w:t xml:space="preserve">(Negrilla y subrayado fuera de texto). </w:t>
      </w:r>
    </w:p>
    <w:p w:rsidR="00B6656D" w:rsidRDefault="00B6656D">
      <w:pPr>
        <w:widowControl/>
        <w:spacing w:line="276" w:lineRule="auto"/>
        <w:jc w:val="both"/>
        <w:textAlignment w:val="auto"/>
        <w:rPr>
          <w:rFonts w:ascii="Work Sans" w:hAnsi="Work Sans" w:cs="Arial"/>
          <w:i/>
          <w:iCs/>
          <w:spacing w:val="-3"/>
          <w:kern w:val="0"/>
          <w:sz w:val="18"/>
          <w:szCs w:val="18"/>
          <w:lang w:val="es-CO" w:eastAsia="es-ES" w:bidi="ar-SA"/>
        </w:rPr>
      </w:pPr>
    </w:p>
    <w:p w:rsidR="00B6656D" w:rsidRDefault="00000000">
      <w:pPr>
        <w:widowControl/>
        <w:spacing w:line="276" w:lineRule="auto"/>
        <w:ind w:left="426" w:right="481"/>
        <w:jc w:val="both"/>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 xml:space="preserve">Como puede evidenciarse, las tarifas diferenciales para las categorías 1 y 2 de servicio público de transporte en las estaciones de peaje Purgatorio, Manguitos, Mata de Caña y Cedros, fijadas en los artículos 1 y 2 de la Resolución No.000410 del 26 de febrero de 2020, tienen una vigencia hasta el 31 de diciembre de 2022; y los cupos de la tarifa diferencial para la categoría 1 de vehículos particulares en la estación de peaje Purgatorio, conforme al artículo 4, es de 120 cupos. </w:t>
      </w:r>
    </w:p>
    <w:p w:rsidR="00B6656D" w:rsidRDefault="00B6656D">
      <w:pPr>
        <w:widowControl/>
        <w:spacing w:line="276" w:lineRule="auto"/>
        <w:ind w:left="426" w:right="481"/>
        <w:jc w:val="both"/>
        <w:textAlignment w:val="auto"/>
        <w:rPr>
          <w:rFonts w:ascii="Work Sans" w:hAnsi="Work Sans" w:cs="Arial"/>
          <w:i/>
          <w:spacing w:val="-3"/>
          <w:kern w:val="0"/>
          <w:sz w:val="18"/>
          <w:szCs w:val="18"/>
          <w:lang w:val="es-ES_tradnl" w:eastAsia="es-ES" w:bidi="ar-SA"/>
        </w:rPr>
      </w:pPr>
    </w:p>
    <w:p w:rsidR="00B6656D" w:rsidRDefault="00000000">
      <w:pPr>
        <w:widowControl/>
        <w:spacing w:line="276" w:lineRule="auto"/>
        <w:ind w:left="426" w:right="481"/>
        <w:jc w:val="both"/>
        <w:textAlignment w:val="auto"/>
        <w:rPr>
          <w:rFonts w:ascii="Work Sans" w:hAnsi="Work Sans" w:cs="Arial"/>
          <w:i/>
          <w:spacing w:val="-3"/>
          <w:kern w:val="0"/>
          <w:sz w:val="18"/>
          <w:szCs w:val="18"/>
          <w:lang w:val="es-CO" w:eastAsia="es-ES" w:bidi="ar-SA"/>
        </w:rPr>
      </w:pPr>
      <w:r>
        <w:rPr>
          <w:rFonts w:ascii="Work Sans" w:hAnsi="Work Sans" w:cs="Arial"/>
          <w:i/>
          <w:spacing w:val="-3"/>
          <w:kern w:val="0"/>
          <w:sz w:val="18"/>
          <w:szCs w:val="18"/>
          <w:lang w:val="es-CO" w:eastAsia="es-ES" w:bidi="ar-SA"/>
        </w:rPr>
        <w:t>Teniendo en cuenta los antecedentes descritos, a continuación, se expondrán las razones que justifican la expedición del acto administrativo que amplie vigencia de las tarifas diferenciales fijadas en los artículos 1 y 2 de la Resolución No.000410 del 26 de febrero de 2020, para las estaciones de peaje Purgatorio, Manguitos, Mata de Caña y Cedros; y amplie los cupos establecidos en el artículo 4 de la citada resolución, en la estación de peaje Purgatorio, así:</w:t>
      </w:r>
    </w:p>
    <w:p w:rsidR="00B6656D" w:rsidRDefault="00B6656D">
      <w:pPr>
        <w:widowControl/>
        <w:spacing w:line="276" w:lineRule="auto"/>
        <w:jc w:val="both"/>
        <w:textAlignment w:val="auto"/>
        <w:rPr>
          <w:rFonts w:ascii="Work Sans" w:hAnsi="Work Sans" w:cs="Arial"/>
          <w:spacing w:val="-3"/>
          <w:kern w:val="0"/>
          <w:sz w:val="18"/>
          <w:szCs w:val="18"/>
          <w:lang w:val="es-CO" w:eastAsia="es-ES" w:bidi="ar-SA"/>
        </w:rPr>
      </w:pPr>
    </w:p>
    <w:p w:rsidR="00B6656D" w:rsidRDefault="00000000">
      <w:pPr>
        <w:widowControl/>
        <w:numPr>
          <w:ilvl w:val="0"/>
          <w:numId w:val="20"/>
        </w:numPr>
        <w:spacing w:line="276" w:lineRule="auto"/>
        <w:ind w:left="426" w:right="481" w:firstLine="0"/>
        <w:jc w:val="both"/>
        <w:textAlignment w:val="auto"/>
      </w:pPr>
      <w:r>
        <w:rPr>
          <w:rFonts w:ascii="Work Sans" w:hAnsi="Work Sans" w:cs="Arial"/>
          <w:b/>
          <w:i/>
          <w:kern w:val="0"/>
          <w:sz w:val="18"/>
          <w:szCs w:val="18"/>
          <w:lang w:val="es-ES_tradnl" w:eastAsia="es-ES" w:bidi="ar-SA"/>
        </w:rPr>
        <w:t>Aspectos Sociales</w:t>
      </w:r>
      <w:r>
        <w:rPr>
          <w:rFonts w:ascii="Work Sans" w:eastAsia="DengXian Light" w:hAnsi="Work Sans" w:cs="Arial"/>
          <w:b/>
          <w:bCs/>
          <w:i/>
          <w:kern w:val="0"/>
          <w:sz w:val="18"/>
          <w:szCs w:val="18"/>
          <w:lang w:val="es-ES_tradnl" w:eastAsia="es-ES" w:bidi="ar-SA"/>
        </w:rPr>
        <w:t xml:space="preserve">. </w:t>
      </w:r>
    </w:p>
    <w:p w:rsidR="00B6656D" w:rsidRDefault="00B6656D">
      <w:pPr>
        <w:widowControl/>
        <w:spacing w:line="276" w:lineRule="auto"/>
        <w:ind w:left="426" w:right="481"/>
        <w:jc w:val="both"/>
        <w:textAlignment w:val="auto"/>
        <w:rPr>
          <w:rFonts w:ascii="Work Sans" w:hAnsi="Work Sans" w:cs="Arial"/>
          <w:bCs/>
          <w:i/>
          <w:kern w:val="0"/>
          <w:sz w:val="18"/>
          <w:szCs w:val="18"/>
          <w:shd w:val="clear" w:color="auto" w:fill="FFFF00"/>
          <w:lang w:val="es-ES_tradnl" w:eastAsia="es-ES" w:bidi="ar-SA"/>
        </w:rPr>
      </w:pPr>
    </w:p>
    <w:p w:rsidR="00B6656D" w:rsidRDefault="00000000">
      <w:pPr>
        <w:widowControl/>
        <w:spacing w:line="276" w:lineRule="auto"/>
        <w:ind w:left="426" w:right="481"/>
        <w:jc w:val="both"/>
        <w:textAlignment w:val="auto"/>
        <w:rPr>
          <w:rFonts w:ascii="Work Sans" w:eastAsia="Arial Narrow" w:hAnsi="Work Sans" w:cs="Arial"/>
          <w:i/>
          <w:kern w:val="0"/>
          <w:sz w:val="18"/>
          <w:szCs w:val="18"/>
          <w:lang w:val="es-CO" w:eastAsia="es-ES" w:bidi="ar-SA"/>
        </w:rPr>
      </w:pPr>
      <w:r>
        <w:rPr>
          <w:rFonts w:ascii="Work Sans" w:eastAsia="Arial Narrow" w:hAnsi="Work Sans" w:cs="Arial"/>
          <w:i/>
          <w:kern w:val="0"/>
          <w:sz w:val="18"/>
          <w:szCs w:val="18"/>
          <w:lang w:val="es-CO" w:eastAsia="es-ES" w:bidi="ar-SA"/>
        </w:rPr>
        <w:t xml:space="preserve">Teniendo en cuenta la buena aceptación de las tarifas diferenciales en los peajes de Purgatorio, Manguitos, Mata de Caña y </w:t>
      </w:r>
      <w:bookmarkStart w:id="0" w:name="_Int_68DroMkY"/>
      <w:bookmarkStart w:id="1" w:name="_Int_N14sbp47"/>
      <w:r>
        <w:rPr>
          <w:rFonts w:ascii="Work Sans" w:eastAsia="Arial Narrow" w:hAnsi="Work Sans" w:cs="Arial"/>
          <w:i/>
          <w:kern w:val="0"/>
          <w:sz w:val="18"/>
          <w:szCs w:val="18"/>
          <w:lang w:val="es-CO" w:eastAsia="es-ES" w:bidi="ar-SA"/>
        </w:rPr>
        <w:t>Cedros; así</w:t>
      </w:r>
      <w:bookmarkEnd w:id="0"/>
      <w:bookmarkEnd w:id="1"/>
      <w:r>
        <w:rPr>
          <w:rFonts w:ascii="Work Sans" w:eastAsia="Arial Narrow" w:hAnsi="Work Sans" w:cs="Arial"/>
          <w:i/>
          <w:kern w:val="0"/>
          <w:sz w:val="18"/>
          <w:szCs w:val="18"/>
          <w:lang w:val="es-CO" w:eastAsia="es-ES" w:bidi="ar-SA"/>
        </w:rPr>
        <w:t xml:space="preserve"> como, lo ocurrido en la instalación del peaje la Caimanera en el sector Palo blanco, donde la comunidad, junto con las entidades departamentales y municipales han manifestado su oposición al peaje; situación que  ha generado un clima social desfavorable para el proyecto,  donde las comunidades de Tolú han realizado a </w:t>
      </w:r>
      <w:bookmarkStart w:id="2" w:name="_Int_AkPDVX1u"/>
      <w:r>
        <w:rPr>
          <w:rFonts w:ascii="Work Sans" w:eastAsia="Arial Narrow" w:hAnsi="Work Sans" w:cs="Arial"/>
          <w:i/>
          <w:kern w:val="0"/>
          <w:sz w:val="18"/>
          <w:szCs w:val="18"/>
          <w:lang w:val="es-CO" w:eastAsia="es-ES" w:bidi="ar-SA"/>
        </w:rPr>
        <w:t>través</w:t>
      </w:r>
      <w:bookmarkEnd w:id="2"/>
      <w:r>
        <w:rPr>
          <w:rFonts w:ascii="Work Sans" w:eastAsia="Arial Narrow" w:hAnsi="Work Sans" w:cs="Arial"/>
          <w:i/>
          <w:kern w:val="0"/>
          <w:sz w:val="18"/>
          <w:szCs w:val="18"/>
          <w:lang w:val="es-CO" w:eastAsia="es-ES" w:bidi="ar-SA"/>
        </w:rPr>
        <w:t xml:space="preserve"> de vías de hecho acciones en contra del peaje y que tiene un impacto en todos los demás peajes del proyecto, como se relaciona en el informe adjunto donde se realiza una trazabilidad social de lo sucedido en el  peaje la Caimanera. </w:t>
      </w:r>
    </w:p>
    <w:p w:rsidR="00B6656D" w:rsidRDefault="00B6656D">
      <w:pPr>
        <w:widowControl/>
        <w:spacing w:line="276" w:lineRule="auto"/>
        <w:ind w:left="426" w:right="481"/>
        <w:jc w:val="both"/>
        <w:textAlignment w:val="auto"/>
        <w:rPr>
          <w:rFonts w:ascii="Work Sans" w:eastAsia="Arial Narrow" w:hAnsi="Work Sans" w:cs="Arial"/>
          <w:i/>
          <w:kern w:val="0"/>
          <w:sz w:val="18"/>
          <w:szCs w:val="18"/>
          <w:lang w:val="es-CO" w:eastAsia="es-ES" w:bidi="ar-SA"/>
        </w:rPr>
      </w:pPr>
    </w:p>
    <w:p w:rsidR="00B6656D" w:rsidRDefault="00000000">
      <w:pPr>
        <w:widowControl/>
        <w:spacing w:line="276" w:lineRule="auto"/>
        <w:ind w:left="426" w:right="481"/>
        <w:jc w:val="both"/>
        <w:textAlignment w:val="auto"/>
        <w:rPr>
          <w:rFonts w:ascii="Work Sans" w:eastAsia="Arial Narrow" w:hAnsi="Work Sans" w:cs="Arial"/>
          <w:i/>
          <w:kern w:val="0"/>
          <w:sz w:val="18"/>
          <w:szCs w:val="18"/>
          <w:lang w:val="es-CO" w:eastAsia="es-ES" w:bidi="ar-SA"/>
        </w:rPr>
      </w:pPr>
      <w:r>
        <w:rPr>
          <w:rFonts w:ascii="Work Sans" w:eastAsia="Arial Narrow" w:hAnsi="Work Sans" w:cs="Arial"/>
          <w:i/>
          <w:kern w:val="0"/>
          <w:sz w:val="18"/>
          <w:szCs w:val="18"/>
          <w:lang w:val="es-CO" w:eastAsia="es-ES" w:bidi="ar-SA"/>
        </w:rPr>
        <w:t>Situación que ha llamado la atención de los líderes y gobernantes de los departamentos del área de influencia del proyecto (Córdoba, Sucre y Bolívar) y generó la atención de las comunidades aledañas a los demás peajes del proyecto, sin embargo, estas comunidades hoy están tranquilas porque los peajes a los que tienen acceso gozan de tarifas diferencial para servicio público, y otros como el de Purgatorio tienen tarifas para particulares adicionalmente.</w:t>
      </w:r>
    </w:p>
    <w:p w:rsidR="00B6656D" w:rsidRDefault="00B6656D">
      <w:pPr>
        <w:widowControl/>
        <w:spacing w:line="276" w:lineRule="auto"/>
        <w:ind w:left="426" w:right="481"/>
        <w:jc w:val="both"/>
        <w:textAlignment w:val="auto"/>
        <w:rPr>
          <w:rFonts w:ascii="Work Sans" w:eastAsia="Arial Narrow" w:hAnsi="Work Sans" w:cs="Arial"/>
          <w:i/>
          <w:kern w:val="0"/>
          <w:sz w:val="18"/>
          <w:szCs w:val="18"/>
          <w:lang w:val="es-CO" w:eastAsia="es-ES" w:bidi="ar-SA"/>
        </w:rPr>
      </w:pPr>
    </w:p>
    <w:p w:rsidR="00B6656D" w:rsidRDefault="00000000">
      <w:pPr>
        <w:widowControl/>
        <w:spacing w:line="276" w:lineRule="auto"/>
        <w:ind w:left="426" w:right="481"/>
        <w:jc w:val="both"/>
        <w:textAlignment w:val="auto"/>
        <w:rPr>
          <w:rFonts w:ascii="Work Sans" w:eastAsia="Arial Narrow" w:hAnsi="Work Sans" w:cs="Arial"/>
          <w:i/>
          <w:kern w:val="0"/>
          <w:sz w:val="18"/>
          <w:szCs w:val="18"/>
          <w:lang w:val="es-CO" w:eastAsia="es-ES" w:bidi="ar-SA"/>
        </w:rPr>
      </w:pPr>
      <w:r>
        <w:rPr>
          <w:rFonts w:ascii="Work Sans" w:eastAsia="Arial Narrow" w:hAnsi="Work Sans" w:cs="Arial"/>
          <w:i/>
          <w:kern w:val="0"/>
          <w:sz w:val="18"/>
          <w:szCs w:val="18"/>
          <w:lang w:val="es-CO" w:eastAsia="es-ES" w:bidi="ar-SA"/>
        </w:rPr>
        <w:t>Asi las cosas, es necesario que se sigan manteniendo las tarifas especiales en los peajes del proyecto con el fin de generar incentivos sociales que beneficien a las comunidades.</w:t>
      </w:r>
    </w:p>
    <w:p w:rsidR="00B6656D" w:rsidRDefault="00B6656D">
      <w:pPr>
        <w:widowControl/>
        <w:spacing w:line="276" w:lineRule="auto"/>
        <w:ind w:left="426" w:right="481"/>
        <w:jc w:val="both"/>
        <w:textAlignment w:val="auto"/>
        <w:rPr>
          <w:rFonts w:ascii="Work Sans" w:hAnsi="Work Sans" w:cs="Arial"/>
          <w:bCs/>
          <w:i/>
          <w:kern w:val="0"/>
          <w:sz w:val="18"/>
          <w:szCs w:val="18"/>
          <w:shd w:val="clear" w:color="auto" w:fill="FFFF00"/>
          <w:lang w:val="es-ES_tradnl" w:eastAsia="es-ES" w:bidi="ar-SA"/>
        </w:rPr>
      </w:pPr>
    </w:p>
    <w:p w:rsidR="00B6656D" w:rsidRDefault="00000000">
      <w:pPr>
        <w:widowControl/>
        <w:numPr>
          <w:ilvl w:val="0"/>
          <w:numId w:val="20"/>
        </w:numPr>
        <w:spacing w:line="276" w:lineRule="auto"/>
        <w:ind w:left="426" w:right="481" w:firstLine="0"/>
        <w:jc w:val="both"/>
        <w:textAlignment w:val="auto"/>
      </w:pPr>
      <w:r>
        <w:rPr>
          <w:rFonts w:ascii="Work Sans" w:hAnsi="Work Sans" w:cs="Arial"/>
          <w:b/>
          <w:i/>
          <w:kern w:val="0"/>
          <w:sz w:val="18"/>
          <w:szCs w:val="18"/>
          <w:lang w:val="es-ES_tradnl" w:eastAsia="es-ES" w:bidi="ar-SA"/>
        </w:rPr>
        <w:lastRenderedPageBreak/>
        <w:t>Aspectos de Riesgos</w:t>
      </w:r>
      <w:r>
        <w:rPr>
          <w:rFonts w:ascii="Work Sans" w:eastAsia="DengXian Light" w:hAnsi="Work Sans" w:cs="Arial"/>
          <w:b/>
          <w:bCs/>
          <w:i/>
          <w:kern w:val="0"/>
          <w:sz w:val="18"/>
          <w:szCs w:val="18"/>
          <w:lang w:val="es-ES_tradnl" w:eastAsia="es-ES" w:bidi="ar-SA"/>
        </w:rPr>
        <w:t xml:space="preserve">. </w:t>
      </w:r>
    </w:p>
    <w:p w:rsidR="00B6656D" w:rsidRDefault="00B6656D">
      <w:pPr>
        <w:widowControl/>
        <w:spacing w:line="276" w:lineRule="auto"/>
        <w:ind w:left="426" w:right="481"/>
        <w:jc w:val="both"/>
        <w:textAlignment w:val="auto"/>
        <w:rPr>
          <w:rFonts w:ascii="Work Sans" w:hAnsi="Work Sans" w:cs="Arial"/>
          <w:bCs/>
          <w:i/>
          <w:kern w:val="0"/>
          <w:sz w:val="18"/>
          <w:szCs w:val="18"/>
          <w:lang w:val="es-ES_tradnl" w:eastAsia="es-ES" w:bidi="ar-SA"/>
        </w:rPr>
      </w:pPr>
    </w:p>
    <w:p w:rsidR="00B6656D" w:rsidRDefault="00000000">
      <w:pPr>
        <w:widowControl/>
        <w:spacing w:line="276" w:lineRule="auto"/>
        <w:ind w:left="426" w:right="481"/>
        <w:jc w:val="both"/>
        <w:textAlignment w:val="auto"/>
      </w:pPr>
      <w:r>
        <w:rPr>
          <w:rFonts w:ascii="Work Sans" w:hAnsi="Work Sans" w:cs="Arial"/>
          <w:bCs/>
          <w:i/>
          <w:kern w:val="0"/>
          <w:sz w:val="18"/>
          <w:szCs w:val="18"/>
          <w:lang w:val="es-ES_tradnl" w:eastAsia="es-ES" w:bidi="ar-SA"/>
        </w:rPr>
        <w:t>De acuerdo con el memorado de radicado No.</w:t>
      </w:r>
      <w:r>
        <w:rPr>
          <w:rFonts w:ascii="Work Sans" w:hAnsi="Work Sans" w:cs="Times New Roman"/>
          <w:i/>
          <w:kern w:val="0"/>
          <w:sz w:val="18"/>
          <w:szCs w:val="18"/>
          <w:lang w:val="es-CO" w:eastAsia="es-ES" w:bidi="ar-SA"/>
        </w:rPr>
        <w:t xml:space="preserve"> </w:t>
      </w:r>
      <w:r>
        <w:rPr>
          <w:rFonts w:ascii="Work Sans" w:hAnsi="Work Sans" w:cs="Arial"/>
          <w:bCs/>
          <w:i/>
          <w:kern w:val="0"/>
          <w:sz w:val="18"/>
          <w:szCs w:val="18"/>
          <w:lang w:val="es-ES_tradnl" w:eastAsia="es-ES" w:bidi="ar-SA"/>
        </w:rPr>
        <w:t>20226020148513 del 01 de diciembre de 2022, el GIT de Riesgos de la Agencia, se pronunció en los siguientes términos:</w:t>
      </w:r>
    </w:p>
    <w:p w:rsidR="00B6656D" w:rsidRDefault="00B6656D">
      <w:pPr>
        <w:widowControl/>
        <w:spacing w:line="276" w:lineRule="auto"/>
        <w:ind w:left="426" w:right="481"/>
        <w:jc w:val="both"/>
        <w:textAlignment w:val="auto"/>
        <w:rPr>
          <w:rFonts w:ascii="Work Sans" w:hAnsi="Work Sans" w:cs="Arial"/>
          <w:bCs/>
          <w:i/>
          <w:kern w:val="0"/>
          <w:sz w:val="18"/>
          <w:szCs w:val="18"/>
          <w:lang w:val="es-ES_tradnl" w:eastAsia="es-ES" w:bidi="ar-SA"/>
        </w:rPr>
      </w:pPr>
    </w:p>
    <w:p w:rsidR="00B6656D" w:rsidRDefault="00000000">
      <w:pPr>
        <w:widowControl/>
        <w:ind w:left="708" w:right="623"/>
        <w:jc w:val="both"/>
        <w:textAlignment w:val="auto"/>
        <w:rPr>
          <w:rFonts w:ascii="Work Sans" w:hAnsi="Work Sans" w:cs="Arial"/>
          <w:i/>
          <w:iCs/>
          <w:kern w:val="0"/>
          <w:sz w:val="18"/>
          <w:szCs w:val="18"/>
          <w:lang w:val="es-CO" w:eastAsia="es-ES" w:bidi="ar-SA"/>
        </w:rPr>
      </w:pPr>
      <w:r>
        <w:rPr>
          <w:rFonts w:ascii="Work Sans" w:hAnsi="Work Sans" w:cs="Arial"/>
          <w:i/>
          <w:iCs/>
          <w:kern w:val="0"/>
          <w:sz w:val="18"/>
          <w:szCs w:val="18"/>
          <w:lang w:val="es-CO" w:eastAsia="es-ES" w:bidi="ar-SA"/>
        </w:rPr>
        <w:t xml:space="preserve">“En atención al correo electrónico del 31 de octubre de 2022, donde se solicita sea realizado análisis de riesgos sobre la ampliación del plazo para contar con el beneficio de tarifas diferenciales en los peajes Purgatorio, Mata de Caña, Maguitos y Cedros desde la fecha de finalización de la vigente Resolución No. 0000410 de 2022 el 31 de diciembre de 2022 hasta el 31 de diciembre de 2026, y el aumento de cupos de la Categoría 1 del peaje Purgatorio, pasando de 120 a 300, desde el G.I.T. de Riesgos se da respuesta en los siguientes términos: </w:t>
      </w:r>
    </w:p>
    <w:p w:rsidR="00B6656D" w:rsidRDefault="00B6656D">
      <w:pPr>
        <w:widowControl/>
        <w:ind w:left="708" w:right="623"/>
        <w:jc w:val="both"/>
        <w:textAlignment w:val="auto"/>
        <w:rPr>
          <w:rFonts w:ascii="Work Sans" w:hAnsi="Work Sans" w:cs="Arial"/>
          <w:i/>
          <w:iCs/>
          <w:kern w:val="0"/>
          <w:sz w:val="18"/>
          <w:szCs w:val="18"/>
          <w:lang w:val="es-CO" w:eastAsia="es-ES" w:bidi="ar-SA"/>
        </w:rPr>
      </w:pPr>
    </w:p>
    <w:p w:rsidR="00B6656D" w:rsidRDefault="00000000">
      <w:pPr>
        <w:widowControl/>
        <w:ind w:left="708" w:right="623"/>
        <w:jc w:val="both"/>
        <w:textAlignment w:val="auto"/>
        <w:rPr>
          <w:rFonts w:ascii="Work Sans" w:hAnsi="Work Sans" w:cs="Arial"/>
          <w:i/>
          <w:iCs/>
          <w:kern w:val="0"/>
          <w:sz w:val="18"/>
          <w:szCs w:val="18"/>
          <w:lang w:val="es-CO" w:eastAsia="es-ES" w:bidi="ar-SA"/>
        </w:rPr>
      </w:pPr>
      <w:r>
        <w:rPr>
          <w:rFonts w:ascii="Work Sans" w:hAnsi="Work Sans" w:cs="Arial"/>
          <w:i/>
          <w:iCs/>
          <w:kern w:val="0"/>
          <w:sz w:val="18"/>
          <w:szCs w:val="18"/>
          <w:lang w:val="es-CO" w:eastAsia="es-ES" w:bidi="ar-SA"/>
        </w:rPr>
        <w:t>Se resalta que, como consecuencia de la modificación que se haga a la estructura Tarifaria establecida en el Contrato de Concesión No. 016 de 2015, se genera un efecto para la Agencia Nacional de Infraestructura (ANI) en términos de la materialización del Riesgo que está asignado a esta, y el cual se encuentra descrito en la Sección 13.3 Riesgos de la ANI, literal (e) de la Parte General del Contrato de Concesión en mención, que dice:</w:t>
      </w:r>
    </w:p>
    <w:p w:rsidR="00B6656D" w:rsidRDefault="00B6656D">
      <w:pPr>
        <w:widowControl/>
        <w:ind w:left="708" w:right="623"/>
        <w:jc w:val="both"/>
        <w:textAlignment w:val="auto"/>
        <w:rPr>
          <w:rFonts w:ascii="Work Sans" w:hAnsi="Work Sans" w:cs="Arial"/>
          <w:i/>
          <w:iCs/>
          <w:kern w:val="0"/>
          <w:sz w:val="18"/>
          <w:szCs w:val="18"/>
          <w:lang w:val="es-CO" w:eastAsia="es-ES" w:bidi="ar-SA"/>
        </w:rPr>
      </w:pPr>
    </w:p>
    <w:p w:rsidR="00B6656D" w:rsidRDefault="00000000">
      <w:pPr>
        <w:widowControl/>
        <w:ind w:left="1416" w:right="623"/>
        <w:jc w:val="both"/>
        <w:textAlignment w:val="auto"/>
        <w:rPr>
          <w:rFonts w:ascii="Work Sans" w:hAnsi="Work Sans" w:cs="Arial"/>
          <w:i/>
          <w:iCs/>
          <w:kern w:val="0"/>
          <w:sz w:val="18"/>
          <w:szCs w:val="18"/>
          <w:lang w:val="es-CO" w:eastAsia="es-ES" w:bidi="ar-SA"/>
        </w:rPr>
      </w:pPr>
      <w:r>
        <w:rPr>
          <w:rFonts w:ascii="Work Sans" w:hAnsi="Work Sans" w:cs="Arial"/>
          <w:i/>
          <w:iCs/>
          <w:kern w:val="0"/>
          <w:sz w:val="18"/>
          <w:szCs w:val="18"/>
          <w:lang w:val="es-CO" w:eastAsia="es-ES" w:bidi="ar-SA"/>
        </w:rPr>
        <w:t>“(…) los efectos desfavorables de modificaciones a las tarifas previstas en la Resolución de Peaje, la implementación de tarifas diferenciales en las Estaciones de Peaje existentes y/o nuevas Estaciones de Peaje, en las vías que hacen parte del Proyecto o, en general, cualquier cambio en la estructura tarifaria prevista en el Contrato Parte Especial. Para efectos de compensar el Valor de la Materialización de este Riesgo, se hará uso de los Mecanismos para la Compensación por Riesgos, contemplados en la Sección 3.2 de esta Parte General.</w:t>
      </w:r>
    </w:p>
    <w:p w:rsidR="00B6656D" w:rsidRDefault="00B6656D">
      <w:pPr>
        <w:widowControl/>
        <w:ind w:left="708" w:right="623"/>
        <w:jc w:val="both"/>
        <w:textAlignment w:val="auto"/>
        <w:rPr>
          <w:rFonts w:ascii="Work Sans" w:hAnsi="Work Sans" w:cs="Arial"/>
          <w:i/>
          <w:iCs/>
          <w:kern w:val="0"/>
          <w:sz w:val="18"/>
          <w:szCs w:val="18"/>
          <w:lang w:val="es-CO" w:eastAsia="es-ES" w:bidi="ar-SA"/>
        </w:rPr>
      </w:pPr>
    </w:p>
    <w:p w:rsidR="00B6656D" w:rsidRDefault="00000000">
      <w:pPr>
        <w:widowControl/>
        <w:ind w:left="708" w:right="623"/>
        <w:jc w:val="both"/>
        <w:textAlignment w:val="auto"/>
        <w:rPr>
          <w:rFonts w:ascii="Work Sans" w:hAnsi="Work Sans" w:cs="Arial"/>
          <w:i/>
          <w:iCs/>
          <w:kern w:val="0"/>
          <w:sz w:val="18"/>
          <w:szCs w:val="18"/>
          <w:lang w:val="es-CO" w:eastAsia="es-ES" w:bidi="ar-SA"/>
        </w:rPr>
      </w:pPr>
      <w:r>
        <w:rPr>
          <w:rFonts w:ascii="Work Sans" w:hAnsi="Work Sans" w:cs="Arial"/>
          <w:i/>
          <w:iCs/>
          <w:kern w:val="0"/>
          <w:sz w:val="18"/>
          <w:szCs w:val="18"/>
          <w:lang w:val="es-CO" w:eastAsia="es-ES" w:bidi="ar-SA"/>
        </w:rPr>
        <w:t>En ese sentido, las tarifas diferenciales propuestas en el proyecto de resolución en análisis corresponden a un riesgo previsto y asignado en el contrato de concesión No.016 de 2015, ajustado a las disposiciones descritas en la sección 13.3 Riesgos de la ANI (e). Los cuáles serán compensados mediante los mecanismos de compensación contemplados en la sección 3.2 literal (b) y en lo referente en la sección 3.4 literal (i), que dice:</w:t>
      </w:r>
    </w:p>
    <w:p w:rsidR="00B6656D" w:rsidRDefault="00B6656D">
      <w:pPr>
        <w:widowControl/>
        <w:ind w:left="708" w:right="623"/>
        <w:jc w:val="both"/>
        <w:textAlignment w:val="auto"/>
        <w:rPr>
          <w:rFonts w:ascii="Work Sans" w:hAnsi="Work Sans" w:cs="Arial"/>
          <w:i/>
          <w:iCs/>
          <w:kern w:val="0"/>
          <w:sz w:val="18"/>
          <w:szCs w:val="18"/>
          <w:lang w:val="es-CO" w:eastAsia="es-ES" w:bidi="ar-SA"/>
        </w:rPr>
      </w:pPr>
    </w:p>
    <w:p w:rsidR="00B6656D" w:rsidRDefault="00000000">
      <w:pPr>
        <w:widowControl/>
        <w:ind w:left="1416" w:right="623"/>
        <w:jc w:val="both"/>
        <w:textAlignment w:val="auto"/>
        <w:rPr>
          <w:rFonts w:ascii="Work Sans" w:hAnsi="Work Sans" w:cs="Arial"/>
          <w:i/>
          <w:iCs/>
          <w:kern w:val="0"/>
          <w:sz w:val="18"/>
          <w:szCs w:val="18"/>
          <w:lang w:val="es-CO" w:eastAsia="es-ES" w:bidi="ar-SA"/>
        </w:rPr>
      </w:pPr>
      <w:r>
        <w:rPr>
          <w:rFonts w:ascii="Work Sans" w:hAnsi="Work Sans" w:cs="Arial"/>
          <w:i/>
          <w:iCs/>
          <w:kern w:val="0"/>
          <w:sz w:val="18"/>
          <w:szCs w:val="18"/>
          <w:lang w:val="es-CO" w:eastAsia="es-ES" w:bidi="ar-SA"/>
        </w:rPr>
        <w:t>“3.2 Compensación por riesgo</w:t>
      </w:r>
    </w:p>
    <w:p w:rsidR="00B6656D" w:rsidRDefault="00000000">
      <w:pPr>
        <w:widowControl/>
        <w:ind w:left="1416" w:right="623"/>
        <w:jc w:val="both"/>
        <w:textAlignment w:val="auto"/>
        <w:rPr>
          <w:rFonts w:ascii="Work Sans" w:hAnsi="Work Sans" w:cs="Arial"/>
          <w:i/>
          <w:iCs/>
          <w:kern w:val="0"/>
          <w:sz w:val="18"/>
          <w:szCs w:val="18"/>
          <w:lang w:val="es-CO" w:eastAsia="es-ES" w:bidi="ar-SA"/>
        </w:rPr>
      </w:pPr>
      <w:r>
        <w:rPr>
          <w:rFonts w:ascii="Work Sans" w:hAnsi="Work Sans" w:cs="Arial"/>
          <w:i/>
          <w:iCs/>
          <w:kern w:val="0"/>
          <w:sz w:val="18"/>
          <w:szCs w:val="18"/>
          <w:lang w:val="es-CO" w:eastAsia="es-ES" w:bidi="ar-SA"/>
        </w:rPr>
        <w:t>(…)</w:t>
      </w:r>
    </w:p>
    <w:p w:rsidR="00B6656D" w:rsidRDefault="00000000">
      <w:pPr>
        <w:widowControl/>
        <w:ind w:left="1416" w:right="623"/>
        <w:jc w:val="both"/>
        <w:textAlignment w:val="auto"/>
        <w:rPr>
          <w:rFonts w:ascii="Work Sans" w:hAnsi="Work Sans" w:cs="Arial"/>
          <w:i/>
          <w:iCs/>
          <w:kern w:val="0"/>
          <w:sz w:val="18"/>
          <w:szCs w:val="18"/>
          <w:lang w:val="es-CO" w:eastAsia="es-ES" w:bidi="ar-SA"/>
        </w:rPr>
      </w:pPr>
      <w:r>
        <w:rPr>
          <w:rFonts w:ascii="Work Sans" w:hAnsi="Work Sans" w:cs="Arial"/>
          <w:i/>
          <w:iCs/>
          <w:kern w:val="0"/>
          <w:sz w:val="18"/>
          <w:szCs w:val="18"/>
          <w:lang w:val="es-CO" w:eastAsia="es-ES" w:bidi="ar-SA"/>
        </w:rPr>
        <w:t xml:space="preserve">b) Mecanismos para la Compensación por Riesgo. Los mecanismos para el reconocimiento de la Compensación por Riesgo por Sobre Costo y Menor recaudo a favor del Concesionario, cuando sean aplicables, serán los siguientes: </w:t>
      </w:r>
    </w:p>
    <w:p w:rsidR="00B6656D" w:rsidRDefault="00B6656D">
      <w:pPr>
        <w:widowControl/>
        <w:ind w:left="1416" w:right="623"/>
        <w:jc w:val="both"/>
        <w:textAlignment w:val="auto"/>
        <w:rPr>
          <w:rFonts w:ascii="Work Sans" w:hAnsi="Work Sans" w:cs="Arial"/>
          <w:i/>
          <w:iCs/>
          <w:kern w:val="0"/>
          <w:sz w:val="18"/>
          <w:szCs w:val="18"/>
          <w:lang w:val="es-CO" w:eastAsia="es-ES" w:bidi="ar-SA"/>
        </w:rPr>
      </w:pPr>
    </w:p>
    <w:p w:rsidR="00B6656D" w:rsidRDefault="00000000">
      <w:pPr>
        <w:widowControl/>
        <w:numPr>
          <w:ilvl w:val="0"/>
          <w:numId w:val="21"/>
        </w:numPr>
        <w:ind w:left="2136" w:right="623"/>
        <w:jc w:val="both"/>
        <w:textAlignment w:val="auto"/>
        <w:rPr>
          <w:rFonts w:ascii="Work Sans" w:hAnsi="Work Sans" w:cs="Arial"/>
          <w:i/>
          <w:iCs/>
          <w:kern w:val="0"/>
          <w:sz w:val="18"/>
          <w:szCs w:val="18"/>
          <w:lang w:val="es-CO" w:eastAsia="es-ES" w:bidi="ar-SA"/>
        </w:rPr>
      </w:pPr>
      <w:r>
        <w:rPr>
          <w:rFonts w:ascii="Work Sans" w:hAnsi="Work Sans" w:cs="Arial"/>
          <w:i/>
          <w:iCs/>
          <w:kern w:val="0"/>
          <w:sz w:val="18"/>
          <w:szCs w:val="18"/>
          <w:lang w:val="es-CO" w:eastAsia="es-ES" w:bidi="ar-SA"/>
        </w:rPr>
        <w:t>Subcuenta Autónoma de Soporte.</w:t>
      </w:r>
    </w:p>
    <w:p w:rsidR="00B6656D" w:rsidRDefault="00000000">
      <w:pPr>
        <w:widowControl/>
        <w:numPr>
          <w:ilvl w:val="0"/>
          <w:numId w:val="21"/>
        </w:numPr>
        <w:ind w:left="2136" w:right="623"/>
        <w:jc w:val="both"/>
        <w:textAlignment w:val="auto"/>
        <w:rPr>
          <w:rFonts w:ascii="Work Sans" w:hAnsi="Work Sans" w:cs="Arial"/>
          <w:i/>
          <w:iCs/>
          <w:kern w:val="0"/>
          <w:sz w:val="18"/>
          <w:szCs w:val="18"/>
          <w:lang w:val="es-CO" w:eastAsia="es-ES" w:bidi="ar-SA"/>
        </w:rPr>
      </w:pPr>
      <w:r>
        <w:rPr>
          <w:rFonts w:ascii="Work Sans" w:hAnsi="Work Sans" w:cs="Arial"/>
          <w:i/>
          <w:iCs/>
          <w:kern w:val="0"/>
          <w:sz w:val="18"/>
          <w:szCs w:val="18"/>
          <w:lang w:val="es-CO" w:eastAsia="es-ES" w:bidi="ar-SA"/>
        </w:rPr>
        <w:t>Subcuentas de Excedentes ANI del Patrimonio Autónomo.</w:t>
      </w:r>
    </w:p>
    <w:p w:rsidR="00B6656D" w:rsidRDefault="00000000">
      <w:pPr>
        <w:widowControl/>
        <w:numPr>
          <w:ilvl w:val="0"/>
          <w:numId w:val="21"/>
        </w:numPr>
        <w:ind w:left="2136" w:right="623"/>
        <w:jc w:val="both"/>
        <w:textAlignment w:val="auto"/>
        <w:rPr>
          <w:rFonts w:ascii="Work Sans" w:hAnsi="Work Sans" w:cs="Arial"/>
          <w:i/>
          <w:iCs/>
          <w:kern w:val="0"/>
          <w:sz w:val="18"/>
          <w:szCs w:val="18"/>
          <w:lang w:val="es-CO" w:eastAsia="es-ES" w:bidi="ar-SA"/>
        </w:rPr>
      </w:pPr>
      <w:r>
        <w:rPr>
          <w:rFonts w:ascii="Work Sans" w:hAnsi="Work Sans" w:cs="Arial"/>
          <w:i/>
          <w:iCs/>
          <w:kern w:val="0"/>
          <w:sz w:val="18"/>
          <w:szCs w:val="18"/>
          <w:lang w:val="es-CO" w:eastAsia="es-ES" w:bidi="ar-SA"/>
        </w:rPr>
        <w:t>Incremento de Estaciones de Peaje y/o tarifas establecidas en el Contrato Parte Especial.</w:t>
      </w:r>
    </w:p>
    <w:p w:rsidR="00B6656D" w:rsidRDefault="00000000">
      <w:pPr>
        <w:widowControl/>
        <w:numPr>
          <w:ilvl w:val="0"/>
          <w:numId w:val="21"/>
        </w:numPr>
        <w:ind w:left="2136" w:right="623"/>
        <w:jc w:val="both"/>
        <w:textAlignment w:val="auto"/>
        <w:rPr>
          <w:rFonts w:ascii="Work Sans" w:hAnsi="Work Sans" w:cs="Arial"/>
          <w:i/>
          <w:iCs/>
          <w:kern w:val="0"/>
          <w:sz w:val="18"/>
          <w:szCs w:val="18"/>
          <w:lang w:val="es-CO" w:eastAsia="es-ES" w:bidi="ar-SA"/>
        </w:rPr>
      </w:pPr>
      <w:r>
        <w:rPr>
          <w:rFonts w:ascii="Work Sans" w:hAnsi="Work Sans" w:cs="Arial"/>
          <w:i/>
          <w:iCs/>
          <w:kern w:val="0"/>
          <w:sz w:val="18"/>
          <w:szCs w:val="18"/>
          <w:lang w:val="es-CO" w:eastAsia="es-ES" w:bidi="ar-SA"/>
        </w:rPr>
        <w:t>Modificación del Alcance del Proyecto</w:t>
      </w:r>
    </w:p>
    <w:p w:rsidR="00B6656D" w:rsidRDefault="00000000">
      <w:pPr>
        <w:widowControl/>
        <w:numPr>
          <w:ilvl w:val="0"/>
          <w:numId w:val="21"/>
        </w:numPr>
        <w:ind w:left="2136" w:right="623"/>
        <w:jc w:val="both"/>
        <w:textAlignment w:val="auto"/>
        <w:rPr>
          <w:rFonts w:ascii="Work Sans" w:hAnsi="Work Sans" w:cs="Arial"/>
          <w:i/>
          <w:iCs/>
          <w:kern w:val="0"/>
          <w:sz w:val="18"/>
          <w:szCs w:val="18"/>
          <w:lang w:val="es-CO" w:eastAsia="es-ES" w:bidi="ar-SA"/>
        </w:rPr>
      </w:pPr>
      <w:r>
        <w:rPr>
          <w:rFonts w:ascii="Work Sans" w:hAnsi="Work Sans" w:cs="Arial"/>
          <w:i/>
          <w:iCs/>
          <w:kern w:val="0"/>
          <w:sz w:val="18"/>
          <w:szCs w:val="18"/>
          <w:lang w:val="es-CO" w:eastAsia="es-ES" w:bidi="ar-SA"/>
        </w:rPr>
        <w:t xml:space="preserve">Aumento del valor presente de Recaudo de Peaje – VPIPr – mediante ampliación del plazo (…)” </w:t>
      </w:r>
    </w:p>
    <w:p w:rsidR="00B6656D" w:rsidRDefault="00B6656D">
      <w:pPr>
        <w:widowControl/>
        <w:ind w:left="708" w:right="623"/>
        <w:jc w:val="both"/>
        <w:textAlignment w:val="auto"/>
        <w:rPr>
          <w:rFonts w:ascii="Work Sans" w:hAnsi="Work Sans" w:cs="Arial"/>
          <w:i/>
          <w:iCs/>
          <w:kern w:val="0"/>
          <w:sz w:val="18"/>
          <w:szCs w:val="18"/>
          <w:lang w:val="es-CO" w:eastAsia="es-ES" w:bidi="ar-SA"/>
        </w:rPr>
      </w:pPr>
    </w:p>
    <w:p w:rsidR="00B6656D" w:rsidRDefault="00000000">
      <w:pPr>
        <w:widowControl/>
        <w:ind w:left="1416" w:right="623"/>
        <w:jc w:val="both"/>
        <w:textAlignment w:val="auto"/>
        <w:rPr>
          <w:rFonts w:ascii="Work Sans" w:hAnsi="Work Sans" w:cs="Arial"/>
          <w:i/>
          <w:iCs/>
          <w:kern w:val="0"/>
          <w:sz w:val="18"/>
          <w:szCs w:val="18"/>
          <w:lang w:val="es-CO" w:eastAsia="es-ES" w:bidi="ar-SA"/>
        </w:rPr>
      </w:pPr>
      <w:r>
        <w:rPr>
          <w:rFonts w:ascii="Work Sans" w:hAnsi="Work Sans" w:cs="Arial"/>
          <w:i/>
          <w:iCs/>
          <w:kern w:val="0"/>
          <w:sz w:val="18"/>
          <w:szCs w:val="18"/>
          <w:lang w:val="es-CO" w:eastAsia="es-ES" w:bidi="ar-SA"/>
        </w:rPr>
        <w:t>“3.4 Peajes, Derecho de Recaudo e Ingresos por explotación Comercial</w:t>
      </w:r>
    </w:p>
    <w:p w:rsidR="00B6656D" w:rsidRDefault="00000000">
      <w:pPr>
        <w:widowControl/>
        <w:ind w:left="1416" w:right="623"/>
        <w:jc w:val="both"/>
        <w:textAlignment w:val="auto"/>
        <w:rPr>
          <w:rFonts w:ascii="Work Sans" w:hAnsi="Work Sans" w:cs="Arial"/>
          <w:i/>
          <w:iCs/>
          <w:kern w:val="0"/>
          <w:sz w:val="18"/>
          <w:szCs w:val="18"/>
          <w:lang w:val="es-CO" w:eastAsia="es-ES" w:bidi="ar-SA"/>
        </w:rPr>
      </w:pPr>
      <w:r>
        <w:rPr>
          <w:rFonts w:ascii="Work Sans" w:hAnsi="Work Sans" w:cs="Arial"/>
          <w:i/>
          <w:iCs/>
          <w:kern w:val="0"/>
          <w:sz w:val="18"/>
          <w:szCs w:val="18"/>
          <w:lang w:val="es-CO" w:eastAsia="es-ES" w:bidi="ar-SA"/>
        </w:rPr>
        <w:lastRenderedPageBreak/>
        <w:t xml:space="preserve">(…) </w:t>
      </w:r>
    </w:p>
    <w:p w:rsidR="00B6656D" w:rsidRDefault="00B6656D">
      <w:pPr>
        <w:widowControl/>
        <w:autoSpaceDE w:val="0"/>
        <w:ind w:left="708" w:right="623"/>
        <w:textAlignment w:val="auto"/>
        <w:rPr>
          <w:rFonts w:ascii="Work Sans" w:hAnsi="Work Sans" w:cs="Arial"/>
          <w:i/>
          <w:iCs/>
          <w:kern w:val="0"/>
          <w:sz w:val="18"/>
          <w:szCs w:val="18"/>
          <w:lang w:val="es-CO" w:eastAsia="es-CO" w:bidi="ar-SA"/>
        </w:rPr>
      </w:pPr>
    </w:p>
    <w:p w:rsidR="00B6656D" w:rsidRDefault="00000000">
      <w:pPr>
        <w:widowControl/>
        <w:ind w:left="1416" w:right="623"/>
        <w:jc w:val="both"/>
        <w:textAlignment w:val="auto"/>
        <w:rPr>
          <w:rFonts w:ascii="Work Sans" w:hAnsi="Work Sans" w:cs="Arial"/>
          <w:i/>
          <w:iCs/>
          <w:kern w:val="0"/>
          <w:sz w:val="18"/>
          <w:szCs w:val="18"/>
          <w:lang w:val="es-CO" w:eastAsia="es-ES" w:bidi="ar-SA"/>
        </w:rPr>
      </w:pPr>
      <w:r>
        <w:rPr>
          <w:rFonts w:ascii="Work Sans" w:hAnsi="Work Sans" w:cs="Arial"/>
          <w:i/>
          <w:iCs/>
          <w:kern w:val="0"/>
          <w:sz w:val="18"/>
          <w:szCs w:val="18"/>
          <w:lang w:val="es-CO" w:eastAsia="es-ES" w:bidi="ar-SA"/>
        </w:rPr>
        <w:t xml:space="preserve">(i) Si el Ministerio de Transporte o la entidad que resulte competente para fijar las tarifas de Peaje decide i) modificar dichas tarifas, ii) crear exenciones o tarifas especiales para ciertos usuarios, o iii) de cualquier otra forma afectar la Estructura Tarifaria que se desprende de la Resolución de Peaje vigente a la fecha de adjudicación del Contrato, se aplicarán las siguientes reglas: </w:t>
      </w:r>
    </w:p>
    <w:p w:rsidR="00B6656D" w:rsidRDefault="00B6656D">
      <w:pPr>
        <w:widowControl/>
        <w:ind w:left="1416" w:right="623" w:firstLine="708"/>
        <w:jc w:val="both"/>
        <w:textAlignment w:val="auto"/>
        <w:rPr>
          <w:rFonts w:ascii="Work Sans" w:hAnsi="Work Sans" w:cs="Arial"/>
          <w:i/>
          <w:iCs/>
          <w:kern w:val="0"/>
          <w:sz w:val="18"/>
          <w:szCs w:val="18"/>
          <w:lang w:val="es-CO" w:eastAsia="es-ES" w:bidi="ar-SA"/>
        </w:rPr>
      </w:pPr>
    </w:p>
    <w:p w:rsidR="00B6656D" w:rsidRDefault="00000000">
      <w:pPr>
        <w:widowControl/>
        <w:ind w:left="2124" w:right="623"/>
        <w:jc w:val="both"/>
        <w:textAlignment w:val="auto"/>
        <w:rPr>
          <w:rFonts w:ascii="Work Sans" w:hAnsi="Work Sans" w:cs="Arial"/>
          <w:i/>
          <w:iCs/>
          <w:kern w:val="0"/>
          <w:sz w:val="18"/>
          <w:szCs w:val="18"/>
          <w:lang w:val="es-CO" w:eastAsia="es-ES" w:bidi="ar-SA"/>
        </w:rPr>
      </w:pPr>
      <w:r>
        <w:rPr>
          <w:rFonts w:ascii="Work Sans" w:hAnsi="Work Sans" w:cs="Arial"/>
          <w:i/>
          <w:iCs/>
          <w:kern w:val="0"/>
          <w:sz w:val="18"/>
          <w:szCs w:val="18"/>
          <w:lang w:val="es-CO" w:eastAsia="es-ES" w:bidi="ar-SA"/>
        </w:rPr>
        <w:t>(i) Para cada trimestre de ejecución del Contrato se deberá calcular, entre el Interventor, el Supervisor y el Concesionario, la diferencia entre el Recaudo de Peaje que se hubiese producido de haberse aplicado la estructura tarifaria (debidamente indexada) prevista en la Resolución de Peaje y el Recaudo de Peaje correspondiente a las modificaciones adoptadas por el Ministerio de Transporte, de lo cual se dejará constancia en el Acta de Cálculo de la Compensación por Riesgo suscrita dentro de los cinco (5) Días siguientes a la terminación de dicho trimestre. En caso de existir diferencias entre las Partes, éstas acudirán al Amigable Componedor para que resuelva la controversia.”</w:t>
      </w:r>
    </w:p>
    <w:p w:rsidR="00B6656D" w:rsidRDefault="00B6656D">
      <w:pPr>
        <w:widowControl/>
        <w:ind w:left="1416" w:right="623"/>
        <w:jc w:val="both"/>
        <w:textAlignment w:val="auto"/>
        <w:rPr>
          <w:rFonts w:ascii="Work Sans" w:hAnsi="Work Sans" w:cs="Arial"/>
          <w:i/>
          <w:iCs/>
          <w:kern w:val="0"/>
          <w:sz w:val="18"/>
          <w:szCs w:val="18"/>
          <w:lang w:val="es-CO" w:eastAsia="es-ES" w:bidi="ar-SA"/>
        </w:rPr>
      </w:pPr>
    </w:p>
    <w:p w:rsidR="00B6656D" w:rsidRDefault="00000000">
      <w:pPr>
        <w:widowControl/>
        <w:ind w:left="708" w:right="623"/>
        <w:jc w:val="both"/>
        <w:textAlignment w:val="auto"/>
        <w:rPr>
          <w:rFonts w:ascii="Work Sans" w:hAnsi="Work Sans" w:cs="Arial"/>
          <w:i/>
          <w:iCs/>
          <w:kern w:val="0"/>
          <w:sz w:val="18"/>
          <w:szCs w:val="18"/>
          <w:lang w:val="es-CO" w:eastAsia="es-ES" w:bidi="ar-SA"/>
        </w:rPr>
      </w:pPr>
      <w:r>
        <w:rPr>
          <w:rFonts w:ascii="Work Sans" w:hAnsi="Work Sans" w:cs="Arial"/>
          <w:i/>
          <w:iCs/>
          <w:kern w:val="0"/>
          <w:sz w:val="18"/>
          <w:szCs w:val="18"/>
          <w:lang w:val="es-CO" w:eastAsia="es-ES" w:bidi="ar-SA"/>
        </w:rPr>
        <w:t>De lo anteriormente expuesto, se tiene que el primer mecanismo de compensación con el que se cuenta a la fecha, con disponibilidad de recursos, es la Subcuenta Autónoma de Soporte, tal y como lo expresa el área Financiera, la cual indica que el valor mensual promedio a compensar por las Tarifas diferenciales en los peajes Manguito, Mata de Caña, Cedros y Purgatorio es de $148.000.000 de pesos M/CTE y que la subcuenta referente al primer mecanismo de compensación a usar, presenta un saldo promedio mensual de $ 3.076.802.279,64 de pesos M/CTE.</w:t>
      </w:r>
    </w:p>
    <w:p w:rsidR="00B6656D" w:rsidRDefault="00B6656D">
      <w:pPr>
        <w:widowControl/>
        <w:ind w:left="708" w:right="623"/>
        <w:jc w:val="both"/>
        <w:textAlignment w:val="auto"/>
        <w:rPr>
          <w:rFonts w:ascii="Work Sans" w:hAnsi="Work Sans" w:cs="Arial"/>
          <w:i/>
          <w:iCs/>
          <w:kern w:val="0"/>
          <w:sz w:val="18"/>
          <w:szCs w:val="18"/>
          <w:lang w:val="es-CO" w:eastAsia="es-ES" w:bidi="ar-SA"/>
        </w:rPr>
      </w:pPr>
    </w:p>
    <w:p w:rsidR="00B6656D" w:rsidRDefault="00000000">
      <w:pPr>
        <w:widowControl/>
        <w:ind w:left="708" w:right="623"/>
        <w:jc w:val="both"/>
        <w:textAlignment w:val="auto"/>
        <w:rPr>
          <w:rFonts w:ascii="Work Sans" w:hAnsi="Work Sans" w:cs="Arial"/>
          <w:i/>
          <w:iCs/>
          <w:kern w:val="0"/>
          <w:sz w:val="18"/>
          <w:szCs w:val="18"/>
          <w:lang w:val="es-CO" w:eastAsia="es-ES" w:bidi="ar-SA"/>
        </w:rPr>
      </w:pPr>
      <w:r>
        <w:rPr>
          <w:rFonts w:ascii="Work Sans" w:hAnsi="Work Sans" w:cs="Arial"/>
          <w:i/>
          <w:iCs/>
          <w:kern w:val="0"/>
          <w:sz w:val="18"/>
          <w:szCs w:val="18"/>
          <w:lang w:val="es-CO" w:eastAsia="es-ES" w:bidi="ar-SA"/>
        </w:rPr>
        <w:t xml:space="preserve">Así mismo, la Interventoría en su comunicación con radicado ANI No. 20224091320772 del 24 de noviembre de 2022, concluye: </w:t>
      </w:r>
    </w:p>
    <w:p w:rsidR="00B6656D" w:rsidRDefault="00B6656D">
      <w:pPr>
        <w:widowControl/>
        <w:ind w:left="708" w:right="623"/>
        <w:jc w:val="both"/>
        <w:textAlignment w:val="auto"/>
        <w:rPr>
          <w:rFonts w:ascii="Work Sans" w:hAnsi="Work Sans" w:cs="Arial"/>
          <w:i/>
          <w:iCs/>
          <w:kern w:val="0"/>
          <w:sz w:val="18"/>
          <w:szCs w:val="18"/>
          <w:lang w:val="es-CO" w:eastAsia="es-ES" w:bidi="ar-SA"/>
        </w:rPr>
      </w:pPr>
    </w:p>
    <w:p w:rsidR="00B6656D" w:rsidRDefault="00000000">
      <w:pPr>
        <w:widowControl/>
        <w:ind w:left="1428" w:right="623"/>
        <w:jc w:val="both"/>
        <w:textAlignment w:val="auto"/>
        <w:rPr>
          <w:rFonts w:ascii="Work Sans" w:hAnsi="Work Sans" w:cs="Arial"/>
          <w:i/>
          <w:iCs/>
          <w:kern w:val="0"/>
          <w:sz w:val="18"/>
          <w:szCs w:val="18"/>
          <w:lang w:val="es-CO" w:eastAsia="es-ES" w:bidi="ar-SA"/>
        </w:rPr>
      </w:pPr>
      <w:r>
        <w:rPr>
          <w:rFonts w:ascii="Work Sans" w:hAnsi="Work Sans" w:cs="Arial"/>
          <w:i/>
          <w:iCs/>
          <w:kern w:val="0"/>
          <w:sz w:val="18"/>
          <w:szCs w:val="18"/>
          <w:lang w:val="es-CO" w:eastAsia="es-ES" w:bidi="ar-SA"/>
        </w:rPr>
        <w:t>“(…) se concluye que para las categorías indicadas existen recursos para compensar el diferencial con cargo a primer mecanismo de compensación (Subcuenta Autónoma de Soporte) para extender la vigencia hasta el 31 de diciembre de 2026, no obstante, esta interventoría realizo los análisis bajo el supuesto de no materializarse otro riesgo salvo los que se encuentran provisionados concluyendo un saldo de la subcuenta hasta el año 2026 de $27.124 millones como se indica a continuación.”</w:t>
      </w:r>
    </w:p>
    <w:p w:rsidR="00B6656D" w:rsidRDefault="00B6656D">
      <w:pPr>
        <w:widowControl/>
        <w:ind w:left="708" w:right="623"/>
        <w:jc w:val="both"/>
        <w:textAlignment w:val="auto"/>
        <w:rPr>
          <w:rFonts w:ascii="Work Sans" w:hAnsi="Work Sans" w:cs="Arial"/>
          <w:i/>
          <w:iCs/>
          <w:kern w:val="0"/>
          <w:sz w:val="18"/>
          <w:szCs w:val="18"/>
          <w:lang w:val="es-CO" w:eastAsia="es-ES" w:bidi="ar-SA"/>
        </w:rPr>
      </w:pPr>
    </w:p>
    <w:p w:rsidR="00B6656D" w:rsidRDefault="00000000">
      <w:pPr>
        <w:widowControl/>
        <w:ind w:left="708" w:right="623"/>
        <w:jc w:val="both"/>
        <w:textAlignment w:val="auto"/>
        <w:rPr>
          <w:rFonts w:ascii="Work Sans" w:hAnsi="Work Sans" w:cs="Arial"/>
          <w:i/>
          <w:iCs/>
          <w:kern w:val="0"/>
          <w:sz w:val="18"/>
          <w:szCs w:val="18"/>
          <w:lang w:val="es-CO" w:eastAsia="es-ES" w:bidi="ar-SA"/>
        </w:rPr>
      </w:pPr>
      <w:r>
        <w:rPr>
          <w:rFonts w:ascii="Work Sans" w:hAnsi="Work Sans" w:cs="Arial"/>
          <w:i/>
          <w:iCs/>
          <w:kern w:val="0"/>
          <w:sz w:val="18"/>
          <w:szCs w:val="18"/>
          <w:lang w:val="es-CO" w:eastAsia="es-ES" w:bidi="ar-SA"/>
        </w:rPr>
        <w:t xml:space="preserve">De lo anterior se concluye que se cuenta con disponibilidad en el primer mecanismo de compensación, la subcuenta Autónoma de Soporte, que permitirá asumir los efectos económicos generados por la materialización del riesgo Tarifario, como consecuencia de ampliar el plazo de cobertura de las Tarifas diferenciales hasta el 31 de diciembre de 2026, así como también de aumento el número de beneficiarios en la estación de peaje Purgatorio.” </w:t>
      </w:r>
    </w:p>
    <w:p w:rsidR="00B6656D" w:rsidRDefault="00B6656D">
      <w:pPr>
        <w:widowControl/>
        <w:spacing w:line="276" w:lineRule="auto"/>
        <w:jc w:val="both"/>
        <w:textAlignment w:val="auto"/>
        <w:rPr>
          <w:rFonts w:ascii="Work Sans" w:hAnsi="Work Sans" w:cs="Arial"/>
          <w:b/>
          <w:kern w:val="0"/>
          <w:sz w:val="18"/>
          <w:szCs w:val="18"/>
          <w:lang w:val="es-ES_tradnl" w:eastAsia="es-ES" w:bidi="ar-SA"/>
        </w:rPr>
      </w:pPr>
    </w:p>
    <w:p w:rsidR="00B6656D" w:rsidRDefault="00000000">
      <w:pPr>
        <w:widowControl/>
        <w:numPr>
          <w:ilvl w:val="0"/>
          <w:numId w:val="20"/>
        </w:numPr>
        <w:spacing w:line="276" w:lineRule="auto"/>
        <w:ind w:left="426" w:right="481" w:firstLine="0"/>
        <w:jc w:val="both"/>
        <w:textAlignment w:val="auto"/>
        <w:rPr>
          <w:rFonts w:ascii="Work Sans" w:hAnsi="Work Sans" w:cs="Arial"/>
          <w:b/>
          <w:i/>
          <w:kern w:val="0"/>
          <w:sz w:val="18"/>
          <w:szCs w:val="18"/>
          <w:lang w:val="es-ES_tradnl" w:eastAsia="es-ES" w:bidi="ar-SA"/>
        </w:rPr>
      </w:pPr>
      <w:r>
        <w:rPr>
          <w:rFonts w:ascii="Work Sans" w:hAnsi="Work Sans" w:cs="Arial"/>
          <w:b/>
          <w:i/>
          <w:kern w:val="0"/>
          <w:sz w:val="18"/>
          <w:szCs w:val="18"/>
          <w:lang w:val="es-ES_tradnl" w:eastAsia="es-ES" w:bidi="ar-SA"/>
        </w:rPr>
        <w:t>Aspectos financieros.</w:t>
      </w:r>
    </w:p>
    <w:p w:rsidR="00B6656D" w:rsidRDefault="00B6656D">
      <w:pPr>
        <w:widowControl/>
        <w:spacing w:line="276" w:lineRule="auto"/>
        <w:ind w:left="426" w:right="481"/>
        <w:jc w:val="both"/>
        <w:textAlignment w:val="auto"/>
        <w:rPr>
          <w:rFonts w:ascii="Work Sans" w:hAnsi="Work Sans" w:cs="Arial"/>
          <w:bCs/>
          <w:i/>
          <w:kern w:val="0"/>
          <w:sz w:val="18"/>
          <w:szCs w:val="18"/>
          <w:lang w:val="es-ES_tradnl" w:eastAsia="es-ES" w:bidi="ar-SA"/>
        </w:rPr>
      </w:pPr>
    </w:p>
    <w:p w:rsidR="00B6656D" w:rsidRDefault="00000000">
      <w:pPr>
        <w:widowControl/>
        <w:spacing w:line="276" w:lineRule="auto"/>
        <w:ind w:left="426" w:right="481"/>
        <w:jc w:val="both"/>
        <w:textAlignment w:val="auto"/>
      </w:pPr>
      <w:r>
        <w:rPr>
          <w:rFonts w:ascii="Work Sans" w:hAnsi="Work Sans" w:cs="Arial"/>
          <w:i/>
          <w:kern w:val="0"/>
          <w:sz w:val="18"/>
          <w:szCs w:val="18"/>
          <w:lang w:val="es-CO" w:eastAsia="es-ES" w:bidi="ar-SA"/>
        </w:rPr>
        <w:t xml:space="preserve">Teniendo como antecedente la incorporación de las tarifas diferenciales dentro de la estructura tarifaria del contrato de </w:t>
      </w:r>
      <w:bookmarkStart w:id="3" w:name="_Int_DHXb8KaO"/>
      <w:r>
        <w:rPr>
          <w:rFonts w:ascii="Work Sans" w:hAnsi="Work Sans" w:cs="Arial"/>
          <w:i/>
          <w:kern w:val="0"/>
          <w:sz w:val="18"/>
          <w:szCs w:val="18"/>
          <w:lang w:val="es-CO" w:eastAsia="es-ES" w:bidi="ar-SA"/>
        </w:rPr>
        <w:t>concesión APP</w:t>
      </w:r>
      <w:bookmarkEnd w:id="3"/>
      <w:r>
        <w:rPr>
          <w:rFonts w:ascii="Work Sans" w:hAnsi="Work Sans" w:cs="Arial"/>
          <w:i/>
          <w:kern w:val="0"/>
          <w:sz w:val="18"/>
          <w:szCs w:val="18"/>
          <w:lang w:val="es-CO" w:eastAsia="es-ES" w:bidi="ar-SA"/>
        </w:rPr>
        <w:t xml:space="preserve"> No. 016 de </w:t>
      </w:r>
      <w:bookmarkStart w:id="4" w:name="_Int_2QMKkiEN"/>
      <w:r>
        <w:rPr>
          <w:rFonts w:ascii="Work Sans" w:hAnsi="Work Sans" w:cs="Arial"/>
          <w:i/>
          <w:kern w:val="0"/>
          <w:sz w:val="18"/>
          <w:szCs w:val="18"/>
          <w:lang w:val="es-CO" w:eastAsia="es-ES" w:bidi="ar-SA"/>
        </w:rPr>
        <w:t>2015 desde</w:t>
      </w:r>
      <w:bookmarkEnd w:id="4"/>
      <w:r>
        <w:rPr>
          <w:rFonts w:ascii="Work Sans" w:hAnsi="Work Sans" w:cs="Arial"/>
          <w:i/>
          <w:kern w:val="0"/>
          <w:sz w:val="18"/>
          <w:szCs w:val="18"/>
          <w:lang w:val="es-CO" w:eastAsia="es-ES" w:bidi="ar-SA"/>
        </w:rPr>
        <w:t xml:space="preserve"> el </w:t>
      </w:r>
      <w:r>
        <w:rPr>
          <w:rFonts w:ascii="Work Sans" w:hAnsi="Work Sans" w:cs="Arial"/>
          <w:i/>
          <w:kern w:val="0"/>
          <w:sz w:val="18"/>
          <w:szCs w:val="18"/>
          <w:lang w:val="es-CO" w:eastAsia="es-ES" w:bidi="ar-SA"/>
        </w:rPr>
        <w:lastRenderedPageBreak/>
        <w:t>componente financiero se realiza el análisis de los valores compensados por el diferencial tarifario derivado de la aplicación de estas.</w:t>
      </w:r>
    </w:p>
    <w:p w:rsidR="00B6656D" w:rsidRDefault="00000000">
      <w:pPr>
        <w:widowControl/>
        <w:spacing w:line="276" w:lineRule="auto"/>
        <w:ind w:left="426" w:right="481"/>
        <w:jc w:val="both"/>
        <w:textAlignment w:val="auto"/>
      </w:pPr>
      <w:r>
        <w:rPr>
          <w:rFonts w:ascii="Work Sans" w:hAnsi="Work Sans" w:cs="Arial"/>
          <w:i/>
          <w:kern w:val="0"/>
          <w:sz w:val="18"/>
          <w:szCs w:val="18"/>
          <w:lang w:val="es-CO" w:eastAsia="es-ES" w:bidi="ar-SA"/>
        </w:rPr>
        <w:t xml:space="preserve"> </w:t>
      </w:r>
    </w:p>
    <w:p w:rsidR="00B6656D" w:rsidRDefault="00000000">
      <w:pPr>
        <w:widowControl/>
        <w:spacing w:line="276" w:lineRule="auto"/>
        <w:ind w:left="426" w:right="481"/>
        <w:jc w:val="both"/>
        <w:textAlignment w:val="auto"/>
      </w:pPr>
      <w:r>
        <w:rPr>
          <w:rFonts w:ascii="Work Sans" w:hAnsi="Work Sans" w:cs="Arial"/>
          <w:i/>
          <w:kern w:val="0"/>
          <w:sz w:val="18"/>
          <w:szCs w:val="18"/>
          <w:lang w:val="es-CO" w:eastAsia="es-ES" w:bidi="ar-SA"/>
        </w:rPr>
        <w:t>Dicho lo anterior, desde el componente financiero se ha podido concluir que la aplicación de las tarifas diferenciales de las categorías IE, IIE</w:t>
      </w:r>
      <w:r>
        <w:rPr>
          <w:rFonts w:ascii="Work Sans" w:hAnsi="Work Sans" w:cs="Arial"/>
          <w:b/>
          <w:bCs/>
          <w:i/>
          <w:kern w:val="0"/>
          <w:sz w:val="18"/>
          <w:szCs w:val="18"/>
          <w:lang w:val="es-CO" w:eastAsia="es-ES" w:bidi="ar-SA"/>
        </w:rPr>
        <w:t xml:space="preserve">, </w:t>
      </w:r>
      <w:r>
        <w:rPr>
          <w:rFonts w:ascii="Work Sans" w:hAnsi="Work Sans" w:cs="Arial"/>
          <w:i/>
          <w:kern w:val="0"/>
          <w:sz w:val="18"/>
          <w:szCs w:val="18"/>
          <w:lang w:val="es-CO" w:eastAsia="es-ES" w:bidi="ar-SA"/>
        </w:rPr>
        <w:t>IIEE</w:t>
      </w:r>
      <w:r>
        <w:rPr>
          <w:rFonts w:ascii="Work Sans" w:hAnsi="Work Sans" w:cs="Arial"/>
          <w:b/>
          <w:bCs/>
          <w:i/>
          <w:kern w:val="0"/>
          <w:sz w:val="18"/>
          <w:szCs w:val="18"/>
          <w:lang w:val="es-CO" w:eastAsia="es-ES" w:bidi="ar-SA"/>
        </w:rPr>
        <w:t xml:space="preserve"> y </w:t>
      </w:r>
      <w:r>
        <w:rPr>
          <w:rFonts w:ascii="Work Sans" w:hAnsi="Work Sans" w:cs="Arial"/>
          <w:i/>
          <w:kern w:val="0"/>
          <w:sz w:val="18"/>
          <w:szCs w:val="18"/>
          <w:lang w:val="es-CO" w:eastAsia="es-ES" w:bidi="ar-SA"/>
        </w:rPr>
        <w:t>IEE para las estaciones de peaje, Manguitos, Mata de Caña, Cedros y Purgatorio genera un valor mensual promedio a compensar de CIENTO CUARENTA Y OCHO MILLONES PESOS M/CTE ($148.000.000), como se detalla a continuación</w:t>
      </w:r>
    </w:p>
    <w:p w:rsidR="00B6656D" w:rsidRDefault="00000000">
      <w:pPr>
        <w:widowControl/>
        <w:spacing w:line="276" w:lineRule="auto"/>
        <w:ind w:left="426" w:right="481"/>
        <w:jc w:val="both"/>
        <w:textAlignment w:val="auto"/>
        <w:rPr>
          <w:rFonts w:ascii="Work Sans" w:hAnsi="Work Sans" w:cs="Arial"/>
          <w:i/>
          <w:kern w:val="0"/>
          <w:sz w:val="18"/>
          <w:szCs w:val="18"/>
          <w:lang w:val="es-CO" w:eastAsia="es-ES" w:bidi="ar-SA"/>
        </w:rPr>
      </w:pPr>
      <w:r>
        <w:rPr>
          <w:rFonts w:ascii="Work Sans" w:hAnsi="Work Sans" w:cs="Arial"/>
          <w:i/>
          <w:kern w:val="0"/>
          <w:sz w:val="18"/>
          <w:szCs w:val="18"/>
          <w:lang w:val="es-CO" w:eastAsia="es-ES" w:bidi="ar-SA"/>
        </w:rPr>
        <w:t xml:space="preserve"> </w:t>
      </w:r>
    </w:p>
    <w:p w:rsidR="00B6656D" w:rsidRDefault="00000000">
      <w:pPr>
        <w:widowControl/>
        <w:spacing w:line="276" w:lineRule="auto"/>
        <w:ind w:left="426" w:right="481"/>
        <w:jc w:val="both"/>
        <w:textAlignment w:val="auto"/>
        <w:rPr>
          <w:rFonts w:ascii="Work Sans" w:hAnsi="Work Sans" w:cs="Arial"/>
          <w:b/>
          <w:bCs/>
          <w:i/>
          <w:kern w:val="0"/>
          <w:sz w:val="18"/>
          <w:szCs w:val="18"/>
          <w:lang w:val="es-CO" w:eastAsia="es-ES" w:bidi="ar-SA"/>
        </w:rPr>
      </w:pPr>
      <w:r>
        <w:rPr>
          <w:rFonts w:ascii="Work Sans" w:hAnsi="Work Sans" w:cs="Arial"/>
          <w:b/>
          <w:bCs/>
          <w:i/>
          <w:kern w:val="0"/>
          <w:sz w:val="18"/>
          <w:szCs w:val="18"/>
          <w:lang w:val="es-CO" w:eastAsia="es-ES" w:bidi="ar-SA"/>
        </w:rPr>
        <w:t>Tabla: Compensación tarifas diferenciales de las estaciones de peajes Manguitos, Mata de Caña, Cedros y Purgatorio. Periodo Enero 2022 a Septiembre de 2022.</w:t>
      </w:r>
    </w:p>
    <w:tbl>
      <w:tblPr>
        <w:tblW w:w="5000" w:type="pct"/>
        <w:tblCellMar>
          <w:left w:w="10" w:type="dxa"/>
          <w:right w:w="10" w:type="dxa"/>
        </w:tblCellMar>
        <w:tblLook w:val="04A0" w:firstRow="1" w:lastRow="0" w:firstColumn="1" w:lastColumn="0" w:noHBand="0" w:noVBand="1"/>
      </w:tblPr>
      <w:tblGrid>
        <w:gridCol w:w="1173"/>
        <w:gridCol w:w="1351"/>
        <w:gridCol w:w="1453"/>
        <w:gridCol w:w="1455"/>
        <w:gridCol w:w="1555"/>
        <w:gridCol w:w="1554"/>
      </w:tblGrid>
      <w:tr w:rsidR="00B6656D">
        <w:tblPrEx>
          <w:tblCellMar>
            <w:top w:w="0" w:type="dxa"/>
            <w:bottom w:w="0" w:type="dxa"/>
          </w:tblCellMar>
        </w:tblPrEx>
        <w:trPr>
          <w:trHeight w:val="495"/>
          <w:tblHeader/>
        </w:trPr>
        <w:tc>
          <w:tcPr>
            <w:tcW w:w="1166" w:type="dxa"/>
            <w:tcBorders>
              <w:top w:val="single" w:sz="8" w:space="0" w:color="000000"/>
              <w:left w:val="single" w:sz="8" w:space="0" w:color="000000"/>
              <w:bottom w:val="single" w:sz="8" w:space="0" w:color="000000"/>
              <w:right w:val="single" w:sz="8" w:space="0" w:color="000000"/>
            </w:tcBorders>
            <w:shd w:val="clear" w:color="auto" w:fill="E7E6E6"/>
            <w:tcMar>
              <w:top w:w="0" w:type="dxa"/>
              <w:left w:w="70" w:type="dxa"/>
              <w:bottom w:w="0" w:type="dxa"/>
              <w:right w:w="70" w:type="dxa"/>
            </w:tcMar>
            <w:vAlign w:val="center"/>
          </w:tcPr>
          <w:p w:rsidR="00B6656D" w:rsidRDefault="00000000">
            <w:pPr>
              <w:widowControl/>
              <w:spacing w:line="276" w:lineRule="auto"/>
              <w:jc w:val="both"/>
              <w:textAlignment w:val="auto"/>
            </w:pPr>
            <w:r>
              <w:rPr>
                <w:rFonts w:ascii="Work Sans" w:hAnsi="Work Sans" w:cs="Arial"/>
                <w:b/>
                <w:bCs/>
                <w:kern w:val="0"/>
                <w:sz w:val="18"/>
                <w:szCs w:val="18"/>
                <w:lang w:val="es-CO" w:eastAsia="es-ES" w:bidi="ar-SA"/>
              </w:rPr>
              <w:t xml:space="preserve">Mes </w:t>
            </w:r>
          </w:p>
        </w:tc>
        <w:tc>
          <w:tcPr>
            <w:tcW w:w="1353" w:type="dxa"/>
            <w:tcBorders>
              <w:top w:val="single" w:sz="8" w:space="0" w:color="000000"/>
              <w:bottom w:val="single" w:sz="8" w:space="0" w:color="000000"/>
              <w:right w:val="single" w:sz="8" w:space="0" w:color="000000"/>
            </w:tcBorders>
            <w:shd w:val="clear" w:color="auto" w:fill="E7E6E6"/>
            <w:tcMar>
              <w:top w:w="0" w:type="dxa"/>
              <w:left w:w="70" w:type="dxa"/>
              <w:bottom w:w="0" w:type="dxa"/>
              <w:right w:w="70" w:type="dxa"/>
            </w:tcMar>
            <w:vAlign w:val="center"/>
          </w:tcPr>
          <w:p w:rsidR="00B6656D" w:rsidRDefault="00000000">
            <w:pPr>
              <w:widowControl/>
              <w:spacing w:line="276" w:lineRule="auto"/>
              <w:jc w:val="both"/>
              <w:textAlignment w:val="auto"/>
            </w:pPr>
            <w:r>
              <w:rPr>
                <w:rFonts w:ascii="Work Sans" w:hAnsi="Work Sans" w:cs="Arial"/>
                <w:b/>
                <w:bCs/>
                <w:kern w:val="0"/>
                <w:sz w:val="18"/>
                <w:szCs w:val="18"/>
                <w:lang w:val="es-CO" w:eastAsia="es-ES" w:bidi="ar-SA"/>
              </w:rPr>
              <w:t>Manguitos</w:t>
            </w:r>
          </w:p>
        </w:tc>
        <w:tc>
          <w:tcPr>
            <w:tcW w:w="1454" w:type="dxa"/>
            <w:tcBorders>
              <w:top w:val="single" w:sz="8" w:space="0" w:color="000000"/>
              <w:bottom w:val="single" w:sz="8" w:space="0" w:color="000000"/>
              <w:right w:val="single" w:sz="8" w:space="0" w:color="000000"/>
            </w:tcBorders>
            <w:shd w:val="clear" w:color="auto" w:fill="E7E6E6"/>
            <w:tcMar>
              <w:top w:w="0" w:type="dxa"/>
              <w:left w:w="70" w:type="dxa"/>
              <w:bottom w:w="0" w:type="dxa"/>
              <w:right w:w="70" w:type="dxa"/>
            </w:tcMar>
            <w:vAlign w:val="center"/>
          </w:tcPr>
          <w:p w:rsidR="00B6656D" w:rsidRDefault="00000000">
            <w:pPr>
              <w:widowControl/>
              <w:spacing w:line="276" w:lineRule="auto"/>
              <w:jc w:val="both"/>
              <w:textAlignment w:val="auto"/>
            </w:pPr>
            <w:r>
              <w:rPr>
                <w:rFonts w:ascii="Work Sans" w:hAnsi="Work Sans" w:cs="Arial"/>
                <w:b/>
                <w:bCs/>
                <w:kern w:val="0"/>
                <w:sz w:val="18"/>
                <w:szCs w:val="18"/>
                <w:lang w:val="es-CO" w:eastAsia="es-ES" w:bidi="ar-SA"/>
              </w:rPr>
              <w:t>Mata de caña</w:t>
            </w:r>
          </w:p>
        </w:tc>
        <w:tc>
          <w:tcPr>
            <w:tcW w:w="1456" w:type="dxa"/>
            <w:tcBorders>
              <w:top w:val="single" w:sz="8" w:space="0" w:color="000000"/>
              <w:bottom w:val="single" w:sz="8" w:space="0" w:color="000000"/>
              <w:right w:val="single" w:sz="8" w:space="0" w:color="000000"/>
            </w:tcBorders>
            <w:shd w:val="clear" w:color="auto" w:fill="E7E6E6"/>
            <w:tcMar>
              <w:top w:w="0" w:type="dxa"/>
              <w:left w:w="70" w:type="dxa"/>
              <w:bottom w:w="0" w:type="dxa"/>
              <w:right w:w="70" w:type="dxa"/>
            </w:tcMar>
            <w:vAlign w:val="center"/>
          </w:tcPr>
          <w:p w:rsidR="00B6656D" w:rsidRDefault="00000000">
            <w:pPr>
              <w:widowControl/>
              <w:spacing w:line="276" w:lineRule="auto"/>
              <w:jc w:val="both"/>
              <w:textAlignment w:val="auto"/>
            </w:pPr>
            <w:r>
              <w:rPr>
                <w:rFonts w:ascii="Work Sans" w:hAnsi="Work Sans" w:cs="Arial"/>
                <w:b/>
                <w:bCs/>
                <w:kern w:val="0"/>
                <w:sz w:val="18"/>
                <w:szCs w:val="18"/>
                <w:lang w:val="es-CO" w:eastAsia="es-ES" w:bidi="ar-SA"/>
              </w:rPr>
              <w:t>Cedros</w:t>
            </w:r>
          </w:p>
        </w:tc>
        <w:tc>
          <w:tcPr>
            <w:tcW w:w="1556" w:type="dxa"/>
            <w:tcBorders>
              <w:top w:val="single" w:sz="8" w:space="0" w:color="000000"/>
              <w:bottom w:val="single" w:sz="8" w:space="0" w:color="000000"/>
              <w:right w:val="single" w:sz="8" w:space="0" w:color="000000"/>
            </w:tcBorders>
            <w:shd w:val="clear" w:color="auto" w:fill="E7E6E6"/>
            <w:tcMar>
              <w:top w:w="0" w:type="dxa"/>
              <w:left w:w="70" w:type="dxa"/>
              <w:bottom w:w="0" w:type="dxa"/>
              <w:right w:w="70" w:type="dxa"/>
            </w:tcMar>
            <w:vAlign w:val="center"/>
          </w:tcPr>
          <w:p w:rsidR="00B6656D" w:rsidRDefault="00000000">
            <w:pPr>
              <w:widowControl/>
              <w:spacing w:line="276" w:lineRule="auto"/>
              <w:jc w:val="both"/>
              <w:textAlignment w:val="auto"/>
            </w:pPr>
            <w:r>
              <w:rPr>
                <w:rFonts w:ascii="Work Sans" w:hAnsi="Work Sans" w:cs="Arial"/>
                <w:b/>
                <w:bCs/>
                <w:kern w:val="0"/>
                <w:sz w:val="18"/>
                <w:szCs w:val="18"/>
                <w:lang w:val="es-CO" w:eastAsia="es-ES" w:bidi="ar-SA"/>
              </w:rPr>
              <w:t>Purgatorio</w:t>
            </w:r>
          </w:p>
        </w:tc>
        <w:tc>
          <w:tcPr>
            <w:tcW w:w="1556" w:type="dxa"/>
            <w:tcBorders>
              <w:top w:val="single" w:sz="8" w:space="0" w:color="000000"/>
              <w:bottom w:val="single" w:sz="8" w:space="0" w:color="000000"/>
              <w:right w:val="single" w:sz="8" w:space="0" w:color="000000"/>
            </w:tcBorders>
            <w:shd w:val="clear" w:color="auto" w:fill="E7E6E6"/>
            <w:tcMar>
              <w:top w:w="0" w:type="dxa"/>
              <w:left w:w="70" w:type="dxa"/>
              <w:bottom w:w="0" w:type="dxa"/>
              <w:right w:w="70" w:type="dxa"/>
            </w:tcMar>
            <w:vAlign w:val="center"/>
          </w:tcPr>
          <w:p w:rsidR="00B6656D" w:rsidRDefault="00000000">
            <w:pPr>
              <w:widowControl/>
              <w:spacing w:line="276" w:lineRule="auto"/>
              <w:jc w:val="both"/>
              <w:textAlignment w:val="auto"/>
            </w:pPr>
            <w:bookmarkStart w:id="5" w:name="RANGE!L5"/>
            <w:r>
              <w:rPr>
                <w:rFonts w:ascii="Work Sans" w:hAnsi="Work Sans" w:cs="Arial"/>
                <w:b/>
                <w:bCs/>
                <w:kern w:val="0"/>
                <w:sz w:val="18"/>
                <w:szCs w:val="18"/>
                <w:lang w:val="es-CO" w:eastAsia="es-ES" w:bidi="ar-SA"/>
              </w:rPr>
              <w:t>Total, Mensual</w:t>
            </w:r>
            <w:bookmarkEnd w:id="5"/>
          </w:p>
        </w:tc>
      </w:tr>
      <w:tr w:rsidR="00B6656D">
        <w:tblPrEx>
          <w:tblCellMar>
            <w:top w:w="0" w:type="dxa"/>
            <w:bottom w:w="0" w:type="dxa"/>
          </w:tblCellMar>
        </w:tblPrEx>
        <w:trPr>
          <w:trHeight w:val="315"/>
        </w:trPr>
        <w:tc>
          <w:tcPr>
            <w:tcW w:w="1166" w:type="dxa"/>
            <w:tcBorders>
              <w:left w:val="single" w:sz="8" w:space="0" w:color="000000"/>
              <w:bottom w:val="single" w:sz="8" w:space="0" w:color="000000"/>
              <w:right w:val="single" w:sz="8" w:space="0" w:color="000000"/>
            </w:tcBorders>
            <w:shd w:val="clear" w:color="auto" w:fill="E7E6E6"/>
            <w:tcMar>
              <w:top w:w="0" w:type="dxa"/>
              <w:left w:w="70" w:type="dxa"/>
              <w:bottom w:w="0" w:type="dxa"/>
              <w:right w:w="70" w:type="dxa"/>
            </w:tcMar>
            <w:vAlign w:val="center"/>
          </w:tcPr>
          <w:p w:rsidR="00B6656D" w:rsidRDefault="00000000">
            <w:pPr>
              <w:widowControl/>
              <w:spacing w:line="276" w:lineRule="auto"/>
              <w:jc w:val="both"/>
              <w:textAlignment w:val="auto"/>
            </w:pPr>
            <w:r>
              <w:rPr>
                <w:rFonts w:ascii="Work Sans" w:hAnsi="Work Sans" w:cs="Arial"/>
                <w:b/>
                <w:bCs/>
                <w:kern w:val="0"/>
                <w:sz w:val="18"/>
                <w:szCs w:val="18"/>
                <w:lang w:val="es-CO" w:eastAsia="es-ES" w:bidi="ar-SA"/>
              </w:rPr>
              <w:t>Enero</w:t>
            </w:r>
          </w:p>
        </w:tc>
        <w:tc>
          <w:tcPr>
            <w:tcW w:w="135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$ 3.329.600</w:t>
            </w:r>
          </w:p>
        </w:tc>
        <w:tc>
          <w:tcPr>
            <w:tcW w:w="14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$ 10.704.900</w:t>
            </w:r>
          </w:p>
        </w:tc>
        <w:tc>
          <w:tcPr>
            <w:tcW w:w="14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$ 11.727.300</w:t>
            </w:r>
          </w:p>
        </w:tc>
        <w:tc>
          <w:tcPr>
            <w:tcW w:w="15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$ 48.241.500</w:t>
            </w:r>
          </w:p>
        </w:tc>
        <w:tc>
          <w:tcPr>
            <w:tcW w:w="15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$ 74.003.300</w:t>
            </w:r>
          </w:p>
        </w:tc>
      </w:tr>
      <w:tr w:rsidR="00B6656D">
        <w:tblPrEx>
          <w:tblCellMar>
            <w:top w:w="0" w:type="dxa"/>
            <w:bottom w:w="0" w:type="dxa"/>
          </w:tblCellMar>
        </w:tblPrEx>
        <w:trPr>
          <w:trHeight w:val="315"/>
        </w:trPr>
        <w:tc>
          <w:tcPr>
            <w:tcW w:w="1166" w:type="dxa"/>
            <w:tcBorders>
              <w:left w:val="single" w:sz="8" w:space="0" w:color="000000"/>
              <w:bottom w:val="single" w:sz="8" w:space="0" w:color="000000"/>
              <w:right w:val="single" w:sz="8" w:space="0" w:color="000000"/>
            </w:tcBorders>
            <w:shd w:val="clear" w:color="auto" w:fill="E7E6E6"/>
            <w:tcMar>
              <w:top w:w="0" w:type="dxa"/>
              <w:left w:w="70" w:type="dxa"/>
              <w:bottom w:w="0" w:type="dxa"/>
              <w:right w:w="70" w:type="dxa"/>
            </w:tcMar>
            <w:vAlign w:val="center"/>
          </w:tcPr>
          <w:p w:rsidR="00B6656D" w:rsidRDefault="00000000">
            <w:pPr>
              <w:widowControl/>
              <w:spacing w:line="276" w:lineRule="auto"/>
              <w:jc w:val="both"/>
              <w:textAlignment w:val="auto"/>
            </w:pPr>
            <w:r>
              <w:rPr>
                <w:rFonts w:ascii="Work Sans" w:hAnsi="Work Sans" w:cs="Arial"/>
                <w:b/>
                <w:bCs/>
                <w:kern w:val="0"/>
                <w:sz w:val="18"/>
                <w:szCs w:val="18"/>
                <w:lang w:val="es-CO" w:eastAsia="es-ES" w:bidi="ar-SA"/>
              </w:rPr>
              <w:t>Febrero</w:t>
            </w:r>
          </w:p>
        </w:tc>
        <w:tc>
          <w:tcPr>
            <w:tcW w:w="135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$ 6.068.800</w:t>
            </w:r>
          </w:p>
        </w:tc>
        <w:tc>
          <w:tcPr>
            <w:tcW w:w="14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$ 10.105.100</w:t>
            </w:r>
          </w:p>
        </w:tc>
        <w:tc>
          <w:tcPr>
            <w:tcW w:w="14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$ 13.529.600</w:t>
            </w:r>
          </w:p>
        </w:tc>
        <w:tc>
          <w:tcPr>
            <w:tcW w:w="15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$ 55.435.000</w:t>
            </w:r>
          </w:p>
        </w:tc>
        <w:tc>
          <w:tcPr>
            <w:tcW w:w="15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$ 85.138.500</w:t>
            </w:r>
          </w:p>
        </w:tc>
      </w:tr>
      <w:tr w:rsidR="00B6656D">
        <w:tblPrEx>
          <w:tblCellMar>
            <w:top w:w="0" w:type="dxa"/>
            <w:bottom w:w="0" w:type="dxa"/>
          </w:tblCellMar>
        </w:tblPrEx>
        <w:trPr>
          <w:trHeight w:val="315"/>
        </w:trPr>
        <w:tc>
          <w:tcPr>
            <w:tcW w:w="1166" w:type="dxa"/>
            <w:tcBorders>
              <w:left w:val="single" w:sz="8" w:space="0" w:color="000000"/>
              <w:bottom w:val="single" w:sz="8" w:space="0" w:color="000000"/>
              <w:right w:val="single" w:sz="8" w:space="0" w:color="000000"/>
            </w:tcBorders>
            <w:shd w:val="clear" w:color="auto" w:fill="E7E6E6"/>
            <w:tcMar>
              <w:top w:w="0" w:type="dxa"/>
              <w:left w:w="70" w:type="dxa"/>
              <w:bottom w:w="0" w:type="dxa"/>
              <w:right w:w="70" w:type="dxa"/>
            </w:tcMar>
            <w:vAlign w:val="center"/>
          </w:tcPr>
          <w:p w:rsidR="00B6656D" w:rsidRDefault="00000000">
            <w:pPr>
              <w:widowControl/>
              <w:spacing w:line="276" w:lineRule="auto"/>
              <w:jc w:val="both"/>
              <w:textAlignment w:val="auto"/>
            </w:pPr>
            <w:r>
              <w:rPr>
                <w:rFonts w:ascii="Work Sans" w:hAnsi="Work Sans" w:cs="Arial"/>
                <w:b/>
                <w:bCs/>
                <w:kern w:val="0"/>
                <w:sz w:val="18"/>
                <w:szCs w:val="18"/>
                <w:lang w:val="es-CO" w:eastAsia="es-ES" w:bidi="ar-SA"/>
              </w:rPr>
              <w:t>Marzo</w:t>
            </w:r>
          </w:p>
        </w:tc>
        <w:tc>
          <w:tcPr>
            <w:tcW w:w="135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$ 6.793.800</w:t>
            </w:r>
          </w:p>
        </w:tc>
        <w:tc>
          <w:tcPr>
            <w:tcW w:w="14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$ 18.836.800</w:t>
            </w:r>
          </w:p>
        </w:tc>
        <w:tc>
          <w:tcPr>
            <w:tcW w:w="14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$ 22.623.400</w:t>
            </w:r>
          </w:p>
        </w:tc>
        <w:tc>
          <w:tcPr>
            <w:tcW w:w="15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$ 103.455.600</w:t>
            </w:r>
          </w:p>
        </w:tc>
        <w:tc>
          <w:tcPr>
            <w:tcW w:w="15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$ 151.709.600</w:t>
            </w:r>
          </w:p>
        </w:tc>
      </w:tr>
      <w:tr w:rsidR="00B6656D">
        <w:tblPrEx>
          <w:tblCellMar>
            <w:top w:w="0" w:type="dxa"/>
            <w:bottom w:w="0" w:type="dxa"/>
          </w:tblCellMar>
        </w:tblPrEx>
        <w:trPr>
          <w:trHeight w:val="315"/>
        </w:trPr>
        <w:tc>
          <w:tcPr>
            <w:tcW w:w="1166" w:type="dxa"/>
            <w:tcBorders>
              <w:left w:val="single" w:sz="8" w:space="0" w:color="000000"/>
              <w:bottom w:val="single" w:sz="8" w:space="0" w:color="000000"/>
              <w:right w:val="single" w:sz="8" w:space="0" w:color="000000"/>
            </w:tcBorders>
            <w:shd w:val="clear" w:color="auto" w:fill="E7E6E6"/>
            <w:tcMar>
              <w:top w:w="0" w:type="dxa"/>
              <w:left w:w="70" w:type="dxa"/>
              <w:bottom w:w="0" w:type="dxa"/>
              <w:right w:w="70" w:type="dxa"/>
            </w:tcMar>
            <w:vAlign w:val="center"/>
          </w:tcPr>
          <w:p w:rsidR="00B6656D" w:rsidRDefault="00000000">
            <w:pPr>
              <w:widowControl/>
              <w:spacing w:line="276" w:lineRule="auto"/>
              <w:jc w:val="both"/>
              <w:textAlignment w:val="auto"/>
            </w:pPr>
            <w:r>
              <w:rPr>
                <w:rFonts w:ascii="Work Sans" w:hAnsi="Work Sans" w:cs="Arial"/>
                <w:b/>
                <w:bCs/>
                <w:kern w:val="0"/>
                <w:sz w:val="18"/>
                <w:szCs w:val="18"/>
                <w:lang w:val="es-CO" w:eastAsia="es-ES" w:bidi="ar-SA"/>
              </w:rPr>
              <w:t>Abril</w:t>
            </w:r>
          </w:p>
        </w:tc>
        <w:tc>
          <w:tcPr>
            <w:tcW w:w="135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$ 7.255.000</w:t>
            </w:r>
          </w:p>
        </w:tc>
        <w:tc>
          <w:tcPr>
            <w:tcW w:w="14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$ 21.642.900</w:t>
            </w:r>
          </w:p>
        </w:tc>
        <w:tc>
          <w:tcPr>
            <w:tcW w:w="14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$ 24.768.000</w:t>
            </w:r>
          </w:p>
        </w:tc>
        <w:tc>
          <w:tcPr>
            <w:tcW w:w="15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$ 119.451.600</w:t>
            </w:r>
          </w:p>
        </w:tc>
        <w:tc>
          <w:tcPr>
            <w:tcW w:w="15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$ 173.117.500</w:t>
            </w:r>
          </w:p>
        </w:tc>
      </w:tr>
      <w:tr w:rsidR="00B6656D">
        <w:tblPrEx>
          <w:tblCellMar>
            <w:top w:w="0" w:type="dxa"/>
            <w:bottom w:w="0" w:type="dxa"/>
          </w:tblCellMar>
        </w:tblPrEx>
        <w:trPr>
          <w:trHeight w:val="315"/>
        </w:trPr>
        <w:tc>
          <w:tcPr>
            <w:tcW w:w="1166" w:type="dxa"/>
            <w:tcBorders>
              <w:left w:val="single" w:sz="8" w:space="0" w:color="000000"/>
              <w:bottom w:val="single" w:sz="8" w:space="0" w:color="000000"/>
              <w:right w:val="single" w:sz="8" w:space="0" w:color="000000"/>
            </w:tcBorders>
            <w:shd w:val="clear" w:color="auto" w:fill="E7E6E6"/>
            <w:tcMar>
              <w:top w:w="0" w:type="dxa"/>
              <w:left w:w="70" w:type="dxa"/>
              <w:bottom w:w="0" w:type="dxa"/>
              <w:right w:w="70" w:type="dxa"/>
            </w:tcMar>
            <w:vAlign w:val="center"/>
          </w:tcPr>
          <w:p w:rsidR="00B6656D" w:rsidRDefault="00000000">
            <w:pPr>
              <w:widowControl/>
              <w:spacing w:line="276" w:lineRule="auto"/>
              <w:jc w:val="both"/>
              <w:textAlignment w:val="auto"/>
            </w:pPr>
            <w:r>
              <w:rPr>
                <w:rFonts w:ascii="Work Sans" w:hAnsi="Work Sans" w:cs="Arial"/>
                <w:b/>
                <w:bCs/>
                <w:kern w:val="0"/>
                <w:sz w:val="18"/>
                <w:szCs w:val="18"/>
                <w:lang w:val="es-CO" w:eastAsia="es-ES" w:bidi="ar-SA"/>
              </w:rPr>
              <w:t>Mayo</w:t>
            </w:r>
          </w:p>
        </w:tc>
        <w:tc>
          <w:tcPr>
            <w:tcW w:w="135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$ 5.735.000</w:t>
            </w:r>
          </w:p>
        </w:tc>
        <w:tc>
          <w:tcPr>
            <w:tcW w:w="14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$ 21.074.400</w:t>
            </w:r>
          </w:p>
        </w:tc>
        <w:tc>
          <w:tcPr>
            <w:tcW w:w="14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$ 24.211.800</w:t>
            </w:r>
          </w:p>
        </w:tc>
        <w:tc>
          <w:tcPr>
            <w:tcW w:w="15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$ 115.156.300</w:t>
            </w:r>
          </w:p>
        </w:tc>
        <w:tc>
          <w:tcPr>
            <w:tcW w:w="15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$ 166.177.500</w:t>
            </w:r>
          </w:p>
        </w:tc>
      </w:tr>
      <w:tr w:rsidR="00B6656D">
        <w:tblPrEx>
          <w:tblCellMar>
            <w:top w:w="0" w:type="dxa"/>
            <w:bottom w:w="0" w:type="dxa"/>
          </w:tblCellMar>
        </w:tblPrEx>
        <w:trPr>
          <w:trHeight w:val="315"/>
        </w:trPr>
        <w:tc>
          <w:tcPr>
            <w:tcW w:w="1166" w:type="dxa"/>
            <w:tcBorders>
              <w:left w:val="single" w:sz="8" w:space="0" w:color="000000"/>
              <w:bottom w:val="single" w:sz="8" w:space="0" w:color="000000"/>
              <w:right w:val="single" w:sz="8" w:space="0" w:color="000000"/>
            </w:tcBorders>
            <w:shd w:val="clear" w:color="auto" w:fill="E7E6E6"/>
            <w:tcMar>
              <w:top w:w="0" w:type="dxa"/>
              <w:left w:w="70" w:type="dxa"/>
              <w:bottom w:w="0" w:type="dxa"/>
              <w:right w:w="70" w:type="dxa"/>
            </w:tcMar>
            <w:vAlign w:val="center"/>
          </w:tcPr>
          <w:p w:rsidR="00B6656D" w:rsidRDefault="00000000">
            <w:pPr>
              <w:widowControl/>
              <w:spacing w:line="276" w:lineRule="auto"/>
              <w:jc w:val="both"/>
              <w:textAlignment w:val="auto"/>
            </w:pPr>
            <w:r>
              <w:rPr>
                <w:rFonts w:ascii="Work Sans" w:hAnsi="Work Sans" w:cs="Arial"/>
                <w:b/>
                <w:bCs/>
                <w:kern w:val="0"/>
                <w:sz w:val="18"/>
                <w:szCs w:val="18"/>
                <w:lang w:val="es-CO" w:eastAsia="es-ES" w:bidi="ar-SA"/>
              </w:rPr>
              <w:t>Junio</w:t>
            </w:r>
          </w:p>
        </w:tc>
        <w:tc>
          <w:tcPr>
            <w:tcW w:w="135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$ 7.176.800</w:t>
            </w:r>
          </w:p>
        </w:tc>
        <w:tc>
          <w:tcPr>
            <w:tcW w:w="14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$ 18.926.400</w:t>
            </w:r>
          </w:p>
        </w:tc>
        <w:tc>
          <w:tcPr>
            <w:tcW w:w="14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$ 21.763.600</w:t>
            </w:r>
          </w:p>
        </w:tc>
        <w:tc>
          <w:tcPr>
            <w:tcW w:w="15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$ 103.005.100</w:t>
            </w:r>
          </w:p>
        </w:tc>
        <w:tc>
          <w:tcPr>
            <w:tcW w:w="15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$ 150.871.900</w:t>
            </w:r>
          </w:p>
        </w:tc>
      </w:tr>
      <w:tr w:rsidR="00B6656D">
        <w:tblPrEx>
          <w:tblCellMar>
            <w:top w:w="0" w:type="dxa"/>
            <w:bottom w:w="0" w:type="dxa"/>
          </w:tblCellMar>
        </w:tblPrEx>
        <w:trPr>
          <w:trHeight w:val="315"/>
        </w:trPr>
        <w:tc>
          <w:tcPr>
            <w:tcW w:w="1166" w:type="dxa"/>
            <w:tcBorders>
              <w:left w:val="single" w:sz="8" w:space="0" w:color="000000"/>
              <w:bottom w:val="single" w:sz="8" w:space="0" w:color="000000"/>
              <w:right w:val="single" w:sz="8" w:space="0" w:color="000000"/>
            </w:tcBorders>
            <w:shd w:val="clear" w:color="auto" w:fill="E7E6E6"/>
            <w:tcMar>
              <w:top w:w="0" w:type="dxa"/>
              <w:left w:w="70" w:type="dxa"/>
              <w:bottom w:w="0" w:type="dxa"/>
              <w:right w:w="70" w:type="dxa"/>
            </w:tcMar>
            <w:vAlign w:val="center"/>
          </w:tcPr>
          <w:p w:rsidR="00B6656D" w:rsidRDefault="00000000">
            <w:pPr>
              <w:widowControl/>
              <w:spacing w:line="276" w:lineRule="auto"/>
              <w:jc w:val="both"/>
              <w:textAlignment w:val="auto"/>
            </w:pPr>
            <w:r>
              <w:rPr>
                <w:rFonts w:ascii="Work Sans" w:hAnsi="Work Sans" w:cs="Arial"/>
                <w:b/>
                <w:bCs/>
                <w:kern w:val="0"/>
                <w:sz w:val="18"/>
                <w:szCs w:val="18"/>
                <w:lang w:val="es-CO" w:eastAsia="es-ES" w:bidi="ar-SA"/>
              </w:rPr>
              <w:t>Julio</w:t>
            </w:r>
          </w:p>
        </w:tc>
        <w:tc>
          <w:tcPr>
            <w:tcW w:w="135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$ 6.804.400</w:t>
            </w:r>
          </w:p>
        </w:tc>
        <w:tc>
          <w:tcPr>
            <w:tcW w:w="14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$ 21.192.300</w:t>
            </w:r>
          </w:p>
        </w:tc>
        <w:tc>
          <w:tcPr>
            <w:tcW w:w="14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$ 24.234.200</w:t>
            </w:r>
          </w:p>
        </w:tc>
        <w:tc>
          <w:tcPr>
            <w:tcW w:w="15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$ 122.897.200</w:t>
            </w:r>
          </w:p>
        </w:tc>
        <w:tc>
          <w:tcPr>
            <w:tcW w:w="15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$ 175.128.100</w:t>
            </w:r>
          </w:p>
        </w:tc>
      </w:tr>
      <w:tr w:rsidR="00B6656D">
        <w:tblPrEx>
          <w:tblCellMar>
            <w:top w:w="0" w:type="dxa"/>
            <w:bottom w:w="0" w:type="dxa"/>
          </w:tblCellMar>
        </w:tblPrEx>
        <w:trPr>
          <w:trHeight w:val="315"/>
        </w:trPr>
        <w:tc>
          <w:tcPr>
            <w:tcW w:w="1166" w:type="dxa"/>
            <w:tcBorders>
              <w:left w:val="single" w:sz="8" w:space="0" w:color="000000"/>
              <w:bottom w:val="single" w:sz="8" w:space="0" w:color="000000"/>
              <w:right w:val="single" w:sz="8" w:space="0" w:color="000000"/>
            </w:tcBorders>
            <w:shd w:val="clear" w:color="auto" w:fill="E7E6E6"/>
            <w:tcMar>
              <w:top w:w="0" w:type="dxa"/>
              <w:left w:w="70" w:type="dxa"/>
              <w:bottom w:w="0" w:type="dxa"/>
              <w:right w:w="70" w:type="dxa"/>
            </w:tcMar>
            <w:vAlign w:val="center"/>
          </w:tcPr>
          <w:p w:rsidR="00B6656D" w:rsidRDefault="00000000">
            <w:pPr>
              <w:widowControl/>
              <w:spacing w:line="276" w:lineRule="auto"/>
              <w:jc w:val="both"/>
              <w:textAlignment w:val="auto"/>
            </w:pPr>
            <w:r>
              <w:rPr>
                <w:rFonts w:ascii="Work Sans" w:hAnsi="Work Sans" w:cs="Arial"/>
                <w:b/>
                <w:bCs/>
                <w:kern w:val="0"/>
                <w:sz w:val="18"/>
                <w:szCs w:val="18"/>
                <w:lang w:val="es-CO" w:eastAsia="es-ES" w:bidi="ar-SA"/>
              </w:rPr>
              <w:t>Agosto</w:t>
            </w:r>
          </w:p>
        </w:tc>
        <w:tc>
          <w:tcPr>
            <w:tcW w:w="135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$ 5.390.800</w:t>
            </w:r>
          </w:p>
        </w:tc>
        <w:tc>
          <w:tcPr>
            <w:tcW w:w="14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$ 20.311.900</w:t>
            </w:r>
          </w:p>
        </w:tc>
        <w:tc>
          <w:tcPr>
            <w:tcW w:w="14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$ 25.121.600</w:t>
            </w:r>
          </w:p>
        </w:tc>
        <w:tc>
          <w:tcPr>
            <w:tcW w:w="15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$ 127.793.300</w:t>
            </w:r>
          </w:p>
        </w:tc>
        <w:tc>
          <w:tcPr>
            <w:tcW w:w="15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$ 178.617.600</w:t>
            </w:r>
          </w:p>
        </w:tc>
      </w:tr>
      <w:tr w:rsidR="00B6656D">
        <w:tblPrEx>
          <w:tblCellMar>
            <w:top w:w="0" w:type="dxa"/>
            <w:bottom w:w="0" w:type="dxa"/>
          </w:tblCellMar>
        </w:tblPrEx>
        <w:trPr>
          <w:trHeight w:val="315"/>
        </w:trPr>
        <w:tc>
          <w:tcPr>
            <w:tcW w:w="1166" w:type="dxa"/>
            <w:tcBorders>
              <w:left w:val="single" w:sz="8" w:space="0" w:color="000000"/>
              <w:bottom w:val="single" w:sz="8" w:space="0" w:color="000000"/>
              <w:right w:val="single" w:sz="8" w:space="0" w:color="000000"/>
            </w:tcBorders>
            <w:shd w:val="clear" w:color="auto" w:fill="E7E6E6"/>
            <w:tcMar>
              <w:top w:w="0" w:type="dxa"/>
              <w:left w:w="70" w:type="dxa"/>
              <w:bottom w:w="0" w:type="dxa"/>
              <w:right w:w="70" w:type="dxa"/>
            </w:tcMar>
            <w:vAlign w:val="center"/>
          </w:tcPr>
          <w:p w:rsidR="00B6656D" w:rsidRDefault="00000000">
            <w:pPr>
              <w:widowControl/>
              <w:spacing w:line="276" w:lineRule="auto"/>
              <w:jc w:val="both"/>
              <w:textAlignment w:val="auto"/>
            </w:pPr>
            <w:r>
              <w:rPr>
                <w:rFonts w:ascii="Work Sans" w:hAnsi="Work Sans" w:cs="Arial"/>
                <w:b/>
                <w:bCs/>
                <w:kern w:val="0"/>
                <w:sz w:val="18"/>
                <w:szCs w:val="18"/>
                <w:lang w:val="es-CO" w:eastAsia="es-ES" w:bidi="ar-SA"/>
              </w:rPr>
              <w:t>Septiembre</w:t>
            </w:r>
          </w:p>
        </w:tc>
        <w:tc>
          <w:tcPr>
            <w:tcW w:w="135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$ 6.014.200</w:t>
            </w:r>
          </w:p>
        </w:tc>
        <w:tc>
          <w:tcPr>
            <w:tcW w:w="14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$ 19.449.900</w:t>
            </w:r>
          </w:p>
        </w:tc>
        <w:tc>
          <w:tcPr>
            <w:tcW w:w="14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$ 24.931.600</w:t>
            </w:r>
          </w:p>
        </w:tc>
        <w:tc>
          <w:tcPr>
            <w:tcW w:w="15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$ 131.304.400</w:t>
            </w:r>
          </w:p>
        </w:tc>
        <w:tc>
          <w:tcPr>
            <w:tcW w:w="15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B6656D" w:rsidRDefault="00000000">
            <w:pPr>
              <w:widowControl/>
              <w:spacing w:line="276" w:lineRule="auto"/>
              <w:jc w:val="right"/>
              <w:textAlignment w:val="auto"/>
              <w:rPr>
                <w:rFonts w:ascii="Work Sans" w:hAnsi="Work Sans" w:cs="Arial"/>
                <w:color w:val="000000"/>
                <w:kern w:val="0"/>
                <w:sz w:val="18"/>
                <w:szCs w:val="18"/>
                <w:lang w:val="es-CO" w:eastAsia="es-ES" w:bidi="ar-SA"/>
              </w:rPr>
            </w:pPr>
            <w:r>
              <w:rPr>
                <w:rFonts w:ascii="Work Sans" w:hAnsi="Work Sans" w:cs="Arial"/>
                <w:color w:val="000000"/>
                <w:kern w:val="0"/>
                <w:sz w:val="18"/>
                <w:szCs w:val="18"/>
                <w:lang w:val="es-CO" w:eastAsia="es-ES" w:bidi="ar-SA"/>
              </w:rPr>
              <w:t>$ 181.700.100</w:t>
            </w:r>
          </w:p>
        </w:tc>
      </w:tr>
    </w:tbl>
    <w:p w:rsidR="00B6656D" w:rsidRDefault="00000000">
      <w:pPr>
        <w:widowControl/>
        <w:spacing w:line="276" w:lineRule="auto"/>
        <w:ind w:left="426" w:right="481"/>
        <w:jc w:val="both"/>
        <w:textAlignment w:val="auto"/>
      </w:pPr>
      <w:r>
        <w:rPr>
          <w:rFonts w:ascii="Work Sans" w:hAnsi="Work Sans" w:cs="Arial"/>
          <w:kern w:val="0"/>
          <w:sz w:val="18"/>
          <w:szCs w:val="18"/>
          <w:lang w:val="es-CO" w:eastAsia="es-ES" w:bidi="ar-SA"/>
        </w:rPr>
        <w:t>Fuente: Elaboración Propia – Agencia Nacional de Infraestructura</w:t>
      </w:r>
      <w:r>
        <w:rPr>
          <w:rFonts w:ascii="Work Sans" w:hAnsi="Work Sans" w:cs="Times New Roman"/>
          <w:b/>
          <w:bCs/>
          <w:kern w:val="0"/>
          <w:sz w:val="18"/>
          <w:szCs w:val="18"/>
          <w:lang w:val="es-CO" w:eastAsia="es-ES" w:bidi="ar-SA"/>
        </w:rPr>
        <w:t>.</w:t>
      </w:r>
    </w:p>
    <w:p w:rsidR="00B6656D" w:rsidRDefault="00B6656D">
      <w:pPr>
        <w:widowControl/>
        <w:spacing w:line="276" w:lineRule="auto"/>
        <w:ind w:left="426" w:right="481"/>
        <w:jc w:val="both"/>
        <w:textAlignment w:val="auto"/>
        <w:rPr>
          <w:rFonts w:ascii="Work Sans" w:hAnsi="Work Sans" w:cs="Arial"/>
          <w:kern w:val="0"/>
          <w:sz w:val="18"/>
          <w:szCs w:val="18"/>
          <w:lang w:val="es-CO" w:eastAsia="es-ES" w:bidi="ar-SA"/>
        </w:rPr>
      </w:pPr>
    </w:p>
    <w:p w:rsidR="00B6656D" w:rsidRDefault="00000000">
      <w:pPr>
        <w:widowControl/>
        <w:spacing w:line="276" w:lineRule="auto"/>
        <w:ind w:left="426" w:right="481"/>
        <w:jc w:val="both"/>
        <w:textAlignment w:val="auto"/>
      </w:pPr>
      <w:r>
        <w:rPr>
          <w:rFonts w:ascii="Work Sans" w:hAnsi="Work Sans" w:cs="Arial"/>
          <w:i/>
          <w:kern w:val="0"/>
          <w:sz w:val="18"/>
          <w:szCs w:val="18"/>
          <w:lang w:val="es-CO" w:eastAsia="es-ES" w:bidi="ar-SA"/>
        </w:rPr>
        <w:t>Así las cosas, y teniendo en cuenta lo establecido en el contrato de concesión en la Sección 3.2(b)(i) de la Parte General, uno de los mecanismos para la Compensación por menor recaudo es la Subcuenta Autónoma de Soporte, el cual según Sección</w:t>
      </w:r>
      <w:r>
        <w:rPr>
          <w:rFonts w:ascii="Work Sans" w:hAnsi="Work Sans" w:cs="Arial"/>
          <w:kern w:val="0"/>
          <w:sz w:val="18"/>
          <w:szCs w:val="18"/>
          <w:lang w:val="es-CO" w:eastAsia="es-ES" w:bidi="ar-SA"/>
        </w:rPr>
        <w:t xml:space="preserve"> 3.15(h)(v)(2) “</w:t>
      </w:r>
      <w:r>
        <w:rPr>
          <w:rFonts w:ascii="Work Sans" w:hAnsi="Work Sans" w:cs="Arial"/>
          <w:i/>
          <w:iCs/>
          <w:kern w:val="0"/>
          <w:sz w:val="18"/>
          <w:szCs w:val="18"/>
          <w:lang w:val="es-CO" w:eastAsia="es-ES" w:bidi="ar-SA"/>
        </w:rPr>
        <w:t xml:space="preserve">los recursos disponibles en la Subcuenta Autónoma de Soporte se destinarán conforme a lo establecido en la Sección 3.2 para atender los riesgos compartidos en la porción a cargo de la ANI o asignados en su totalidad a la ANI”. Según la Sección 3.4(i)(ii) de la Parte General, “El valor resultante derivado del menor Recaudo de Peaje deberá ser compensado, así: (1) Al traslado a la Cuenta Proyecto de los recursos de la Subcuenta Autónoma de Soporte”, teniendo en cuenta esto, se ha podido determinar que la Subcuenta Autónoma de soporte cuenta con los recursos necesarios para soportar el pago de diferencia tarifaria </w:t>
      </w:r>
    </w:p>
    <w:p w:rsidR="00B6656D" w:rsidRDefault="00000000">
      <w:pPr>
        <w:widowControl/>
        <w:spacing w:line="276" w:lineRule="auto"/>
        <w:ind w:left="426" w:right="481"/>
        <w:jc w:val="both"/>
        <w:textAlignment w:val="auto"/>
        <w:rPr>
          <w:rFonts w:ascii="Work Sans" w:hAnsi="Work Sans" w:cs="Arial"/>
          <w:i/>
          <w:iCs/>
          <w:kern w:val="0"/>
          <w:sz w:val="18"/>
          <w:szCs w:val="18"/>
          <w:lang w:val="es-CO" w:eastAsia="es-ES" w:bidi="ar-SA"/>
        </w:rPr>
      </w:pPr>
      <w:r>
        <w:rPr>
          <w:rFonts w:ascii="Work Sans" w:hAnsi="Work Sans" w:cs="Arial"/>
          <w:i/>
          <w:iCs/>
          <w:kern w:val="0"/>
          <w:sz w:val="18"/>
          <w:szCs w:val="18"/>
          <w:lang w:val="es-CO" w:eastAsia="es-ES" w:bidi="ar-SA"/>
        </w:rPr>
        <w:t xml:space="preserve"> </w:t>
      </w:r>
    </w:p>
    <w:p w:rsidR="00B6656D" w:rsidRDefault="00000000">
      <w:pPr>
        <w:widowControl/>
        <w:spacing w:line="276" w:lineRule="auto"/>
        <w:ind w:left="426" w:right="481"/>
        <w:jc w:val="both"/>
        <w:textAlignment w:val="auto"/>
      </w:pPr>
      <w:r>
        <w:rPr>
          <w:rFonts w:ascii="Work Sans" w:hAnsi="Work Sans" w:cs="Arial"/>
          <w:i/>
          <w:kern w:val="0"/>
          <w:sz w:val="18"/>
          <w:szCs w:val="18"/>
          <w:lang w:val="es-CO" w:eastAsia="es-ES" w:bidi="ar-SA"/>
        </w:rPr>
        <w:t xml:space="preserve">Expuesto lo anterior, y teniendo en cuenta </w:t>
      </w:r>
      <w:bookmarkStart w:id="6" w:name="_Int_THq2rxhb"/>
      <w:r>
        <w:rPr>
          <w:rFonts w:ascii="Work Sans" w:hAnsi="Work Sans" w:cs="Arial"/>
          <w:i/>
          <w:kern w:val="0"/>
          <w:sz w:val="18"/>
          <w:szCs w:val="18"/>
          <w:lang w:val="es-CO" w:eastAsia="es-ES" w:bidi="ar-SA"/>
        </w:rPr>
        <w:t>que la</w:t>
      </w:r>
      <w:bookmarkEnd w:id="6"/>
      <w:r>
        <w:rPr>
          <w:rFonts w:ascii="Work Sans" w:hAnsi="Work Sans" w:cs="Arial"/>
          <w:i/>
          <w:kern w:val="0"/>
          <w:sz w:val="18"/>
          <w:szCs w:val="18"/>
          <w:lang w:val="es-CO" w:eastAsia="es-ES" w:bidi="ar-SA"/>
        </w:rPr>
        <w:t xml:space="preserve"> Subcuenta </w:t>
      </w:r>
      <w:bookmarkStart w:id="7" w:name="_Int_ZH0akSUp"/>
      <w:r>
        <w:rPr>
          <w:rFonts w:ascii="Work Sans" w:hAnsi="Work Sans" w:cs="Arial"/>
          <w:i/>
          <w:kern w:val="0"/>
          <w:sz w:val="18"/>
          <w:szCs w:val="18"/>
          <w:lang w:val="es-CO" w:eastAsia="es-ES" w:bidi="ar-SA"/>
        </w:rPr>
        <w:t>Autónoma</w:t>
      </w:r>
      <w:bookmarkEnd w:id="7"/>
      <w:r>
        <w:rPr>
          <w:rFonts w:ascii="Work Sans" w:hAnsi="Work Sans" w:cs="Arial"/>
          <w:i/>
          <w:kern w:val="0"/>
          <w:sz w:val="18"/>
          <w:szCs w:val="18"/>
          <w:lang w:val="es-CO" w:eastAsia="es-ES" w:bidi="ar-SA"/>
        </w:rPr>
        <w:t xml:space="preserve"> de Soporte presenta un saldo promedio </w:t>
      </w:r>
      <w:bookmarkStart w:id="8" w:name="_Int_5hNOhW1H"/>
      <w:r>
        <w:rPr>
          <w:rFonts w:ascii="Work Sans" w:hAnsi="Work Sans" w:cs="Arial"/>
          <w:i/>
          <w:kern w:val="0"/>
          <w:sz w:val="18"/>
          <w:szCs w:val="18"/>
          <w:lang w:val="es-CO" w:eastAsia="es-ES" w:bidi="ar-SA"/>
        </w:rPr>
        <w:t>mensual</w:t>
      </w:r>
      <w:bookmarkEnd w:id="8"/>
      <w:r>
        <w:rPr>
          <w:rFonts w:ascii="Work Sans" w:hAnsi="Work Sans" w:cs="Arial"/>
          <w:i/>
          <w:kern w:val="0"/>
          <w:sz w:val="18"/>
          <w:szCs w:val="18"/>
          <w:lang w:val="es-CO" w:eastAsia="es-ES" w:bidi="ar-SA"/>
        </w:rPr>
        <w:t xml:space="preserve"> de TRES MIL SETENTA Y SEIS MILLONES OCHOCIENTOS DOS MIL DOSCIENTOS SETENTA Y NUEVE PESOS CON SESENTA Y CUATRO CENTAVOS M/CTE ($3.076.802.279,</w:t>
      </w:r>
      <w:bookmarkStart w:id="9" w:name="_Int_qMeZWZGV"/>
      <w:r>
        <w:rPr>
          <w:rFonts w:ascii="Work Sans" w:hAnsi="Work Sans" w:cs="Arial"/>
          <w:i/>
          <w:kern w:val="0"/>
          <w:sz w:val="18"/>
          <w:szCs w:val="18"/>
          <w:lang w:val="es-CO" w:eastAsia="es-ES" w:bidi="ar-SA"/>
        </w:rPr>
        <w:t xml:space="preserve">64); así las </w:t>
      </w:r>
      <w:bookmarkStart w:id="10" w:name="_Int_Sx1dB3Zq"/>
      <w:r>
        <w:rPr>
          <w:rFonts w:ascii="Work Sans" w:hAnsi="Work Sans" w:cs="Arial"/>
          <w:i/>
          <w:kern w:val="0"/>
          <w:sz w:val="18"/>
          <w:szCs w:val="18"/>
          <w:lang w:val="es-CO" w:eastAsia="es-ES" w:bidi="ar-SA"/>
        </w:rPr>
        <w:t xml:space="preserve">cosas, </w:t>
      </w:r>
      <w:bookmarkStart w:id="11" w:name="_Int_xDSKd8xj"/>
      <w:bookmarkEnd w:id="10"/>
      <w:r>
        <w:rPr>
          <w:rFonts w:ascii="Work Sans" w:hAnsi="Work Sans" w:cs="Arial"/>
          <w:i/>
          <w:kern w:val="0"/>
          <w:sz w:val="18"/>
          <w:szCs w:val="18"/>
          <w:lang w:val="es-CO" w:eastAsia="es-ES" w:bidi="ar-SA"/>
        </w:rPr>
        <w:t>se cuenta</w:t>
      </w:r>
      <w:bookmarkEnd w:id="11"/>
      <w:r>
        <w:rPr>
          <w:rFonts w:ascii="Work Sans" w:hAnsi="Work Sans" w:cs="Arial"/>
          <w:i/>
          <w:kern w:val="0"/>
          <w:sz w:val="18"/>
          <w:szCs w:val="18"/>
          <w:lang w:val="es-CO" w:eastAsia="es-ES" w:bidi="ar-SA"/>
        </w:rPr>
        <w:t xml:space="preserve"> con </w:t>
      </w:r>
      <w:bookmarkStart w:id="12" w:name="_Int_XpHfjLII"/>
      <w:bookmarkStart w:id="13" w:name="_Int_oSnlwR1r"/>
      <w:bookmarkEnd w:id="9"/>
      <w:r>
        <w:rPr>
          <w:rFonts w:ascii="Work Sans" w:hAnsi="Work Sans" w:cs="Arial"/>
          <w:i/>
          <w:kern w:val="0"/>
          <w:sz w:val="18"/>
          <w:szCs w:val="18"/>
          <w:lang w:val="es-CO" w:eastAsia="es-ES" w:bidi="ar-SA"/>
        </w:rPr>
        <w:t>recursos para</w:t>
      </w:r>
      <w:bookmarkEnd w:id="12"/>
      <w:bookmarkEnd w:id="13"/>
      <w:r>
        <w:rPr>
          <w:rFonts w:ascii="Work Sans" w:hAnsi="Work Sans" w:cs="Arial"/>
          <w:i/>
          <w:kern w:val="0"/>
          <w:sz w:val="18"/>
          <w:szCs w:val="18"/>
          <w:lang w:val="es-CO" w:eastAsia="es-ES" w:bidi="ar-SA"/>
        </w:rPr>
        <w:t xml:space="preserve"> soportar los valores a compensar por diferencial tarifario derivado de la ampliación y aplicación de las tarifas diferenciales   </w:t>
      </w:r>
    </w:p>
    <w:p w:rsidR="00B6656D" w:rsidRDefault="00B6656D">
      <w:pPr>
        <w:widowControl/>
        <w:spacing w:line="276" w:lineRule="auto"/>
        <w:ind w:left="426" w:right="481"/>
        <w:jc w:val="both"/>
        <w:textAlignment w:val="auto"/>
        <w:rPr>
          <w:rFonts w:ascii="Work Sans" w:hAnsi="Work Sans" w:cs="Arial"/>
          <w:i/>
          <w:kern w:val="0"/>
          <w:sz w:val="18"/>
          <w:szCs w:val="18"/>
          <w:lang w:val="es-CO" w:eastAsia="es-ES" w:bidi="ar-SA"/>
        </w:rPr>
      </w:pPr>
    </w:p>
    <w:p w:rsidR="00B6656D" w:rsidRDefault="00000000">
      <w:pPr>
        <w:widowControl/>
        <w:spacing w:line="276" w:lineRule="auto"/>
        <w:ind w:left="426" w:right="481"/>
        <w:jc w:val="both"/>
        <w:textAlignment w:val="auto"/>
      </w:pPr>
      <w:bookmarkStart w:id="14" w:name="_Int_umWICGxA"/>
      <w:r>
        <w:rPr>
          <w:rFonts w:ascii="Work Sans" w:hAnsi="Work Sans" w:cs="Arial"/>
          <w:i/>
          <w:kern w:val="0"/>
          <w:sz w:val="18"/>
          <w:szCs w:val="18"/>
          <w:lang w:val="es-CO" w:eastAsia="es-ES" w:bidi="ar-SA"/>
        </w:rPr>
        <w:t>Así</w:t>
      </w:r>
      <w:bookmarkEnd w:id="14"/>
      <w:r>
        <w:rPr>
          <w:rFonts w:ascii="Work Sans" w:hAnsi="Work Sans" w:cs="Arial"/>
          <w:i/>
          <w:kern w:val="0"/>
          <w:sz w:val="18"/>
          <w:szCs w:val="18"/>
          <w:lang w:val="es-CO" w:eastAsia="es-ES" w:bidi="ar-SA"/>
        </w:rPr>
        <w:t xml:space="preserve"> </w:t>
      </w:r>
      <w:bookmarkStart w:id="15" w:name="_Int_jHauvnnA"/>
      <w:r>
        <w:rPr>
          <w:rFonts w:ascii="Work Sans" w:hAnsi="Work Sans" w:cs="Arial"/>
          <w:i/>
          <w:kern w:val="0"/>
          <w:sz w:val="18"/>
          <w:szCs w:val="18"/>
          <w:lang w:val="es-CO" w:eastAsia="es-ES" w:bidi="ar-SA"/>
        </w:rPr>
        <w:t>mismo,</w:t>
      </w:r>
      <w:bookmarkEnd w:id="15"/>
      <w:r>
        <w:rPr>
          <w:rFonts w:ascii="Work Sans" w:hAnsi="Work Sans" w:cs="Arial"/>
          <w:i/>
          <w:kern w:val="0"/>
          <w:sz w:val="18"/>
          <w:szCs w:val="18"/>
          <w:lang w:val="es-CO" w:eastAsia="es-ES" w:bidi="ar-SA"/>
        </w:rPr>
        <w:t xml:space="preserve"> es importante resaltar que Las </w:t>
      </w:r>
      <w:bookmarkStart w:id="16" w:name="_Int_qBiF1cIb"/>
      <w:bookmarkStart w:id="17" w:name="_Int_1hgm1VNQ"/>
      <w:r>
        <w:rPr>
          <w:rFonts w:ascii="Work Sans" w:hAnsi="Work Sans" w:cs="Arial"/>
          <w:i/>
          <w:kern w:val="0"/>
          <w:sz w:val="18"/>
          <w:szCs w:val="18"/>
          <w:lang w:val="es-CO" w:eastAsia="es-ES" w:bidi="ar-SA"/>
        </w:rPr>
        <w:t>tarifas</w:t>
      </w:r>
      <w:bookmarkEnd w:id="16"/>
      <w:r>
        <w:rPr>
          <w:rFonts w:ascii="Work Sans" w:hAnsi="Work Sans" w:cs="Arial"/>
          <w:i/>
          <w:kern w:val="0"/>
          <w:sz w:val="18"/>
          <w:szCs w:val="18"/>
          <w:lang w:val="es-CO" w:eastAsia="es-ES" w:bidi="ar-SA"/>
        </w:rPr>
        <w:t xml:space="preserve"> de</w:t>
      </w:r>
      <w:bookmarkEnd w:id="17"/>
      <w:r>
        <w:rPr>
          <w:rFonts w:ascii="Work Sans" w:hAnsi="Work Sans" w:cs="Arial"/>
          <w:i/>
          <w:kern w:val="0"/>
          <w:sz w:val="18"/>
          <w:szCs w:val="18"/>
          <w:lang w:val="es-CO" w:eastAsia="es-ES" w:bidi="ar-SA"/>
        </w:rPr>
        <w:t xml:space="preserve"> cada una de las Estaciones de Peaje serán ajustadas a más tardar el 16 de enero de cada año, conforme a lo previsto en la sección 4.2 (e) de la parte Especial del Contrato de Concesión, y se aplicarán para </w:t>
      </w:r>
      <w:r>
        <w:rPr>
          <w:rFonts w:ascii="Work Sans" w:hAnsi="Work Sans" w:cs="Arial"/>
          <w:i/>
          <w:kern w:val="0"/>
          <w:sz w:val="18"/>
          <w:szCs w:val="18"/>
          <w:lang w:val="es-CO" w:eastAsia="es-ES" w:bidi="ar-SA"/>
        </w:rPr>
        <w:lastRenderedPageBreak/>
        <w:t>cada año calendario hasta el 15 de enero del año siguiente. El resultado del ajuste por inflación deberá redondearse a la centena más cercana y se le adicionará el valor del Fondo de Seguridad Vial del periodo de actualización, acorde con la Resolución vigente que el Ministerio de Transporte expida para tal efecto.</w:t>
      </w:r>
    </w:p>
    <w:p w:rsidR="00B6656D" w:rsidRDefault="00B6656D">
      <w:pPr>
        <w:widowControl/>
        <w:spacing w:line="276" w:lineRule="auto"/>
        <w:ind w:left="426" w:right="481"/>
        <w:jc w:val="both"/>
        <w:textAlignment w:val="auto"/>
        <w:rPr>
          <w:rFonts w:ascii="Work Sans" w:hAnsi="Work Sans" w:cs="Arial"/>
          <w:bCs/>
          <w:i/>
          <w:kern w:val="0"/>
          <w:sz w:val="18"/>
          <w:szCs w:val="18"/>
          <w:lang w:val="es-ES_tradnl" w:eastAsia="es-ES" w:bidi="ar-SA"/>
        </w:rPr>
      </w:pPr>
    </w:p>
    <w:p w:rsidR="00B6656D" w:rsidRDefault="00000000">
      <w:pPr>
        <w:widowControl/>
        <w:numPr>
          <w:ilvl w:val="0"/>
          <w:numId w:val="20"/>
        </w:numPr>
        <w:spacing w:line="276" w:lineRule="auto"/>
        <w:ind w:left="426" w:right="481"/>
        <w:jc w:val="both"/>
        <w:textAlignment w:val="auto"/>
        <w:rPr>
          <w:rFonts w:ascii="Work Sans" w:hAnsi="Work Sans" w:cs="Arial"/>
          <w:b/>
          <w:i/>
          <w:kern w:val="0"/>
          <w:sz w:val="18"/>
          <w:szCs w:val="18"/>
          <w:lang w:val="es-ES_tradnl" w:eastAsia="es-ES" w:bidi="ar-SA"/>
        </w:rPr>
      </w:pPr>
      <w:r>
        <w:rPr>
          <w:rFonts w:ascii="Work Sans" w:hAnsi="Work Sans" w:cs="Arial"/>
          <w:b/>
          <w:i/>
          <w:kern w:val="0"/>
          <w:sz w:val="18"/>
          <w:szCs w:val="18"/>
          <w:lang w:val="es-ES_tradnl" w:eastAsia="es-ES" w:bidi="ar-SA"/>
        </w:rPr>
        <w:t>Pronunciamiento de la Concesionario y la Interventoría del Proyecto.</w:t>
      </w:r>
    </w:p>
    <w:p w:rsidR="00B6656D" w:rsidRDefault="00B6656D">
      <w:pPr>
        <w:widowControl/>
        <w:spacing w:line="276" w:lineRule="auto"/>
        <w:ind w:left="426" w:right="481"/>
        <w:jc w:val="both"/>
        <w:textAlignment w:val="auto"/>
        <w:rPr>
          <w:rFonts w:ascii="Work Sans" w:hAnsi="Work Sans" w:cs="Arial"/>
          <w:b/>
          <w:i/>
          <w:kern w:val="0"/>
          <w:sz w:val="18"/>
          <w:szCs w:val="18"/>
          <w:lang w:val="es-ES_tradnl" w:eastAsia="es-ES" w:bidi="ar-SA"/>
        </w:rPr>
      </w:pPr>
    </w:p>
    <w:p w:rsidR="00B6656D" w:rsidRDefault="00000000">
      <w:pPr>
        <w:widowControl/>
        <w:spacing w:line="276" w:lineRule="auto"/>
        <w:ind w:left="426" w:right="481"/>
        <w:jc w:val="both"/>
        <w:textAlignment w:val="auto"/>
        <w:rPr>
          <w:rFonts w:ascii="Work Sans" w:hAnsi="Work Sans" w:cs="Arial"/>
          <w:bCs/>
          <w:i/>
          <w:kern w:val="0"/>
          <w:sz w:val="18"/>
          <w:szCs w:val="18"/>
          <w:lang w:val="es-CO" w:eastAsia="es-ES" w:bidi="ar-SA"/>
        </w:rPr>
      </w:pPr>
      <w:r>
        <w:rPr>
          <w:rFonts w:ascii="Work Sans" w:hAnsi="Work Sans" w:cs="Arial"/>
          <w:bCs/>
          <w:i/>
          <w:kern w:val="0"/>
          <w:sz w:val="18"/>
          <w:szCs w:val="18"/>
          <w:lang w:val="es-CO" w:eastAsia="es-ES" w:bidi="ar-SA"/>
        </w:rPr>
        <w:t xml:space="preserve">La Concesión mediate la comunicación 48-147-20221109026236 de radicado ANI No. 20224091268952 del 11 de noviembre de 2022, indicó lo siguiente: </w:t>
      </w:r>
    </w:p>
    <w:p w:rsidR="00B6656D" w:rsidRDefault="00B6656D">
      <w:pPr>
        <w:widowControl/>
        <w:spacing w:line="276" w:lineRule="auto"/>
        <w:ind w:left="426" w:right="481"/>
        <w:jc w:val="both"/>
        <w:textAlignment w:val="auto"/>
        <w:rPr>
          <w:rFonts w:ascii="Work Sans" w:hAnsi="Work Sans" w:cs="Arial"/>
          <w:bCs/>
          <w:kern w:val="0"/>
          <w:sz w:val="18"/>
          <w:szCs w:val="18"/>
          <w:lang w:val="es-CO" w:eastAsia="es-ES" w:bidi="ar-SA"/>
        </w:rPr>
      </w:pPr>
    </w:p>
    <w:p w:rsidR="00B6656D" w:rsidRDefault="00000000">
      <w:pPr>
        <w:widowControl/>
        <w:ind w:left="426" w:right="481"/>
        <w:jc w:val="both"/>
        <w:textAlignment w:val="auto"/>
      </w:pPr>
      <w:r>
        <w:rPr>
          <w:rFonts w:ascii="Work Sans" w:hAnsi="Work Sans" w:cs="Arial"/>
          <w:bCs/>
          <w:i/>
          <w:iCs/>
          <w:kern w:val="0"/>
          <w:sz w:val="18"/>
          <w:szCs w:val="18"/>
          <w:lang w:val="es-CO" w:eastAsia="es-ES" w:bidi="ar-SA"/>
        </w:rPr>
        <w:t xml:space="preserve">“En respuesta a su oficio recibido el día 28 de octubre de 2022, a través del radicado CORUMAR N° </w:t>
      </w:r>
      <w:r>
        <w:rPr>
          <w:rFonts w:ascii="Work Sans" w:hAnsi="Work Sans" w:cs="Arial"/>
          <w:b/>
          <w:bCs/>
          <w:i/>
          <w:iCs/>
          <w:kern w:val="0"/>
          <w:sz w:val="18"/>
          <w:szCs w:val="18"/>
          <w:lang w:val="es-CO" w:eastAsia="es-ES" w:bidi="ar-SA"/>
        </w:rPr>
        <w:t>47-RUTADCTOELECTRONICOS-20221028003828</w:t>
      </w:r>
      <w:r>
        <w:rPr>
          <w:rFonts w:ascii="Work Sans" w:hAnsi="Work Sans" w:cs="Arial"/>
          <w:bCs/>
          <w:i/>
          <w:iCs/>
          <w:kern w:val="0"/>
          <w:sz w:val="18"/>
          <w:szCs w:val="18"/>
          <w:lang w:val="es-CO" w:eastAsia="es-ES" w:bidi="ar-SA"/>
        </w:rPr>
        <w:t xml:space="preserve">, mediante el cual solicita a este Concesionario, un análisis encaminado a determinar el escenario que comportaría el hecho de: </w:t>
      </w:r>
    </w:p>
    <w:p w:rsidR="00B6656D" w:rsidRDefault="00B6656D">
      <w:pPr>
        <w:widowControl/>
        <w:ind w:left="426" w:right="481"/>
        <w:jc w:val="both"/>
        <w:textAlignment w:val="auto"/>
        <w:rPr>
          <w:rFonts w:ascii="Work Sans" w:hAnsi="Work Sans" w:cs="Arial"/>
          <w:bCs/>
          <w:i/>
          <w:iCs/>
          <w:kern w:val="0"/>
          <w:sz w:val="18"/>
          <w:szCs w:val="18"/>
          <w:lang w:val="es-CO" w:eastAsia="es-ES" w:bidi="ar-SA"/>
        </w:rPr>
      </w:pPr>
    </w:p>
    <w:p w:rsidR="00B6656D" w:rsidRDefault="00000000">
      <w:pPr>
        <w:widowControl/>
        <w:ind w:left="426" w:right="481"/>
        <w:jc w:val="both"/>
        <w:textAlignment w:val="auto"/>
      </w:pPr>
      <w:r>
        <w:rPr>
          <w:rFonts w:ascii="Work Sans" w:hAnsi="Work Sans" w:cs="Arial"/>
          <w:b/>
          <w:bCs/>
          <w:i/>
          <w:iCs/>
          <w:kern w:val="0"/>
          <w:sz w:val="18"/>
          <w:szCs w:val="18"/>
          <w:lang w:val="es-CO" w:eastAsia="es-ES" w:bidi="ar-SA"/>
        </w:rPr>
        <w:t xml:space="preserve">1. </w:t>
      </w:r>
      <w:r>
        <w:rPr>
          <w:rFonts w:ascii="Work Sans" w:hAnsi="Work Sans" w:cs="Arial"/>
          <w:bCs/>
          <w:i/>
          <w:iCs/>
          <w:kern w:val="0"/>
          <w:sz w:val="18"/>
          <w:szCs w:val="18"/>
          <w:lang w:val="es-CO" w:eastAsia="es-ES" w:bidi="ar-SA"/>
        </w:rPr>
        <w:t xml:space="preserve">Ampliar las tarifas de servicio público establecidos en la Resolución N°0000410 de 2020, hasta el año 2026 inclusive, entendiendo que la entidad hace referencia que sería hasta el 31 de diciembre de 2026. </w:t>
      </w:r>
    </w:p>
    <w:p w:rsidR="00B6656D" w:rsidRDefault="00B6656D">
      <w:pPr>
        <w:widowControl/>
        <w:ind w:left="426" w:right="481"/>
        <w:jc w:val="both"/>
        <w:textAlignment w:val="auto"/>
        <w:rPr>
          <w:rFonts w:ascii="Work Sans" w:hAnsi="Work Sans" w:cs="Arial"/>
          <w:bCs/>
          <w:i/>
          <w:iCs/>
          <w:kern w:val="0"/>
          <w:sz w:val="18"/>
          <w:szCs w:val="18"/>
          <w:lang w:val="es-CO" w:eastAsia="es-ES" w:bidi="ar-SA"/>
        </w:rPr>
      </w:pPr>
    </w:p>
    <w:p w:rsidR="00B6656D" w:rsidRDefault="00000000">
      <w:pPr>
        <w:widowControl/>
        <w:ind w:left="426" w:right="481"/>
        <w:jc w:val="both"/>
        <w:textAlignment w:val="auto"/>
      </w:pPr>
      <w:r>
        <w:rPr>
          <w:rFonts w:ascii="Work Sans" w:hAnsi="Work Sans" w:cs="Arial"/>
          <w:b/>
          <w:bCs/>
          <w:i/>
          <w:iCs/>
          <w:kern w:val="0"/>
          <w:sz w:val="18"/>
          <w:szCs w:val="18"/>
          <w:lang w:val="es-CO" w:eastAsia="es-ES" w:bidi="ar-SA"/>
        </w:rPr>
        <w:t xml:space="preserve">2. </w:t>
      </w:r>
      <w:r>
        <w:rPr>
          <w:rFonts w:ascii="Work Sans" w:hAnsi="Work Sans" w:cs="Arial"/>
          <w:bCs/>
          <w:i/>
          <w:iCs/>
          <w:kern w:val="0"/>
          <w:sz w:val="18"/>
          <w:szCs w:val="18"/>
          <w:lang w:val="es-CO" w:eastAsia="es-ES" w:bidi="ar-SA"/>
        </w:rPr>
        <w:t xml:space="preserve">Incrementar el número de cupos de Tarifa Diferencial establecidos en el artículo 4 de la Resolución N°0000410 de 2020. </w:t>
      </w:r>
    </w:p>
    <w:p w:rsidR="00B6656D" w:rsidRDefault="00B6656D">
      <w:pPr>
        <w:widowControl/>
        <w:ind w:left="426" w:right="481"/>
        <w:jc w:val="both"/>
        <w:textAlignment w:val="auto"/>
        <w:rPr>
          <w:rFonts w:ascii="Work Sans" w:hAnsi="Work Sans" w:cs="Arial"/>
          <w:bCs/>
          <w:i/>
          <w:iCs/>
          <w:kern w:val="0"/>
          <w:sz w:val="18"/>
          <w:szCs w:val="18"/>
          <w:lang w:val="es-CO" w:eastAsia="es-ES" w:bidi="ar-SA"/>
        </w:rPr>
      </w:pPr>
    </w:p>
    <w:p w:rsidR="00B6656D" w:rsidRDefault="00000000">
      <w:pPr>
        <w:widowControl/>
        <w:ind w:left="426" w:right="481"/>
        <w:jc w:val="both"/>
        <w:textAlignment w:val="auto"/>
        <w:rPr>
          <w:rFonts w:ascii="Work Sans" w:hAnsi="Work Sans" w:cs="Arial"/>
          <w:bCs/>
          <w:i/>
          <w:iCs/>
          <w:kern w:val="0"/>
          <w:sz w:val="18"/>
          <w:szCs w:val="18"/>
          <w:lang w:val="es-CO" w:eastAsia="es-ES" w:bidi="ar-SA"/>
        </w:rPr>
      </w:pPr>
      <w:r>
        <w:rPr>
          <w:rFonts w:ascii="Work Sans" w:hAnsi="Work Sans" w:cs="Arial"/>
          <w:bCs/>
          <w:i/>
          <w:iCs/>
          <w:kern w:val="0"/>
          <w:sz w:val="18"/>
          <w:szCs w:val="18"/>
          <w:lang w:val="es-CO" w:eastAsia="es-ES" w:bidi="ar-SA"/>
        </w:rPr>
        <w:t>De acuerdo con lo solicitado informamos que, para el caso enlistado en el numeral 1, anterior, una vez realizado el análisis financiero se concluyó que existen recursos necesarios para cubrir el riesgo ANI de otorgamiento de Tarifas Diferenciales para los vehículos de servicio público, establecidas en la Resolución 0000410 de 2020, hasta el 31 de diciembre de 2026.</w:t>
      </w:r>
    </w:p>
    <w:p w:rsidR="00B6656D" w:rsidRDefault="00B6656D">
      <w:pPr>
        <w:widowControl/>
        <w:ind w:left="426" w:right="481"/>
        <w:jc w:val="both"/>
        <w:textAlignment w:val="auto"/>
        <w:rPr>
          <w:rFonts w:ascii="Work Sans" w:hAnsi="Work Sans" w:cs="Arial"/>
          <w:bCs/>
          <w:i/>
          <w:iCs/>
          <w:kern w:val="0"/>
          <w:sz w:val="18"/>
          <w:szCs w:val="18"/>
          <w:lang w:val="es-CO" w:eastAsia="es-ES" w:bidi="ar-SA"/>
        </w:rPr>
      </w:pPr>
    </w:p>
    <w:p w:rsidR="00B6656D" w:rsidRDefault="00000000">
      <w:pPr>
        <w:widowControl/>
        <w:ind w:left="426" w:right="481"/>
        <w:jc w:val="both"/>
        <w:textAlignment w:val="auto"/>
        <w:rPr>
          <w:rFonts w:ascii="Work Sans" w:hAnsi="Work Sans" w:cs="Arial"/>
          <w:bCs/>
          <w:i/>
          <w:iCs/>
          <w:kern w:val="0"/>
          <w:sz w:val="18"/>
          <w:szCs w:val="18"/>
          <w:lang w:val="es-CO" w:eastAsia="es-ES" w:bidi="ar-SA"/>
        </w:rPr>
      </w:pPr>
      <w:r>
        <w:rPr>
          <w:rFonts w:ascii="Work Sans" w:hAnsi="Work Sans" w:cs="Arial"/>
          <w:bCs/>
          <w:i/>
          <w:iCs/>
          <w:kern w:val="0"/>
          <w:sz w:val="18"/>
          <w:szCs w:val="18"/>
          <w:lang w:val="es-CO" w:eastAsia="es-ES" w:bidi="ar-SA"/>
        </w:rPr>
        <w:t>De otra parte, en lo que respecta a la segunda solicitud, relacionada con el incremento de cupos para el caso de los vehículos a los que se hace referencia en el artículo 4 de la Resolución 0000410 de 2020, inicialmente, consideramos de la mayor relevancia recordar a la entidad que si bien el acto administrativo contempla el otorgamiento de 120 cupos, la Entidad concedió motu proprio 26 cupos más, lo cual traduce que en la actualidad un total de 146 vehículos, gozan del beneficio. Todo lo anterior se dice, sin perjuicio de la imperiosa necesidad de realizar la modificación del artículo 4 de la Resolución 0000410 de 2020, nacida a raíz del exceso de cupos otorgados por la ANI para los vehículos particulares.</w:t>
      </w:r>
    </w:p>
    <w:p w:rsidR="00B6656D" w:rsidRDefault="00B6656D">
      <w:pPr>
        <w:widowControl/>
        <w:ind w:left="426" w:right="481"/>
        <w:jc w:val="both"/>
        <w:textAlignment w:val="auto"/>
        <w:rPr>
          <w:rFonts w:ascii="Work Sans" w:hAnsi="Work Sans" w:cs="Arial"/>
          <w:bCs/>
          <w:i/>
          <w:iCs/>
          <w:kern w:val="0"/>
          <w:sz w:val="18"/>
          <w:szCs w:val="18"/>
          <w:lang w:val="es-CO" w:eastAsia="es-ES" w:bidi="ar-SA"/>
        </w:rPr>
      </w:pPr>
    </w:p>
    <w:p w:rsidR="00B6656D" w:rsidRDefault="00000000">
      <w:pPr>
        <w:widowControl/>
        <w:ind w:left="426" w:right="481"/>
        <w:jc w:val="both"/>
        <w:textAlignment w:val="auto"/>
      </w:pPr>
      <w:r>
        <w:rPr>
          <w:rFonts w:ascii="Work Sans" w:hAnsi="Work Sans" w:cs="Arial"/>
          <w:bCs/>
          <w:i/>
          <w:iCs/>
          <w:kern w:val="0"/>
          <w:sz w:val="18"/>
          <w:szCs w:val="18"/>
          <w:lang w:val="es-CO" w:eastAsia="es-ES" w:bidi="ar-SA"/>
        </w:rPr>
        <w:t>Ahora bien, una vez realizado el análisis solicitado respecto al aumento de cupos para el caso de los vehículos indicados en el artículo 4 de la Resolución 0000410 de 2020, se concluyó que se cuenta con disponibilidad de aumentar el número de cupos, pasando de 120 a 150 cupos, en las mismas condiciones temporales que se tienen en actualidad. Es decir, manteniendo el beneficio hasta el año 2049.”</w:t>
      </w:r>
    </w:p>
    <w:p w:rsidR="00B6656D" w:rsidRDefault="00B6656D">
      <w:pPr>
        <w:widowControl/>
        <w:spacing w:line="276" w:lineRule="auto"/>
        <w:ind w:left="426" w:right="481"/>
        <w:textAlignment w:val="auto"/>
        <w:rPr>
          <w:rFonts w:ascii="Work Sans" w:hAnsi="Work Sans" w:cs="Times New Roman"/>
          <w:kern w:val="0"/>
          <w:sz w:val="18"/>
          <w:szCs w:val="18"/>
          <w:lang w:val="es-ES_tradnl" w:eastAsia="es-ES" w:bidi="ar-SA"/>
        </w:rPr>
      </w:pPr>
    </w:p>
    <w:p w:rsidR="00B6656D" w:rsidRDefault="00000000">
      <w:pPr>
        <w:widowControl/>
        <w:spacing w:line="276" w:lineRule="auto"/>
        <w:ind w:left="426" w:right="481"/>
        <w:jc w:val="both"/>
        <w:textAlignment w:val="auto"/>
      </w:pPr>
      <w:r>
        <w:rPr>
          <w:rFonts w:ascii="Work Sans" w:hAnsi="Work Sans" w:cs="Times New Roman"/>
          <w:i/>
          <w:kern w:val="0"/>
          <w:sz w:val="18"/>
          <w:szCs w:val="18"/>
          <w:lang w:eastAsia="es-ES" w:bidi="ar-SA"/>
        </w:rPr>
        <w:t>Por otra parte, l</w:t>
      </w:r>
      <w:r>
        <w:rPr>
          <w:rFonts w:ascii="Work Sans" w:eastAsia="Arial Narrow" w:hAnsi="Work Sans" w:cs="Arial Narrow"/>
          <w:i/>
          <w:kern w:val="0"/>
          <w:sz w:val="18"/>
          <w:szCs w:val="18"/>
          <w:lang w:val="es-CO" w:eastAsia="es-ES" w:bidi="ar-SA"/>
        </w:rPr>
        <w:t>a Interventoría Consorcio CR Concesiones, mediante la comunicación CI.023/AB10270/22/7.5.9 de radicado ANI No.</w:t>
      </w:r>
      <w:r>
        <w:rPr>
          <w:rFonts w:ascii="Work Sans" w:hAnsi="Work Sans" w:cs="Times New Roman"/>
          <w:i/>
          <w:kern w:val="0"/>
          <w:sz w:val="18"/>
          <w:szCs w:val="18"/>
          <w:lang w:val="es-CO" w:eastAsia="es-ES" w:bidi="ar-SA"/>
        </w:rPr>
        <w:t xml:space="preserve"> </w:t>
      </w:r>
      <w:r>
        <w:rPr>
          <w:rFonts w:ascii="Work Sans" w:eastAsia="Arial Narrow" w:hAnsi="Work Sans" w:cs="Arial Narrow"/>
          <w:i/>
          <w:kern w:val="0"/>
          <w:sz w:val="18"/>
          <w:szCs w:val="18"/>
          <w:lang w:val="es-CO" w:eastAsia="es-ES" w:bidi="ar-SA"/>
        </w:rPr>
        <w:t xml:space="preserve">20224091320772 del 24 de noviembre de 2022, emitió el concepto correspondiente, del cual se concluye lo siguiente: </w:t>
      </w:r>
    </w:p>
    <w:p w:rsidR="00B6656D" w:rsidRDefault="00B6656D">
      <w:pPr>
        <w:widowControl/>
        <w:spacing w:line="276" w:lineRule="auto"/>
        <w:ind w:left="426" w:right="481"/>
        <w:textAlignment w:val="auto"/>
        <w:rPr>
          <w:rFonts w:ascii="Work Sans" w:eastAsia="Arial Narrow" w:hAnsi="Work Sans" w:cs="Arial Narrow"/>
          <w:i/>
          <w:kern w:val="0"/>
          <w:sz w:val="18"/>
          <w:szCs w:val="18"/>
          <w:lang w:val="es-CO" w:eastAsia="es-ES" w:bidi="ar-SA"/>
        </w:rPr>
      </w:pPr>
    </w:p>
    <w:p w:rsidR="00B6656D" w:rsidRDefault="00000000">
      <w:pPr>
        <w:widowControl/>
        <w:ind w:left="426" w:right="481"/>
        <w:jc w:val="both"/>
        <w:textAlignment w:val="auto"/>
        <w:rPr>
          <w:rFonts w:ascii="Work Sans" w:eastAsia="Arial Narrow" w:hAnsi="Work Sans" w:cs="Arial Narrow"/>
          <w:i/>
          <w:kern w:val="0"/>
          <w:sz w:val="18"/>
          <w:szCs w:val="18"/>
          <w:lang w:eastAsia="es-ES" w:bidi="ar-SA"/>
        </w:rPr>
      </w:pPr>
      <w:r>
        <w:rPr>
          <w:rFonts w:ascii="Work Sans" w:eastAsia="Arial Narrow" w:hAnsi="Work Sans" w:cs="Arial Narrow"/>
          <w:i/>
          <w:kern w:val="0"/>
          <w:sz w:val="18"/>
          <w:szCs w:val="18"/>
          <w:lang w:eastAsia="es-ES" w:bidi="ar-SA"/>
        </w:rPr>
        <w:t xml:space="preserve">En atención a la solicitud enviada mediante radicado N° 20225000368281 del 16 de Noviembre de  2022,  respecto a la información remitida por el concesionario mediante radicado No  48-147-20221109026236 donde se presenta el ejercicio para ampliar las </w:t>
      </w:r>
      <w:r>
        <w:rPr>
          <w:rFonts w:ascii="Work Sans" w:eastAsia="Arial Narrow" w:hAnsi="Work Sans" w:cs="Arial Narrow"/>
          <w:i/>
          <w:kern w:val="0"/>
          <w:sz w:val="18"/>
          <w:szCs w:val="18"/>
          <w:lang w:eastAsia="es-ES" w:bidi="ar-SA"/>
        </w:rPr>
        <w:lastRenderedPageBreak/>
        <w:t xml:space="preserve">tarifas diferenciales de servicio público  establecidas en la resolución No 410 del 26 de Febrero de 2020 e incrementar  el número de cupos de Tarifa Diferencial establecidos en el artículo 4 de la Resolución N°0000410 de 2020, la Interventoría dio respuesta conforme el ejercicio interno realizado así: </w:t>
      </w:r>
    </w:p>
    <w:p w:rsidR="00B6656D" w:rsidRDefault="00B6656D">
      <w:pPr>
        <w:autoSpaceDE w:val="0"/>
        <w:ind w:left="426" w:right="481"/>
        <w:jc w:val="both"/>
        <w:textAlignment w:val="auto"/>
        <w:rPr>
          <w:rFonts w:ascii="Work Sans" w:eastAsia="Arial Narrow" w:hAnsi="Work Sans" w:cs="Arial Narrow"/>
          <w:i/>
          <w:kern w:val="0"/>
          <w:sz w:val="18"/>
          <w:szCs w:val="18"/>
          <w:lang w:eastAsia="es-ES" w:bidi="ar-SA"/>
        </w:rPr>
      </w:pPr>
    </w:p>
    <w:p w:rsidR="00B6656D" w:rsidRDefault="00000000">
      <w:pPr>
        <w:ind w:left="426" w:right="481"/>
        <w:jc w:val="both"/>
        <w:textAlignment w:val="auto"/>
        <w:rPr>
          <w:rFonts w:ascii="Work Sans" w:eastAsia="Arial Narrow" w:hAnsi="Work Sans" w:cs="Arial Narrow"/>
          <w:i/>
          <w:kern w:val="0"/>
          <w:sz w:val="18"/>
          <w:szCs w:val="18"/>
          <w:lang w:eastAsia="es-ES" w:bidi="ar-SA"/>
        </w:rPr>
      </w:pPr>
      <w:r>
        <w:rPr>
          <w:rFonts w:ascii="Work Sans" w:eastAsia="Arial Narrow" w:hAnsi="Work Sans" w:cs="Arial Narrow"/>
          <w:i/>
          <w:kern w:val="0"/>
          <w:sz w:val="18"/>
          <w:szCs w:val="18"/>
          <w:lang w:eastAsia="es-ES" w:bidi="ar-SA"/>
        </w:rPr>
        <w:t>1) Validar el análisis presentado por el Concesionario, y particularmente la disponibilidad de recursos para los escenarios:</w:t>
      </w:r>
    </w:p>
    <w:p w:rsidR="00B6656D" w:rsidRDefault="00B6656D">
      <w:pPr>
        <w:ind w:left="426" w:right="481"/>
        <w:jc w:val="both"/>
        <w:textAlignment w:val="auto"/>
        <w:rPr>
          <w:rFonts w:ascii="Work Sans" w:eastAsia="Arial Narrow" w:hAnsi="Work Sans" w:cs="Arial Narrow"/>
          <w:i/>
          <w:iCs/>
          <w:kern w:val="0"/>
          <w:sz w:val="18"/>
          <w:szCs w:val="18"/>
          <w:lang w:eastAsia="es-ES" w:bidi="ar-SA"/>
        </w:rPr>
      </w:pPr>
    </w:p>
    <w:p w:rsidR="00B6656D" w:rsidRDefault="00B6656D">
      <w:pPr>
        <w:ind w:left="426" w:right="481"/>
        <w:jc w:val="both"/>
        <w:textAlignment w:val="auto"/>
        <w:rPr>
          <w:rFonts w:ascii="Work Sans" w:eastAsia="Arial Narrow" w:hAnsi="Work Sans" w:cs="Arial Narrow"/>
          <w:i/>
          <w:iCs/>
          <w:kern w:val="0"/>
          <w:sz w:val="18"/>
          <w:szCs w:val="18"/>
          <w:lang w:eastAsia="es-ES" w:bidi="ar-SA"/>
        </w:rPr>
      </w:pPr>
    </w:p>
    <w:p w:rsidR="00B6656D" w:rsidRDefault="00000000">
      <w:pPr>
        <w:ind w:left="426" w:right="481"/>
        <w:jc w:val="both"/>
        <w:textAlignment w:val="auto"/>
        <w:rPr>
          <w:rFonts w:ascii="Work Sans" w:eastAsia="Arial Narrow" w:hAnsi="Work Sans" w:cs="Arial Narrow"/>
          <w:b/>
          <w:i/>
          <w:kern w:val="0"/>
          <w:sz w:val="18"/>
          <w:szCs w:val="18"/>
          <w:lang w:eastAsia="es-ES" w:bidi="ar-SA"/>
        </w:rPr>
      </w:pPr>
      <w:r>
        <w:rPr>
          <w:rFonts w:ascii="Work Sans" w:eastAsia="Arial Narrow" w:hAnsi="Work Sans" w:cs="Arial Narrow"/>
          <w:b/>
          <w:i/>
          <w:kern w:val="0"/>
          <w:sz w:val="18"/>
          <w:szCs w:val="18"/>
          <w:lang w:eastAsia="es-ES" w:bidi="ar-SA"/>
        </w:rPr>
        <w:t>Peaje Los Manguitos</w:t>
      </w:r>
    </w:p>
    <w:p w:rsidR="00B6656D" w:rsidRDefault="00B6656D">
      <w:pPr>
        <w:ind w:left="426" w:right="481"/>
        <w:jc w:val="both"/>
        <w:textAlignment w:val="auto"/>
        <w:rPr>
          <w:rFonts w:ascii="Work Sans" w:eastAsia="Arial Narrow" w:hAnsi="Work Sans" w:cs="Arial Narrow"/>
          <w:i/>
          <w:kern w:val="0"/>
          <w:sz w:val="18"/>
          <w:szCs w:val="18"/>
          <w:lang w:eastAsia="es-ES" w:bidi="ar-SA"/>
        </w:rPr>
      </w:pPr>
    </w:p>
    <w:p w:rsidR="00B6656D" w:rsidRDefault="00000000">
      <w:pPr>
        <w:ind w:left="426" w:right="481"/>
        <w:jc w:val="both"/>
        <w:textAlignment w:val="auto"/>
        <w:rPr>
          <w:rFonts w:ascii="Work Sans" w:eastAsia="Arial Narrow" w:hAnsi="Work Sans" w:cs="Arial Narrow"/>
          <w:i/>
          <w:kern w:val="0"/>
          <w:sz w:val="18"/>
          <w:szCs w:val="18"/>
          <w:lang w:eastAsia="es-ES" w:bidi="ar-SA"/>
        </w:rPr>
      </w:pPr>
      <w:r>
        <w:rPr>
          <w:rFonts w:ascii="Work Sans" w:eastAsia="Arial Narrow" w:hAnsi="Work Sans" w:cs="Arial Narrow"/>
          <w:i/>
          <w:kern w:val="0"/>
          <w:sz w:val="18"/>
          <w:szCs w:val="18"/>
          <w:lang w:eastAsia="es-ES" w:bidi="ar-SA"/>
        </w:rPr>
        <w:t>El ejercicio de ampliar su vigencia para las categorías IE (Resol. 410 Art 1): Públicos y IIE (Resol. 410 Art 1): Públicos, corresponde a un valor total de $411 millones (Año 2022-2026), teniendo en cuenta el trafico promedio diario como se presenta a continuación:</w:t>
      </w:r>
    </w:p>
    <w:p w:rsidR="00B6656D" w:rsidRDefault="00000000">
      <w:pPr>
        <w:ind w:left="720"/>
        <w:jc w:val="both"/>
        <w:textAlignment w:val="auto"/>
        <w:rPr>
          <w:rFonts w:ascii="Work Sans" w:eastAsia="Arial Narrow" w:hAnsi="Work Sans" w:cs="Arial Narrow"/>
          <w:kern w:val="0"/>
          <w:sz w:val="18"/>
          <w:szCs w:val="18"/>
          <w:lang w:eastAsia="es-ES" w:bidi="ar-SA"/>
        </w:rPr>
      </w:pPr>
      <w:r>
        <w:rPr>
          <w:rFonts w:ascii="Work Sans" w:eastAsia="Arial Narrow" w:hAnsi="Work Sans" w:cs="Arial Narrow"/>
          <w:kern w:val="0"/>
          <w:sz w:val="18"/>
          <w:szCs w:val="18"/>
          <w:lang w:eastAsia="es-ES" w:bidi="ar-SA"/>
        </w:rPr>
        <w:t xml:space="preserve"> </w:t>
      </w:r>
    </w:p>
    <w:tbl>
      <w:tblPr>
        <w:tblW w:w="5000" w:type="pct"/>
        <w:tblCellMar>
          <w:left w:w="10" w:type="dxa"/>
          <w:right w:w="10" w:type="dxa"/>
        </w:tblCellMar>
        <w:tblLook w:val="04A0" w:firstRow="1" w:lastRow="0" w:firstColumn="1" w:lastColumn="0" w:noHBand="0" w:noVBand="1"/>
      </w:tblPr>
      <w:tblGrid>
        <w:gridCol w:w="2943"/>
        <w:gridCol w:w="1843"/>
        <w:gridCol w:w="202"/>
        <w:gridCol w:w="202"/>
        <w:gridCol w:w="1913"/>
        <w:gridCol w:w="1448"/>
      </w:tblGrid>
      <w:tr w:rsidR="00B6656D">
        <w:tblPrEx>
          <w:tblCellMar>
            <w:top w:w="0" w:type="dxa"/>
            <w:bottom w:w="0" w:type="dxa"/>
          </w:tblCellMar>
        </w:tblPrEx>
        <w:trPr>
          <w:trHeight w:val="284"/>
          <w:tblHeader/>
        </w:trPr>
        <w:tc>
          <w:tcPr>
            <w:tcW w:w="2943" w:type="dxa"/>
            <w:vMerge w:val="restart"/>
            <w:tcBorders>
              <w:top w:val="single" w:sz="4" w:space="0" w:color="7F7F7F"/>
              <w:left w:val="single" w:sz="4" w:space="0" w:color="7F7F7F"/>
              <w:bottom w:val="single" w:sz="4" w:space="0" w:color="7F7F7F"/>
              <w:right w:val="single" w:sz="4" w:space="0" w:color="7F7F7F"/>
            </w:tcBorders>
            <w:shd w:val="clear" w:color="auto" w:fill="FFF2CC"/>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CATEGORIA ESPECIAL</w:t>
            </w:r>
          </w:p>
        </w:tc>
        <w:tc>
          <w:tcPr>
            <w:tcW w:w="1843" w:type="dxa"/>
            <w:vMerge w:val="restart"/>
            <w:tcBorders>
              <w:top w:val="single" w:sz="4" w:space="0" w:color="7F7F7F"/>
              <w:left w:val="single" w:sz="4" w:space="0" w:color="7F7F7F"/>
              <w:bottom w:val="single" w:sz="4" w:space="0" w:color="7F7F7F"/>
              <w:right w:val="single" w:sz="4" w:space="0" w:color="7F7F7F"/>
            </w:tcBorders>
            <w:shd w:val="clear" w:color="auto" w:fill="FFF2CC"/>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VIGENCIA</w:t>
            </w:r>
          </w:p>
        </w:tc>
        <w:tc>
          <w:tcPr>
            <w:tcW w:w="202" w:type="dxa"/>
            <w:tcBorders>
              <w:lef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202" w:type="dxa"/>
            <w:tcBorders>
              <w:right w:val="single" w:sz="4" w:space="0" w:color="7F7F7F"/>
            </w:tcBorders>
            <w:shd w:val="clear" w:color="auto" w:fill="FFFFFF"/>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1913" w:type="dxa"/>
            <w:vMerge w:val="restart"/>
            <w:tcBorders>
              <w:top w:val="single" w:sz="4" w:space="0" w:color="7F7F7F"/>
              <w:left w:val="single" w:sz="4" w:space="0" w:color="7F7F7F"/>
              <w:bottom w:val="single" w:sz="4" w:space="0" w:color="7F7F7F"/>
              <w:right w:val="single" w:sz="4" w:space="0" w:color="7F7F7F"/>
            </w:tcBorders>
            <w:shd w:val="clear" w:color="auto" w:fill="C6E0B4"/>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COSTO TOTAL TARIFA $ Millones (desde 2023 hasta 2026)</w:t>
            </w:r>
          </w:p>
        </w:tc>
        <w:tc>
          <w:tcPr>
            <w:tcW w:w="1448" w:type="dxa"/>
            <w:vMerge w:val="restart"/>
            <w:tcBorders>
              <w:top w:val="single" w:sz="4" w:space="0" w:color="7F7F7F"/>
              <w:left w:val="single" w:sz="4" w:space="0" w:color="7F7F7F"/>
              <w:bottom w:val="single" w:sz="4" w:space="0" w:color="7F7F7F"/>
              <w:right w:val="single" w:sz="4" w:space="0" w:color="7F7F7F"/>
            </w:tcBorders>
            <w:shd w:val="clear" w:color="auto" w:fill="C6E0B4"/>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xml:space="preserve">TPD PROYECCION </w:t>
            </w:r>
          </w:p>
        </w:tc>
      </w:tr>
      <w:tr w:rsidR="00B6656D">
        <w:tblPrEx>
          <w:tblCellMar>
            <w:top w:w="0" w:type="dxa"/>
            <w:bottom w:w="0" w:type="dxa"/>
          </w:tblCellMar>
        </w:tblPrEx>
        <w:trPr>
          <w:trHeight w:val="363"/>
        </w:trPr>
        <w:tc>
          <w:tcPr>
            <w:tcW w:w="2943" w:type="dxa"/>
            <w:vMerge/>
            <w:tcBorders>
              <w:top w:val="single" w:sz="4" w:space="0" w:color="7F7F7F"/>
              <w:left w:val="single" w:sz="4" w:space="0" w:color="7F7F7F"/>
              <w:bottom w:val="single" w:sz="4" w:space="0" w:color="7F7F7F"/>
              <w:right w:val="single" w:sz="4" w:space="0" w:color="7F7F7F"/>
            </w:tcBorders>
            <w:shd w:val="clear" w:color="auto" w:fill="FFF2CC"/>
            <w:tcMar>
              <w:top w:w="0" w:type="dxa"/>
              <w:left w:w="70" w:type="dxa"/>
              <w:bottom w:w="0" w:type="dxa"/>
              <w:right w:w="70" w:type="dxa"/>
            </w:tcMar>
            <w:vAlign w:val="center"/>
          </w:tcPr>
          <w:p w:rsidR="00B6656D" w:rsidRDefault="00B6656D">
            <w:pPr>
              <w:autoSpaceDE w:val="0"/>
              <w:jc w:val="both"/>
              <w:textAlignment w:val="auto"/>
              <w:rPr>
                <w:rFonts w:ascii="Work Sans" w:eastAsia="Arial Narrow" w:hAnsi="Work Sans" w:cs="Arial Narrow"/>
                <w:b/>
                <w:bCs/>
                <w:i/>
                <w:kern w:val="0"/>
                <w:sz w:val="18"/>
                <w:szCs w:val="18"/>
                <w:lang w:val="es-CO" w:eastAsia="es-ES" w:bidi="ar-SA"/>
              </w:rPr>
            </w:pPr>
          </w:p>
        </w:tc>
        <w:tc>
          <w:tcPr>
            <w:tcW w:w="1843" w:type="dxa"/>
            <w:vMerge/>
            <w:tcBorders>
              <w:top w:val="single" w:sz="4" w:space="0" w:color="7F7F7F"/>
              <w:left w:val="single" w:sz="4" w:space="0" w:color="7F7F7F"/>
              <w:bottom w:val="single" w:sz="4" w:space="0" w:color="7F7F7F"/>
              <w:right w:val="single" w:sz="4" w:space="0" w:color="7F7F7F"/>
            </w:tcBorders>
            <w:shd w:val="clear" w:color="auto" w:fill="FFF2CC"/>
            <w:tcMar>
              <w:top w:w="0" w:type="dxa"/>
              <w:left w:w="70" w:type="dxa"/>
              <w:bottom w:w="0" w:type="dxa"/>
              <w:right w:w="70" w:type="dxa"/>
            </w:tcMar>
            <w:vAlign w:val="center"/>
          </w:tcPr>
          <w:p w:rsidR="00B6656D" w:rsidRDefault="00B6656D">
            <w:pPr>
              <w:autoSpaceDE w:val="0"/>
              <w:jc w:val="both"/>
              <w:textAlignment w:val="auto"/>
              <w:rPr>
                <w:rFonts w:ascii="Work Sans" w:eastAsia="Arial Narrow" w:hAnsi="Work Sans" w:cs="Arial Narrow"/>
                <w:b/>
                <w:bCs/>
                <w:i/>
                <w:kern w:val="0"/>
                <w:sz w:val="18"/>
                <w:szCs w:val="18"/>
                <w:lang w:val="es-CO" w:eastAsia="es-ES" w:bidi="ar-SA"/>
              </w:rPr>
            </w:pPr>
          </w:p>
        </w:tc>
        <w:tc>
          <w:tcPr>
            <w:tcW w:w="202" w:type="dxa"/>
            <w:tcBorders>
              <w:lef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202" w:type="dxa"/>
            <w:tcBorders>
              <w:right w:val="single" w:sz="4" w:space="0" w:color="7F7F7F"/>
            </w:tcBorders>
            <w:shd w:val="clear" w:color="auto" w:fill="FFFFFF"/>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1913" w:type="dxa"/>
            <w:vMerge/>
            <w:tcBorders>
              <w:top w:val="single" w:sz="4" w:space="0" w:color="7F7F7F"/>
              <w:left w:val="single" w:sz="4" w:space="0" w:color="7F7F7F"/>
              <w:bottom w:val="single" w:sz="4" w:space="0" w:color="7F7F7F"/>
              <w:right w:val="single" w:sz="4" w:space="0" w:color="7F7F7F"/>
            </w:tcBorders>
            <w:shd w:val="clear" w:color="auto" w:fill="C6E0B4"/>
            <w:tcMar>
              <w:top w:w="0" w:type="dxa"/>
              <w:left w:w="70" w:type="dxa"/>
              <w:bottom w:w="0" w:type="dxa"/>
              <w:right w:w="70" w:type="dxa"/>
            </w:tcMar>
            <w:vAlign w:val="center"/>
          </w:tcPr>
          <w:p w:rsidR="00B6656D" w:rsidRDefault="00B6656D">
            <w:pPr>
              <w:autoSpaceDE w:val="0"/>
              <w:jc w:val="both"/>
              <w:textAlignment w:val="auto"/>
              <w:rPr>
                <w:rFonts w:ascii="Work Sans" w:eastAsia="Arial Narrow" w:hAnsi="Work Sans" w:cs="Arial Narrow"/>
                <w:b/>
                <w:bCs/>
                <w:i/>
                <w:kern w:val="0"/>
                <w:sz w:val="18"/>
                <w:szCs w:val="18"/>
                <w:lang w:val="es-CO" w:eastAsia="es-ES" w:bidi="ar-SA"/>
              </w:rPr>
            </w:pPr>
          </w:p>
        </w:tc>
        <w:tc>
          <w:tcPr>
            <w:tcW w:w="1448" w:type="dxa"/>
            <w:vMerge/>
            <w:tcBorders>
              <w:top w:val="single" w:sz="4" w:space="0" w:color="7F7F7F"/>
              <w:left w:val="single" w:sz="4" w:space="0" w:color="7F7F7F"/>
              <w:bottom w:val="single" w:sz="4" w:space="0" w:color="7F7F7F"/>
              <w:right w:val="single" w:sz="4" w:space="0" w:color="7F7F7F"/>
            </w:tcBorders>
            <w:shd w:val="clear" w:color="auto" w:fill="C6E0B4"/>
            <w:tcMar>
              <w:top w:w="0" w:type="dxa"/>
              <w:left w:w="70" w:type="dxa"/>
              <w:bottom w:w="0" w:type="dxa"/>
              <w:right w:w="70" w:type="dxa"/>
            </w:tcMar>
            <w:vAlign w:val="center"/>
          </w:tcPr>
          <w:p w:rsidR="00B6656D" w:rsidRDefault="00B6656D">
            <w:pPr>
              <w:autoSpaceDE w:val="0"/>
              <w:jc w:val="both"/>
              <w:textAlignment w:val="auto"/>
              <w:rPr>
                <w:rFonts w:ascii="Work Sans" w:eastAsia="Arial Narrow" w:hAnsi="Work Sans" w:cs="Arial Narrow"/>
                <w:b/>
                <w:bCs/>
                <w:i/>
                <w:kern w:val="0"/>
                <w:sz w:val="18"/>
                <w:szCs w:val="18"/>
                <w:lang w:val="es-CO" w:eastAsia="es-ES" w:bidi="ar-SA"/>
              </w:rPr>
            </w:pPr>
          </w:p>
        </w:tc>
      </w:tr>
      <w:tr w:rsidR="00B6656D">
        <w:tblPrEx>
          <w:tblCellMar>
            <w:top w:w="0" w:type="dxa"/>
            <w:bottom w:w="0" w:type="dxa"/>
          </w:tblCellMar>
        </w:tblPrEx>
        <w:trPr>
          <w:trHeight w:val="210"/>
        </w:trPr>
        <w:tc>
          <w:tcPr>
            <w:tcW w:w="2943" w:type="dxa"/>
            <w:tcBorders>
              <w:top w:val="single" w:sz="4" w:space="0" w:color="7F7F7F"/>
              <w:left w:val="single" w:sz="4" w:space="0" w:color="7F7F7F"/>
              <w:bottom w:val="single" w:sz="4" w:space="0" w:color="7F7F7F"/>
              <w:right w:val="single" w:sz="4" w:space="0" w:color="7F7F7F"/>
            </w:tcBorders>
            <w:shd w:val="clear" w:color="auto" w:fill="FFFFFF"/>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IE (Resol. 410 Art 1): Públicos.</w:t>
            </w:r>
          </w:p>
        </w:tc>
        <w:tc>
          <w:tcPr>
            <w:tcW w:w="1843" w:type="dxa"/>
            <w:tcBorders>
              <w:top w:val="single" w:sz="4" w:space="0" w:color="7F7F7F"/>
              <w:left w:val="single" w:sz="4" w:space="0" w:color="7F7F7F"/>
              <w:bottom w:val="single" w:sz="4" w:space="0" w:color="7F7F7F"/>
              <w:righ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31/12/2026</w:t>
            </w:r>
          </w:p>
        </w:tc>
        <w:tc>
          <w:tcPr>
            <w:tcW w:w="202" w:type="dxa"/>
            <w:tcBorders>
              <w:lef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 </w:t>
            </w:r>
          </w:p>
        </w:tc>
        <w:tc>
          <w:tcPr>
            <w:tcW w:w="202" w:type="dxa"/>
            <w:tcBorders>
              <w:righ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1913" w:type="dxa"/>
            <w:tcBorders>
              <w:top w:val="single" w:sz="4" w:space="0" w:color="7F7F7F"/>
              <w:left w:val="single" w:sz="4" w:space="0" w:color="7F7F7F"/>
              <w:bottom w:val="single" w:sz="4" w:space="0" w:color="7F7F7F"/>
              <w:right w:val="single" w:sz="4" w:space="0" w:color="7F7F7F"/>
            </w:tcBorders>
            <w:shd w:val="clear" w:color="auto" w:fill="E2EFDA"/>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$99</w:t>
            </w:r>
          </w:p>
        </w:tc>
        <w:tc>
          <w:tcPr>
            <w:tcW w:w="1448" w:type="dxa"/>
            <w:tcBorders>
              <w:top w:val="single" w:sz="4" w:space="0" w:color="7F7F7F"/>
              <w:left w:val="single" w:sz="4" w:space="0" w:color="7F7F7F"/>
              <w:bottom w:val="single" w:sz="4" w:space="0" w:color="7F7F7F"/>
              <w:right w:val="single" w:sz="4" w:space="0" w:color="7F7F7F"/>
            </w:tcBorders>
            <w:shd w:val="clear" w:color="auto" w:fill="E2EFDA"/>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9</w:t>
            </w:r>
          </w:p>
        </w:tc>
      </w:tr>
      <w:tr w:rsidR="00B6656D">
        <w:tblPrEx>
          <w:tblCellMar>
            <w:top w:w="0" w:type="dxa"/>
            <w:bottom w:w="0" w:type="dxa"/>
          </w:tblCellMar>
        </w:tblPrEx>
        <w:trPr>
          <w:trHeight w:val="210"/>
        </w:trPr>
        <w:tc>
          <w:tcPr>
            <w:tcW w:w="2943" w:type="dxa"/>
            <w:tcBorders>
              <w:top w:val="single" w:sz="4" w:space="0" w:color="7F7F7F"/>
              <w:left w:val="single" w:sz="4" w:space="0" w:color="7F7F7F"/>
              <w:bottom w:val="single" w:sz="4" w:space="0" w:color="7F7F7F"/>
              <w:right w:val="single" w:sz="4" w:space="0" w:color="7F7F7F"/>
            </w:tcBorders>
            <w:shd w:val="clear" w:color="auto" w:fill="FFFFFF"/>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IIE (Resol. 410 Art 1): Públicos</w:t>
            </w:r>
          </w:p>
        </w:tc>
        <w:tc>
          <w:tcPr>
            <w:tcW w:w="1843" w:type="dxa"/>
            <w:tcBorders>
              <w:top w:val="single" w:sz="4" w:space="0" w:color="7F7F7F"/>
              <w:left w:val="single" w:sz="4" w:space="0" w:color="7F7F7F"/>
              <w:bottom w:val="single" w:sz="4" w:space="0" w:color="7F7F7F"/>
              <w:righ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31/12/2026</w:t>
            </w:r>
          </w:p>
        </w:tc>
        <w:tc>
          <w:tcPr>
            <w:tcW w:w="202" w:type="dxa"/>
            <w:tcBorders>
              <w:lef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 </w:t>
            </w:r>
          </w:p>
        </w:tc>
        <w:tc>
          <w:tcPr>
            <w:tcW w:w="202" w:type="dxa"/>
            <w:tcBorders>
              <w:righ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1913" w:type="dxa"/>
            <w:tcBorders>
              <w:top w:val="single" w:sz="4" w:space="0" w:color="7F7F7F"/>
              <w:left w:val="single" w:sz="4" w:space="0" w:color="7F7F7F"/>
              <w:bottom w:val="single" w:sz="4" w:space="0" w:color="7F7F7F"/>
              <w:right w:val="single" w:sz="4" w:space="0" w:color="7F7F7F"/>
            </w:tcBorders>
            <w:shd w:val="clear" w:color="auto" w:fill="E2EFDA"/>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$312</w:t>
            </w:r>
          </w:p>
        </w:tc>
        <w:tc>
          <w:tcPr>
            <w:tcW w:w="1448" w:type="dxa"/>
            <w:tcBorders>
              <w:top w:val="single" w:sz="4" w:space="0" w:color="7F7F7F"/>
              <w:left w:val="single" w:sz="4" w:space="0" w:color="7F7F7F"/>
              <w:bottom w:val="single" w:sz="4" w:space="0" w:color="7F7F7F"/>
              <w:right w:val="single" w:sz="4" w:space="0" w:color="7F7F7F"/>
            </w:tcBorders>
            <w:shd w:val="clear" w:color="auto" w:fill="E2EFDA"/>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20</w:t>
            </w:r>
          </w:p>
        </w:tc>
      </w:tr>
    </w:tbl>
    <w:p w:rsidR="00B6656D" w:rsidRDefault="00B6656D">
      <w:pPr>
        <w:ind w:left="720"/>
        <w:jc w:val="both"/>
        <w:textAlignment w:val="auto"/>
        <w:rPr>
          <w:rFonts w:ascii="Work Sans" w:eastAsia="Arial Narrow" w:hAnsi="Work Sans" w:cs="Arial Narrow"/>
          <w:i/>
          <w:kern w:val="0"/>
          <w:sz w:val="18"/>
          <w:szCs w:val="18"/>
          <w:lang w:eastAsia="es-ES" w:bidi="ar-SA"/>
        </w:rPr>
      </w:pPr>
    </w:p>
    <w:p w:rsidR="00B6656D" w:rsidRDefault="00B6656D">
      <w:pPr>
        <w:ind w:left="720"/>
        <w:jc w:val="both"/>
        <w:textAlignment w:val="auto"/>
        <w:rPr>
          <w:rFonts w:ascii="Work Sans" w:eastAsia="Arial Narrow" w:hAnsi="Work Sans" w:cs="Arial Narrow"/>
          <w:i/>
          <w:kern w:val="0"/>
          <w:sz w:val="18"/>
          <w:szCs w:val="18"/>
          <w:lang w:eastAsia="es-ES" w:bidi="ar-SA"/>
        </w:rPr>
      </w:pPr>
    </w:p>
    <w:p w:rsidR="00B6656D" w:rsidRDefault="00000000">
      <w:pPr>
        <w:ind w:left="720" w:right="481"/>
        <w:jc w:val="both"/>
        <w:textAlignment w:val="auto"/>
        <w:rPr>
          <w:rFonts w:ascii="Work Sans" w:eastAsia="Arial Narrow" w:hAnsi="Work Sans" w:cs="Arial Narrow"/>
          <w:b/>
          <w:i/>
          <w:kern w:val="0"/>
          <w:sz w:val="18"/>
          <w:szCs w:val="18"/>
          <w:lang w:eastAsia="es-ES" w:bidi="ar-SA"/>
        </w:rPr>
      </w:pPr>
      <w:r>
        <w:rPr>
          <w:rFonts w:ascii="Work Sans" w:eastAsia="Arial Narrow" w:hAnsi="Work Sans" w:cs="Arial Narrow"/>
          <w:b/>
          <w:i/>
          <w:kern w:val="0"/>
          <w:sz w:val="18"/>
          <w:szCs w:val="18"/>
          <w:lang w:eastAsia="es-ES" w:bidi="ar-SA"/>
        </w:rPr>
        <w:t>Peaje de Mata de Caña</w:t>
      </w:r>
    </w:p>
    <w:p w:rsidR="00B6656D" w:rsidRDefault="00B6656D">
      <w:pPr>
        <w:ind w:left="720" w:right="481"/>
        <w:jc w:val="both"/>
        <w:textAlignment w:val="auto"/>
        <w:rPr>
          <w:rFonts w:ascii="Work Sans" w:eastAsia="Arial Narrow" w:hAnsi="Work Sans" w:cs="Arial Narrow"/>
          <w:i/>
          <w:kern w:val="0"/>
          <w:sz w:val="18"/>
          <w:szCs w:val="18"/>
          <w:lang w:eastAsia="es-ES" w:bidi="ar-SA"/>
        </w:rPr>
      </w:pPr>
    </w:p>
    <w:p w:rsidR="00B6656D" w:rsidRDefault="00000000">
      <w:pPr>
        <w:ind w:left="720" w:right="481"/>
        <w:jc w:val="both"/>
        <w:textAlignment w:val="auto"/>
        <w:rPr>
          <w:rFonts w:ascii="Work Sans" w:eastAsia="Arial Narrow" w:hAnsi="Work Sans" w:cs="Arial Narrow"/>
          <w:i/>
          <w:kern w:val="0"/>
          <w:sz w:val="18"/>
          <w:szCs w:val="18"/>
          <w:lang w:eastAsia="es-ES" w:bidi="ar-SA"/>
        </w:rPr>
      </w:pPr>
      <w:r>
        <w:rPr>
          <w:rFonts w:ascii="Work Sans" w:eastAsia="Arial Narrow" w:hAnsi="Work Sans" w:cs="Arial Narrow"/>
          <w:i/>
          <w:kern w:val="0"/>
          <w:sz w:val="18"/>
          <w:szCs w:val="18"/>
          <w:lang w:eastAsia="es-ES" w:bidi="ar-SA"/>
        </w:rPr>
        <w:t>El ejercicio de ampliar su vigencia para las categorías IE (Resol. 410 Art. 1) públicos y IIE (Resol. 410 Art. 1) Públicos, corresponde a un valor total de $1.306 millones (Año 2022-2026), teniendo en cuenta el tráfico promedio diario como se presenta a continuación:</w:t>
      </w:r>
    </w:p>
    <w:p w:rsidR="00B6656D" w:rsidRDefault="00B6656D">
      <w:pPr>
        <w:ind w:right="481"/>
        <w:jc w:val="both"/>
        <w:textAlignment w:val="auto"/>
        <w:rPr>
          <w:rFonts w:ascii="Work Sans" w:eastAsia="Arial Narrow" w:hAnsi="Work Sans" w:cs="Arial Narrow"/>
          <w:i/>
          <w:kern w:val="0"/>
          <w:sz w:val="18"/>
          <w:szCs w:val="18"/>
          <w:lang w:eastAsia="es-ES" w:bidi="ar-SA"/>
        </w:rPr>
      </w:pPr>
    </w:p>
    <w:tbl>
      <w:tblPr>
        <w:tblW w:w="5000" w:type="pct"/>
        <w:tblCellMar>
          <w:left w:w="10" w:type="dxa"/>
          <w:right w:w="10" w:type="dxa"/>
        </w:tblCellMar>
        <w:tblLook w:val="04A0" w:firstRow="1" w:lastRow="0" w:firstColumn="1" w:lastColumn="0" w:noHBand="0" w:noVBand="1"/>
      </w:tblPr>
      <w:tblGrid>
        <w:gridCol w:w="2945"/>
        <w:gridCol w:w="1842"/>
        <w:gridCol w:w="202"/>
        <w:gridCol w:w="202"/>
        <w:gridCol w:w="1912"/>
        <w:gridCol w:w="1448"/>
      </w:tblGrid>
      <w:tr w:rsidR="00B6656D">
        <w:tblPrEx>
          <w:tblCellMar>
            <w:top w:w="0" w:type="dxa"/>
            <w:bottom w:w="0" w:type="dxa"/>
          </w:tblCellMar>
        </w:tblPrEx>
        <w:trPr>
          <w:trHeight w:val="415"/>
        </w:trPr>
        <w:tc>
          <w:tcPr>
            <w:tcW w:w="2945" w:type="dxa"/>
            <w:vMerge w:val="restart"/>
            <w:tcBorders>
              <w:top w:val="single" w:sz="4" w:space="0" w:color="808080"/>
              <w:left w:val="single" w:sz="4" w:space="0" w:color="808080"/>
              <w:bottom w:val="single" w:sz="4" w:space="0" w:color="808080"/>
              <w:right w:val="single" w:sz="4" w:space="0" w:color="808080"/>
            </w:tcBorders>
            <w:shd w:val="clear" w:color="auto" w:fill="FFF2CC"/>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CATEGORIA ESPECIAL</w:t>
            </w:r>
          </w:p>
        </w:tc>
        <w:tc>
          <w:tcPr>
            <w:tcW w:w="1842" w:type="dxa"/>
            <w:vMerge w:val="restart"/>
            <w:tcBorders>
              <w:top w:val="single" w:sz="4" w:space="0" w:color="808080"/>
              <w:left w:val="single" w:sz="4" w:space="0" w:color="808080"/>
              <w:bottom w:val="single" w:sz="4" w:space="0" w:color="808080"/>
              <w:right w:val="single" w:sz="4" w:space="0" w:color="808080"/>
            </w:tcBorders>
            <w:shd w:val="clear" w:color="auto" w:fill="FFF2CC"/>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VIGENCIA</w:t>
            </w:r>
          </w:p>
        </w:tc>
        <w:tc>
          <w:tcPr>
            <w:tcW w:w="202" w:type="dxa"/>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202" w:type="dxa"/>
            <w:shd w:val="clear" w:color="auto" w:fill="FFFFFF"/>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1912" w:type="dxa"/>
            <w:vMerge w:val="restart"/>
            <w:tcBorders>
              <w:top w:val="single" w:sz="4" w:space="0" w:color="808080"/>
              <w:left w:val="single" w:sz="4" w:space="0" w:color="808080"/>
              <w:bottom w:val="single" w:sz="4" w:space="0" w:color="808080"/>
              <w:right w:val="single" w:sz="4" w:space="0" w:color="808080"/>
            </w:tcBorders>
            <w:shd w:val="clear" w:color="auto" w:fill="C6E0B4"/>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COSTO TOTAL TARIFA $ Millones (desde 2023 hasta 2026)</w:t>
            </w:r>
          </w:p>
        </w:tc>
        <w:tc>
          <w:tcPr>
            <w:tcW w:w="1448" w:type="dxa"/>
            <w:vMerge w:val="restart"/>
            <w:tcBorders>
              <w:top w:val="single" w:sz="4" w:space="0" w:color="808080"/>
              <w:left w:val="single" w:sz="4" w:space="0" w:color="808080"/>
              <w:bottom w:val="single" w:sz="4" w:space="0" w:color="808080"/>
              <w:right w:val="single" w:sz="4" w:space="0" w:color="808080"/>
            </w:tcBorders>
            <w:shd w:val="clear" w:color="auto" w:fill="C6E0B4"/>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xml:space="preserve">TPD PROYECCION </w:t>
            </w:r>
          </w:p>
        </w:tc>
      </w:tr>
      <w:tr w:rsidR="00B6656D">
        <w:tblPrEx>
          <w:tblCellMar>
            <w:top w:w="0" w:type="dxa"/>
            <w:bottom w:w="0" w:type="dxa"/>
          </w:tblCellMar>
        </w:tblPrEx>
        <w:trPr>
          <w:trHeight w:val="530"/>
        </w:trPr>
        <w:tc>
          <w:tcPr>
            <w:tcW w:w="2945" w:type="dxa"/>
            <w:vMerge/>
            <w:tcBorders>
              <w:top w:val="single" w:sz="4" w:space="0" w:color="808080"/>
              <w:left w:val="single" w:sz="4" w:space="0" w:color="808080"/>
              <w:bottom w:val="single" w:sz="4" w:space="0" w:color="808080"/>
              <w:right w:val="single" w:sz="4" w:space="0" w:color="808080"/>
            </w:tcBorders>
            <w:shd w:val="clear" w:color="auto" w:fill="FFF2CC"/>
            <w:tcMar>
              <w:top w:w="0" w:type="dxa"/>
              <w:left w:w="70" w:type="dxa"/>
              <w:bottom w:w="0" w:type="dxa"/>
              <w:right w:w="70" w:type="dxa"/>
            </w:tcMar>
            <w:vAlign w:val="center"/>
          </w:tcPr>
          <w:p w:rsidR="00B6656D" w:rsidRDefault="00B6656D">
            <w:pPr>
              <w:autoSpaceDE w:val="0"/>
              <w:jc w:val="both"/>
              <w:textAlignment w:val="auto"/>
              <w:rPr>
                <w:rFonts w:ascii="Work Sans" w:eastAsia="Arial Narrow" w:hAnsi="Work Sans" w:cs="Arial Narrow"/>
                <w:b/>
                <w:bCs/>
                <w:i/>
                <w:kern w:val="0"/>
                <w:sz w:val="18"/>
                <w:szCs w:val="18"/>
                <w:lang w:val="es-CO" w:eastAsia="es-ES" w:bidi="ar-SA"/>
              </w:rPr>
            </w:pPr>
          </w:p>
        </w:tc>
        <w:tc>
          <w:tcPr>
            <w:tcW w:w="1842" w:type="dxa"/>
            <w:vMerge/>
            <w:tcBorders>
              <w:top w:val="single" w:sz="4" w:space="0" w:color="808080"/>
              <w:left w:val="single" w:sz="4" w:space="0" w:color="808080"/>
              <w:bottom w:val="single" w:sz="4" w:space="0" w:color="808080"/>
              <w:right w:val="single" w:sz="4" w:space="0" w:color="808080"/>
            </w:tcBorders>
            <w:shd w:val="clear" w:color="auto" w:fill="FFF2CC"/>
            <w:tcMar>
              <w:top w:w="0" w:type="dxa"/>
              <w:left w:w="70" w:type="dxa"/>
              <w:bottom w:w="0" w:type="dxa"/>
              <w:right w:w="70" w:type="dxa"/>
            </w:tcMar>
            <w:vAlign w:val="center"/>
          </w:tcPr>
          <w:p w:rsidR="00B6656D" w:rsidRDefault="00B6656D">
            <w:pPr>
              <w:autoSpaceDE w:val="0"/>
              <w:jc w:val="both"/>
              <w:textAlignment w:val="auto"/>
              <w:rPr>
                <w:rFonts w:ascii="Work Sans" w:eastAsia="Arial Narrow" w:hAnsi="Work Sans" w:cs="Arial Narrow"/>
                <w:b/>
                <w:bCs/>
                <w:i/>
                <w:kern w:val="0"/>
                <w:sz w:val="18"/>
                <w:szCs w:val="18"/>
                <w:lang w:val="es-CO" w:eastAsia="es-ES" w:bidi="ar-SA"/>
              </w:rPr>
            </w:pPr>
          </w:p>
        </w:tc>
        <w:tc>
          <w:tcPr>
            <w:tcW w:w="202" w:type="dxa"/>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202" w:type="dxa"/>
            <w:shd w:val="clear" w:color="auto" w:fill="FFFFFF"/>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1912" w:type="dxa"/>
            <w:vMerge/>
            <w:tcBorders>
              <w:top w:val="single" w:sz="4" w:space="0" w:color="808080"/>
              <w:left w:val="single" w:sz="4" w:space="0" w:color="808080"/>
              <w:bottom w:val="single" w:sz="4" w:space="0" w:color="808080"/>
              <w:right w:val="single" w:sz="4" w:space="0" w:color="808080"/>
            </w:tcBorders>
            <w:shd w:val="clear" w:color="auto" w:fill="C6E0B4"/>
            <w:tcMar>
              <w:top w:w="0" w:type="dxa"/>
              <w:left w:w="70" w:type="dxa"/>
              <w:bottom w:w="0" w:type="dxa"/>
              <w:right w:w="70" w:type="dxa"/>
            </w:tcMar>
            <w:vAlign w:val="center"/>
          </w:tcPr>
          <w:p w:rsidR="00B6656D" w:rsidRDefault="00B6656D">
            <w:pPr>
              <w:autoSpaceDE w:val="0"/>
              <w:jc w:val="both"/>
              <w:textAlignment w:val="auto"/>
              <w:rPr>
                <w:rFonts w:ascii="Work Sans" w:eastAsia="Arial Narrow" w:hAnsi="Work Sans" w:cs="Arial Narrow"/>
                <w:b/>
                <w:bCs/>
                <w:i/>
                <w:kern w:val="0"/>
                <w:sz w:val="18"/>
                <w:szCs w:val="18"/>
                <w:lang w:val="es-CO" w:eastAsia="es-ES" w:bidi="ar-SA"/>
              </w:rPr>
            </w:pPr>
          </w:p>
        </w:tc>
        <w:tc>
          <w:tcPr>
            <w:tcW w:w="1448" w:type="dxa"/>
            <w:vMerge/>
            <w:tcBorders>
              <w:top w:val="single" w:sz="4" w:space="0" w:color="808080"/>
              <w:left w:val="single" w:sz="4" w:space="0" w:color="808080"/>
              <w:bottom w:val="single" w:sz="4" w:space="0" w:color="808080"/>
              <w:right w:val="single" w:sz="4" w:space="0" w:color="808080"/>
            </w:tcBorders>
            <w:shd w:val="clear" w:color="auto" w:fill="C6E0B4"/>
            <w:tcMar>
              <w:top w:w="0" w:type="dxa"/>
              <w:left w:w="70" w:type="dxa"/>
              <w:bottom w:w="0" w:type="dxa"/>
              <w:right w:w="70" w:type="dxa"/>
            </w:tcMar>
            <w:vAlign w:val="center"/>
          </w:tcPr>
          <w:p w:rsidR="00B6656D" w:rsidRDefault="00B6656D">
            <w:pPr>
              <w:autoSpaceDE w:val="0"/>
              <w:jc w:val="both"/>
              <w:textAlignment w:val="auto"/>
              <w:rPr>
                <w:rFonts w:ascii="Work Sans" w:eastAsia="Arial Narrow" w:hAnsi="Work Sans" w:cs="Arial Narrow"/>
                <w:b/>
                <w:bCs/>
                <w:i/>
                <w:kern w:val="0"/>
                <w:sz w:val="18"/>
                <w:szCs w:val="18"/>
                <w:lang w:val="es-CO" w:eastAsia="es-ES" w:bidi="ar-SA"/>
              </w:rPr>
            </w:pPr>
          </w:p>
        </w:tc>
      </w:tr>
      <w:tr w:rsidR="00B6656D">
        <w:tblPrEx>
          <w:tblCellMar>
            <w:top w:w="0" w:type="dxa"/>
            <w:bottom w:w="0" w:type="dxa"/>
          </w:tblCellMar>
        </w:tblPrEx>
        <w:trPr>
          <w:trHeight w:val="253"/>
        </w:trPr>
        <w:tc>
          <w:tcPr>
            <w:tcW w:w="2945" w:type="dxa"/>
            <w:tcBorders>
              <w:top w:val="single" w:sz="4" w:space="0" w:color="808080"/>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IE (Resol. 410 Art. 1) públicos</w:t>
            </w:r>
          </w:p>
        </w:tc>
        <w:tc>
          <w:tcPr>
            <w:tcW w:w="1842" w:type="dxa"/>
            <w:tcBorders>
              <w:top w:val="single" w:sz="4" w:space="0" w:color="808080"/>
              <w:bottom w:val="single" w:sz="4" w:space="0" w:color="808080"/>
              <w:right w:val="single" w:sz="4" w:space="0" w:color="808080"/>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31/12/2026</w:t>
            </w:r>
          </w:p>
        </w:tc>
        <w:tc>
          <w:tcPr>
            <w:tcW w:w="202" w:type="dxa"/>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 </w:t>
            </w:r>
          </w:p>
        </w:tc>
        <w:tc>
          <w:tcPr>
            <w:tcW w:w="202" w:type="dxa"/>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1912" w:type="dxa"/>
            <w:tcBorders>
              <w:top w:val="single" w:sz="4" w:space="0" w:color="808080"/>
              <w:bottom w:val="single" w:sz="4" w:space="0" w:color="808080"/>
              <w:right w:val="single" w:sz="4" w:space="0" w:color="808080"/>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$35</w:t>
            </w:r>
          </w:p>
        </w:tc>
        <w:tc>
          <w:tcPr>
            <w:tcW w:w="1448" w:type="dxa"/>
            <w:tcBorders>
              <w:top w:val="single" w:sz="4" w:space="0" w:color="808080"/>
              <w:bottom w:val="single" w:sz="4" w:space="0" w:color="808080"/>
              <w:right w:val="single" w:sz="4" w:space="0" w:color="808080"/>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3</w:t>
            </w:r>
          </w:p>
        </w:tc>
      </w:tr>
      <w:tr w:rsidR="00B6656D">
        <w:tblPrEx>
          <w:tblCellMar>
            <w:top w:w="0" w:type="dxa"/>
            <w:bottom w:w="0" w:type="dxa"/>
          </w:tblCellMar>
        </w:tblPrEx>
        <w:trPr>
          <w:trHeight w:val="315"/>
        </w:trPr>
        <w:tc>
          <w:tcPr>
            <w:tcW w:w="2945" w:type="dxa"/>
            <w:tcBorders>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IIE (Resol. 410 Art. 1) Públicos</w:t>
            </w:r>
          </w:p>
        </w:tc>
        <w:tc>
          <w:tcPr>
            <w:tcW w:w="1842" w:type="dxa"/>
            <w:tcBorders>
              <w:bottom w:val="single" w:sz="4" w:space="0" w:color="808080"/>
              <w:right w:val="single" w:sz="4" w:space="0" w:color="808080"/>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31/12/2026</w:t>
            </w:r>
          </w:p>
        </w:tc>
        <w:tc>
          <w:tcPr>
            <w:tcW w:w="202" w:type="dxa"/>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 </w:t>
            </w:r>
          </w:p>
        </w:tc>
        <w:tc>
          <w:tcPr>
            <w:tcW w:w="202" w:type="dxa"/>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1912" w:type="dxa"/>
            <w:tcBorders>
              <w:bottom w:val="single" w:sz="4" w:space="0" w:color="808080"/>
              <w:right w:val="single" w:sz="4" w:space="0" w:color="808080"/>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$1.271</w:t>
            </w:r>
          </w:p>
        </w:tc>
        <w:tc>
          <w:tcPr>
            <w:tcW w:w="1448" w:type="dxa"/>
            <w:tcBorders>
              <w:bottom w:val="single" w:sz="4" w:space="0" w:color="808080"/>
              <w:right w:val="single" w:sz="4" w:space="0" w:color="808080"/>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83</w:t>
            </w:r>
          </w:p>
        </w:tc>
      </w:tr>
    </w:tbl>
    <w:p w:rsidR="00B6656D" w:rsidRDefault="00B6656D">
      <w:pPr>
        <w:jc w:val="both"/>
        <w:textAlignment w:val="auto"/>
        <w:rPr>
          <w:rFonts w:ascii="Work Sans" w:eastAsia="Arial Narrow" w:hAnsi="Work Sans" w:cs="Arial Narrow"/>
          <w:i/>
          <w:kern w:val="0"/>
          <w:sz w:val="18"/>
          <w:szCs w:val="18"/>
          <w:lang w:eastAsia="es-ES" w:bidi="ar-SA"/>
        </w:rPr>
      </w:pPr>
    </w:p>
    <w:p w:rsidR="00B6656D" w:rsidRDefault="00B6656D">
      <w:pPr>
        <w:jc w:val="both"/>
        <w:textAlignment w:val="auto"/>
        <w:rPr>
          <w:rFonts w:ascii="Work Sans" w:eastAsia="Arial Narrow" w:hAnsi="Work Sans" w:cs="Arial Narrow"/>
          <w:i/>
          <w:kern w:val="0"/>
          <w:sz w:val="18"/>
          <w:szCs w:val="18"/>
          <w:lang w:eastAsia="es-ES" w:bidi="ar-SA"/>
        </w:rPr>
      </w:pPr>
    </w:p>
    <w:p w:rsidR="00B6656D" w:rsidRDefault="00000000">
      <w:pPr>
        <w:ind w:left="720" w:right="481"/>
        <w:jc w:val="both"/>
        <w:textAlignment w:val="auto"/>
        <w:rPr>
          <w:rFonts w:ascii="Work Sans" w:eastAsia="Arial Narrow" w:hAnsi="Work Sans" w:cs="Arial Narrow"/>
          <w:b/>
          <w:i/>
          <w:kern w:val="0"/>
          <w:sz w:val="18"/>
          <w:szCs w:val="18"/>
          <w:lang w:eastAsia="es-ES" w:bidi="ar-SA"/>
        </w:rPr>
      </w:pPr>
      <w:r>
        <w:rPr>
          <w:rFonts w:ascii="Work Sans" w:eastAsia="Arial Narrow" w:hAnsi="Work Sans" w:cs="Arial Narrow"/>
          <w:b/>
          <w:i/>
          <w:kern w:val="0"/>
          <w:sz w:val="18"/>
          <w:szCs w:val="18"/>
          <w:lang w:eastAsia="es-ES" w:bidi="ar-SA"/>
        </w:rPr>
        <w:t>Peaje de Los Cedros</w:t>
      </w:r>
    </w:p>
    <w:p w:rsidR="00B6656D" w:rsidRDefault="00B6656D">
      <w:pPr>
        <w:ind w:left="720" w:right="481"/>
        <w:jc w:val="both"/>
        <w:textAlignment w:val="auto"/>
        <w:rPr>
          <w:rFonts w:ascii="Work Sans" w:eastAsia="Arial Narrow" w:hAnsi="Work Sans" w:cs="Arial Narrow"/>
          <w:i/>
          <w:kern w:val="0"/>
          <w:sz w:val="18"/>
          <w:szCs w:val="18"/>
          <w:lang w:eastAsia="es-ES" w:bidi="ar-SA"/>
        </w:rPr>
      </w:pPr>
    </w:p>
    <w:p w:rsidR="00B6656D" w:rsidRDefault="00000000">
      <w:pPr>
        <w:ind w:left="720" w:right="481"/>
        <w:jc w:val="both"/>
        <w:textAlignment w:val="auto"/>
        <w:rPr>
          <w:rFonts w:ascii="Work Sans" w:eastAsia="Arial Narrow" w:hAnsi="Work Sans" w:cs="Arial Narrow"/>
          <w:i/>
          <w:kern w:val="0"/>
          <w:sz w:val="18"/>
          <w:szCs w:val="18"/>
          <w:lang w:eastAsia="es-ES" w:bidi="ar-SA"/>
        </w:rPr>
      </w:pPr>
      <w:r>
        <w:rPr>
          <w:rFonts w:ascii="Work Sans" w:eastAsia="Arial Narrow" w:hAnsi="Work Sans" w:cs="Arial Narrow"/>
          <w:i/>
          <w:kern w:val="0"/>
          <w:sz w:val="18"/>
          <w:szCs w:val="18"/>
          <w:lang w:eastAsia="es-ES" w:bidi="ar-SA"/>
        </w:rPr>
        <w:t>El ejercicio de ampliar su vigencia para las categorías IE (Resol. 410 Art. 1) públicos y  IIE (Resol. 410 Art. 1) Públicos, corresponde a un valor total de $3.896 millones (Año 2022-2026), teniendo en cuenta el tráfico promedio diario como se presenta a continuación:</w:t>
      </w:r>
    </w:p>
    <w:p w:rsidR="00B6656D" w:rsidRDefault="00B6656D">
      <w:pPr>
        <w:ind w:left="720"/>
        <w:jc w:val="both"/>
        <w:textAlignment w:val="auto"/>
        <w:rPr>
          <w:rFonts w:ascii="Work Sans" w:eastAsia="Arial Narrow" w:hAnsi="Work Sans" w:cs="Arial Narrow"/>
          <w:i/>
          <w:kern w:val="0"/>
          <w:sz w:val="18"/>
          <w:szCs w:val="18"/>
          <w:lang w:eastAsia="es-ES" w:bidi="ar-SA"/>
        </w:rPr>
      </w:pPr>
    </w:p>
    <w:tbl>
      <w:tblPr>
        <w:tblW w:w="5000" w:type="pct"/>
        <w:tblCellMar>
          <w:left w:w="10" w:type="dxa"/>
          <w:right w:w="10" w:type="dxa"/>
        </w:tblCellMar>
        <w:tblLook w:val="04A0" w:firstRow="1" w:lastRow="0" w:firstColumn="1" w:lastColumn="0" w:noHBand="0" w:noVBand="1"/>
      </w:tblPr>
      <w:tblGrid>
        <w:gridCol w:w="2901"/>
        <w:gridCol w:w="1815"/>
        <w:gridCol w:w="202"/>
        <w:gridCol w:w="202"/>
        <w:gridCol w:w="1885"/>
        <w:gridCol w:w="1546"/>
      </w:tblGrid>
      <w:tr w:rsidR="00B6656D">
        <w:tblPrEx>
          <w:tblCellMar>
            <w:top w:w="0" w:type="dxa"/>
            <w:bottom w:w="0" w:type="dxa"/>
          </w:tblCellMar>
        </w:tblPrEx>
        <w:trPr>
          <w:trHeight w:val="377"/>
        </w:trPr>
        <w:tc>
          <w:tcPr>
            <w:tcW w:w="2901" w:type="dxa"/>
            <w:vMerge w:val="restart"/>
            <w:tcBorders>
              <w:top w:val="single" w:sz="4" w:space="0" w:color="808080"/>
              <w:left w:val="single" w:sz="4" w:space="0" w:color="808080"/>
              <w:bottom w:val="single" w:sz="4" w:space="0" w:color="808080"/>
              <w:right w:val="single" w:sz="4" w:space="0" w:color="808080"/>
            </w:tcBorders>
            <w:shd w:val="clear" w:color="auto" w:fill="FFF2CC"/>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CATEGORIA ESPECIAL</w:t>
            </w:r>
          </w:p>
        </w:tc>
        <w:tc>
          <w:tcPr>
            <w:tcW w:w="1815" w:type="dxa"/>
            <w:vMerge w:val="restart"/>
            <w:tcBorders>
              <w:top w:val="single" w:sz="4" w:space="0" w:color="808080"/>
              <w:left w:val="single" w:sz="4" w:space="0" w:color="808080"/>
              <w:bottom w:val="single" w:sz="4" w:space="0" w:color="808080"/>
              <w:right w:val="single" w:sz="4" w:space="0" w:color="808080"/>
            </w:tcBorders>
            <w:shd w:val="clear" w:color="auto" w:fill="FFF2CC"/>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VIGENCIA</w:t>
            </w:r>
          </w:p>
        </w:tc>
        <w:tc>
          <w:tcPr>
            <w:tcW w:w="202" w:type="dxa"/>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202" w:type="dxa"/>
            <w:tcBorders>
              <w:right w:val="single" w:sz="4" w:space="0" w:color="7F7F7F"/>
            </w:tcBorders>
            <w:shd w:val="clear" w:color="auto" w:fill="FFFFFF"/>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1885" w:type="dxa"/>
            <w:vMerge w:val="restart"/>
            <w:tcBorders>
              <w:top w:val="single" w:sz="4" w:space="0" w:color="7F7F7F"/>
              <w:left w:val="single" w:sz="4" w:space="0" w:color="7F7F7F"/>
              <w:bottom w:val="single" w:sz="4" w:space="0" w:color="7F7F7F"/>
              <w:right w:val="single" w:sz="4" w:space="0" w:color="7F7F7F"/>
            </w:tcBorders>
            <w:shd w:val="clear" w:color="auto" w:fill="C6E0B4"/>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COSTO TOTAL TARIFA $ Millones (desde 2023 hasta 2026)</w:t>
            </w:r>
          </w:p>
        </w:tc>
        <w:tc>
          <w:tcPr>
            <w:tcW w:w="1546" w:type="dxa"/>
            <w:vMerge w:val="restart"/>
            <w:tcBorders>
              <w:top w:val="single" w:sz="4" w:space="0" w:color="7F7F7F"/>
              <w:left w:val="single" w:sz="4" w:space="0" w:color="7F7F7F"/>
              <w:bottom w:val="single" w:sz="4" w:space="0" w:color="7F7F7F"/>
              <w:right w:val="single" w:sz="4" w:space="0" w:color="7F7F7F"/>
            </w:tcBorders>
            <w:shd w:val="clear" w:color="auto" w:fill="C6E0B4"/>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TPD PROYECCION</w:t>
            </w:r>
          </w:p>
        </w:tc>
      </w:tr>
      <w:tr w:rsidR="00B6656D">
        <w:tblPrEx>
          <w:tblCellMar>
            <w:top w:w="0" w:type="dxa"/>
            <w:bottom w:w="0" w:type="dxa"/>
          </w:tblCellMar>
        </w:tblPrEx>
        <w:trPr>
          <w:trHeight w:val="482"/>
        </w:trPr>
        <w:tc>
          <w:tcPr>
            <w:tcW w:w="2901" w:type="dxa"/>
            <w:vMerge/>
            <w:tcBorders>
              <w:top w:val="single" w:sz="4" w:space="0" w:color="808080"/>
              <w:left w:val="single" w:sz="4" w:space="0" w:color="808080"/>
              <w:bottom w:val="single" w:sz="4" w:space="0" w:color="808080"/>
              <w:right w:val="single" w:sz="4" w:space="0" w:color="808080"/>
            </w:tcBorders>
            <w:shd w:val="clear" w:color="auto" w:fill="FFF2CC"/>
            <w:tcMar>
              <w:top w:w="0" w:type="dxa"/>
              <w:left w:w="70" w:type="dxa"/>
              <w:bottom w:w="0" w:type="dxa"/>
              <w:right w:w="70" w:type="dxa"/>
            </w:tcMar>
            <w:vAlign w:val="center"/>
          </w:tcPr>
          <w:p w:rsidR="00B6656D" w:rsidRDefault="00B6656D">
            <w:pPr>
              <w:autoSpaceDE w:val="0"/>
              <w:jc w:val="both"/>
              <w:textAlignment w:val="auto"/>
              <w:rPr>
                <w:rFonts w:ascii="Work Sans" w:eastAsia="Arial Narrow" w:hAnsi="Work Sans" w:cs="Arial Narrow"/>
                <w:b/>
                <w:bCs/>
                <w:i/>
                <w:kern w:val="0"/>
                <w:sz w:val="18"/>
                <w:szCs w:val="18"/>
                <w:lang w:val="es-CO" w:eastAsia="es-ES" w:bidi="ar-SA"/>
              </w:rPr>
            </w:pPr>
          </w:p>
        </w:tc>
        <w:tc>
          <w:tcPr>
            <w:tcW w:w="1815" w:type="dxa"/>
            <w:vMerge/>
            <w:tcBorders>
              <w:top w:val="single" w:sz="4" w:space="0" w:color="808080"/>
              <w:left w:val="single" w:sz="4" w:space="0" w:color="808080"/>
              <w:bottom w:val="single" w:sz="4" w:space="0" w:color="808080"/>
              <w:right w:val="single" w:sz="4" w:space="0" w:color="808080"/>
            </w:tcBorders>
            <w:shd w:val="clear" w:color="auto" w:fill="FFF2CC"/>
            <w:tcMar>
              <w:top w:w="0" w:type="dxa"/>
              <w:left w:w="70" w:type="dxa"/>
              <w:bottom w:w="0" w:type="dxa"/>
              <w:right w:w="70" w:type="dxa"/>
            </w:tcMar>
            <w:vAlign w:val="center"/>
          </w:tcPr>
          <w:p w:rsidR="00B6656D" w:rsidRDefault="00B6656D">
            <w:pPr>
              <w:autoSpaceDE w:val="0"/>
              <w:jc w:val="both"/>
              <w:textAlignment w:val="auto"/>
              <w:rPr>
                <w:rFonts w:ascii="Work Sans" w:eastAsia="Arial Narrow" w:hAnsi="Work Sans" w:cs="Arial Narrow"/>
                <w:b/>
                <w:bCs/>
                <w:i/>
                <w:kern w:val="0"/>
                <w:sz w:val="18"/>
                <w:szCs w:val="18"/>
                <w:lang w:val="es-CO" w:eastAsia="es-ES" w:bidi="ar-SA"/>
              </w:rPr>
            </w:pPr>
          </w:p>
        </w:tc>
        <w:tc>
          <w:tcPr>
            <w:tcW w:w="202" w:type="dxa"/>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202" w:type="dxa"/>
            <w:tcBorders>
              <w:right w:val="single" w:sz="4" w:space="0" w:color="7F7F7F"/>
            </w:tcBorders>
            <w:shd w:val="clear" w:color="auto" w:fill="FFFFFF"/>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1885" w:type="dxa"/>
            <w:vMerge/>
            <w:tcBorders>
              <w:top w:val="single" w:sz="4" w:space="0" w:color="7F7F7F"/>
              <w:left w:val="single" w:sz="4" w:space="0" w:color="7F7F7F"/>
              <w:bottom w:val="single" w:sz="4" w:space="0" w:color="7F7F7F"/>
              <w:right w:val="single" w:sz="4" w:space="0" w:color="7F7F7F"/>
            </w:tcBorders>
            <w:shd w:val="clear" w:color="auto" w:fill="C6E0B4"/>
            <w:tcMar>
              <w:top w:w="0" w:type="dxa"/>
              <w:left w:w="70" w:type="dxa"/>
              <w:bottom w:w="0" w:type="dxa"/>
              <w:right w:w="70" w:type="dxa"/>
            </w:tcMar>
            <w:vAlign w:val="center"/>
          </w:tcPr>
          <w:p w:rsidR="00B6656D" w:rsidRDefault="00B6656D">
            <w:pPr>
              <w:autoSpaceDE w:val="0"/>
              <w:jc w:val="both"/>
              <w:textAlignment w:val="auto"/>
              <w:rPr>
                <w:rFonts w:ascii="Work Sans" w:eastAsia="Arial Narrow" w:hAnsi="Work Sans" w:cs="Arial Narrow"/>
                <w:b/>
                <w:bCs/>
                <w:i/>
                <w:kern w:val="0"/>
                <w:sz w:val="18"/>
                <w:szCs w:val="18"/>
                <w:lang w:val="es-CO" w:eastAsia="es-ES" w:bidi="ar-SA"/>
              </w:rPr>
            </w:pPr>
          </w:p>
        </w:tc>
        <w:tc>
          <w:tcPr>
            <w:tcW w:w="1546" w:type="dxa"/>
            <w:vMerge/>
            <w:tcBorders>
              <w:top w:val="single" w:sz="4" w:space="0" w:color="7F7F7F"/>
              <w:left w:val="single" w:sz="4" w:space="0" w:color="7F7F7F"/>
              <w:bottom w:val="single" w:sz="4" w:space="0" w:color="7F7F7F"/>
              <w:right w:val="single" w:sz="4" w:space="0" w:color="7F7F7F"/>
            </w:tcBorders>
            <w:shd w:val="clear" w:color="auto" w:fill="C6E0B4"/>
            <w:tcMar>
              <w:top w:w="0" w:type="dxa"/>
              <w:left w:w="70" w:type="dxa"/>
              <w:bottom w:w="0" w:type="dxa"/>
              <w:right w:w="70" w:type="dxa"/>
            </w:tcMar>
            <w:vAlign w:val="center"/>
          </w:tcPr>
          <w:p w:rsidR="00B6656D" w:rsidRDefault="00B6656D">
            <w:pPr>
              <w:autoSpaceDE w:val="0"/>
              <w:jc w:val="both"/>
              <w:textAlignment w:val="auto"/>
              <w:rPr>
                <w:rFonts w:ascii="Work Sans" w:eastAsia="Arial Narrow" w:hAnsi="Work Sans" w:cs="Arial Narrow"/>
                <w:b/>
                <w:bCs/>
                <w:i/>
                <w:kern w:val="0"/>
                <w:sz w:val="18"/>
                <w:szCs w:val="18"/>
                <w:lang w:val="es-CO" w:eastAsia="es-ES" w:bidi="ar-SA"/>
              </w:rPr>
            </w:pPr>
          </w:p>
        </w:tc>
      </w:tr>
      <w:tr w:rsidR="00B6656D">
        <w:tblPrEx>
          <w:tblCellMar>
            <w:top w:w="0" w:type="dxa"/>
            <w:bottom w:w="0" w:type="dxa"/>
          </w:tblCellMar>
        </w:tblPrEx>
        <w:trPr>
          <w:trHeight w:val="279"/>
        </w:trPr>
        <w:tc>
          <w:tcPr>
            <w:tcW w:w="2901" w:type="dxa"/>
            <w:tcBorders>
              <w:top w:val="single" w:sz="4" w:space="0" w:color="808080"/>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IE (Resol. 410 Art. 1) públicos</w:t>
            </w:r>
          </w:p>
        </w:tc>
        <w:tc>
          <w:tcPr>
            <w:tcW w:w="1815" w:type="dxa"/>
            <w:tcBorders>
              <w:top w:val="single" w:sz="4" w:space="0" w:color="808080"/>
              <w:bottom w:val="single" w:sz="4" w:space="0" w:color="808080"/>
              <w:right w:val="single" w:sz="4" w:space="0" w:color="808080"/>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31/12/2026</w:t>
            </w:r>
          </w:p>
        </w:tc>
        <w:tc>
          <w:tcPr>
            <w:tcW w:w="202" w:type="dxa"/>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 </w:t>
            </w:r>
          </w:p>
        </w:tc>
        <w:tc>
          <w:tcPr>
            <w:tcW w:w="202" w:type="dxa"/>
            <w:tcBorders>
              <w:righ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1885" w:type="dxa"/>
            <w:tcBorders>
              <w:top w:val="single" w:sz="4" w:space="0" w:color="7F7F7F"/>
              <w:left w:val="single" w:sz="4" w:space="0" w:color="7F7F7F"/>
              <w:bottom w:val="single" w:sz="4" w:space="0" w:color="7F7F7F"/>
              <w:righ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$2.348</w:t>
            </w:r>
          </w:p>
        </w:tc>
        <w:tc>
          <w:tcPr>
            <w:tcW w:w="1546" w:type="dxa"/>
            <w:tcBorders>
              <w:top w:val="single" w:sz="4" w:space="0" w:color="7F7F7F"/>
              <w:left w:val="single" w:sz="4" w:space="0" w:color="7F7F7F"/>
              <w:bottom w:val="single" w:sz="4" w:space="0" w:color="7F7F7F"/>
              <w:righ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87</w:t>
            </w:r>
          </w:p>
        </w:tc>
      </w:tr>
      <w:tr w:rsidR="00B6656D">
        <w:tblPrEx>
          <w:tblCellMar>
            <w:top w:w="0" w:type="dxa"/>
            <w:bottom w:w="0" w:type="dxa"/>
          </w:tblCellMar>
        </w:tblPrEx>
        <w:trPr>
          <w:trHeight w:val="286"/>
        </w:trPr>
        <w:tc>
          <w:tcPr>
            <w:tcW w:w="2901" w:type="dxa"/>
            <w:tcBorders>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IIE (Resol. 410 Art. 1) Públicos</w:t>
            </w:r>
          </w:p>
        </w:tc>
        <w:tc>
          <w:tcPr>
            <w:tcW w:w="1815" w:type="dxa"/>
            <w:tcBorders>
              <w:bottom w:val="single" w:sz="4" w:space="0" w:color="808080"/>
              <w:right w:val="single" w:sz="4" w:space="0" w:color="808080"/>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31/12/2026</w:t>
            </w:r>
          </w:p>
        </w:tc>
        <w:tc>
          <w:tcPr>
            <w:tcW w:w="202" w:type="dxa"/>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 </w:t>
            </w:r>
          </w:p>
        </w:tc>
        <w:tc>
          <w:tcPr>
            <w:tcW w:w="202" w:type="dxa"/>
            <w:tcBorders>
              <w:righ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1885" w:type="dxa"/>
            <w:tcBorders>
              <w:top w:val="single" w:sz="4" w:space="0" w:color="7F7F7F"/>
              <w:left w:val="single" w:sz="4" w:space="0" w:color="7F7F7F"/>
              <w:bottom w:val="single" w:sz="4" w:space="0" w:color="7F7F7F"/>
              <w:righ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$1.548</w:t>
            </w:r>
          </w:p>
        </w:tc>
        <w:tc>
          <w:tcPr>
            <w:tcW w:w="1546" w:type="dxa"/>
            <w:tcBorders>
              <w:top w:val="single" w:sz="4" w:space="0" w:color="7F7F7F"/>
              <w:left w:val="single" w:sz="4" w:space="0" w:color="7F7F7F"/>
              <w:bottom w:val="single" w:sz="4" w:space="0" w:color="7F7F7F"/>
              <w:righ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39</w:t>
            </w:r>
          </w:p>
        </w:tc>
      </w:tr>
    </w:tbl>
    <w:p w:rsidR="00B6656D" w:rsidRDefault="00B6656D">
      <w:pPr>
        <w:jc w:val="both"/>
        <w:textAlignment w:val="auto"/>
        <w:rPr>
          <w:rFonts w:ascii="Work Sans" w:eastAsia="Arial Narrow" w:hAnsi="Work Sans" w:cs="Arial Narrow"/>
          <w:i/>
          <w:kern w:val="0"/>
          <w:sz w:val="18"/>
          <w:szCs w:val="18"/>
          <w:lang w:eastAsia="es-ES" w:bidi="ar-SA"/>
        </w:rPr>
      </w:pPr>
    </w:p>
    <w:p w:rsidR="00B6656D" w:rsidRDefault="00B6656D">
      <w:pPr>
        <w:jc w:val="both"/>
        <w:textAlignment w:val="auto"/>
        <w:rPr>
          <w:rFonts w:ascii="Work Sans" w:eastAsia="Arial Narrow" w:hAnsi="Work Sans" w:cs="Arial Narrow"/>
          <w:i/>
          <w:kern w:val="0"/>
          <w:sz w:val="18"/>
          <w:szCs w:val="18"/>
          <w:lang w:eastAsia="es-ES" w:bidi="ar-SA"/>
        </w:rPr>
      </w:pPr>
    </w:p>
    <w:p w:rsidR="00B6656D" w:rsidRDefault="00000000">
      <w:pPr>
        <w:ind w:left="720" w:right="481"/>
        <w:jc w:val="both"/>
        <w:textAlignment w:val="auto"/>
        <w:rPr>
          <w:rFonts w:ascii="Work Sans" w:eastAsia="Arial Narrow" w:hAnsi="Work Sans" w:cs="Arial Narrow"/>
          <w:b/>
          <w:i/>
          <w:kern w:val="0"/>
          <w:sz w:val="18"/>
          <w:szCs w:val="18"/>
          <w:lang w:eastAsia="es-ES" w:bidi="ar-SA"/>
        </w:rPr>
      </w:pPr>
      <w:r>
        <w:rPr>
          <w:rFonts w:ascii="Work Sans" w:eastAsia="Arial Narrow" w:hAnsi="Work Sans" w:cs="Arial Narrow"/>
          <w:b/>
          <w:i/>
          <w:kern w:val="0"/>
          <w:sz w:val="18"/>
          <w:szCs w:val="18"/>
          <w:lang w:eastAsia="es-ES" w:bidi="ar-SA"/>
        </w:rPr>
        <w:lastRenderedPageBreak/>
        <w:t>Peaje el Purgatorio</w:t>
      </w:r>
    </w:p>
    <w:p w:rsidR="00B6656D" w:rsidRDefault="00000000">
      <w:pPr>
        <w:ind w:left="720" w:right="481"/>
        <w:jc w:val="both"/>
        <w:textAlignment w:val="auto"/>
        <w:rPr>
          <w:rFonts w:ascii="Work Sans" w:eastAsia="Arial Narrow" w:hAnsi="Work Sans" w:cs="Arial Narrow"/>
          <w:i/>
          <w:kern w:val="0"/>
          <w:sz w:val="18"/>
          <w:szCs w:val="18"/>
          <w:lang w:eastAsia="es-ES" w:bidi="ar-SA"/>
        </w:rPr>
      </w:pPr>
      <w:r>
        <w:rPr>
          <w:rFonts w:ascii="Work Sans" w:eastAsia="Arial Narrow" w:hAnsi="Work Sans" w:cs="Arial Narrow"/>
          <w:i/>
          <w:kern w:val="0"/>
          <w:sz w:val="18"/>
          <w:szCs w:val="18"/>
          <w:lang w:eastAsia="es-ES" w:bidi="ar-SA"/>
        </w:rPr>
        <w:t xml:space="preserve"> </w:t>
      </w:r>
    </w:p>
    <w:p w:rsidR="00B6656D" w:rsidRDefault="00000000">
      <w:pPr>
        <w:ind w:left="720" w:right="481"/>
        <w:jc w:val="both"/>
        <w:textAlignment w:val="auto"/>
        <w:rPr>
          <w:rFonts w:ascii="Work Sans" w:eastAsia="Arial Narrow" w:hAnsi="Work Sans" w:cs="Arial Narrow"/>
          <w:i/>
          <w:kern w:val="0"/>
          <w:sz w:val="18"/>
          <w:szCs w:val="18"/>
          <w:lang w:eastAsia="es-ES" w:bidi="ar-SA"/>
        </w:rPr>
      </w:pPr>
      <w:r>
        <w:rPr>
          <w:rFonts w:ascii="Work Sans" w:eastAsia="Arial Narrow" w:hAnsi="Work Sans" w:cs="Arial Narrow"/>
          <w:i/>
          <w:kern w:val="0"/>
          <w:sz w:val="18"/>
          <w:szCs w:val="18"/>
          <w:lang w:eastAsia="es-ES" w:bidi="ar-SA"/>
        </w:rPr>
        <w:t>El ejercicio de ampliar su vigencia para las categorías Categoría IE Res. 410 Art. 2, Categoría IEE Res. 410 Art. 2 (Resol. 410 Art. 1) Públicos y Categoría IIEE Res. 410 Art. 2, corresponde a un valor total de $6.051 millones (Año 2022-2026), teniendo en cuenta el tráfico promedio diario como se indica a continuación:</w:t>
      </w:r>
    </w:p>
    <w:p w:rsidR="00B6656D" w:rsidRDefault="00B6656D">
      <w:pPr>
        <w:ind w:left="720"/>
        <w:jc w:val="both"/>
        <w:textAlignment w:val="auto"/>
        <w:rPr>
          <w:rFonts w:ascii="Work Sans" w:eastAsia="Arial Narrow" w:hAnsi="Work Sans" w:cs="Arial Narrow"/>
          <w:kern w:val="0"/>
          <w:sz w:val="18"/>
          <w:szCs w:val="18"/>
          <w:lang w:eastAsia="es-ES" w:bidi="ar-SA"/>
        </w:rPr>
      </w:pPr>
    </w:p>
    <w:tbl>
      <w:tblPr>
        <w:tblW w:w="5000" w:type="pct"/>
        <w:tblCellMar>
          <w:left w:w="10" w:type="dxa"/>
          <w:right w:w="10" w:type="dxa"/>
        </w:tblCellMar>
        <w:tblLook w:val="04A0" w:firstRow="1" w:lastRow="0" w:firstColumn="1" w:lastColumn="0" w:noHBand="0" w:noVBand="1"/>
      </w:tblPr>
      <w:tblGrid>
        <w:gridCol w:w="2901"/>
        <w:gridCol w:w="1815"/>
        <w:gridCol w:w="202"/>
        <w:gridCol w:w="202"/>
        <w:gridCol w:w="1885"/>
        <w:gridCol w:w="1546"/>
      </w:tblGrid>
      <w:tr w:rsidR="00B6656D">
        <w:tblPrEx>
          <w:tblCellMar>
            <w:top w:w="0" w:type="dxa"/>
            <w:bottom w:w="0" w:type="dxa"/>
          </w:tblCellMar>
        </w:tblPrEx>
        <w:trPr>
          <w:trHeight w:val="377"/>
        </w:trPr>
        <w:tc>
          <w:tcPr>
            <w:tcW w:w="2901" w:type="dxa"/>
            <w:vMerge w:val="restart"/>
            <w:tcBorders>
              <w:top w:val="single" w:sz="4" w:space="0" w:color="808080"/>
              <w:left w:val="single" w:sz="4" w:space="0" w:color="808080"/>
              <w:bottom w:val="single" w:sz="4" w:space="0" w:color="808080"/>
              <w:right w:val="single" w:sz="4" w:space="0" w:color="808080"/>
            </w:tcBorders>
            <w:shd w:val="clear" w:color="auto" w:fill="FFF2CC"/>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CATEGORIA ESPECIAL</w:t>
            </w:r>
          </w:p>
        </w:tc>
        <w:tc>
          <w:tcPr>
            <w:tcW w:w="1815" w:type="dxa"/>
            <w:vMerge w:val="restart"/>
            <w:tcBorders>
              <w:top w:val="single" w:sz="4" w:space="0" w:color="808080"/>
              <w:left w:val="single" w:sz="4" w:space="0" w:color="808080"/>
              <w:bottom w:val="single" w:sz="4" w:space="0" w:color="808080"/>
              <w:right w:val="single" w:sz="4" w:space="0" w:color="808080"/>
            </w:tcBorders>
            <w:shd w:val="clear" w:color="auto" w:fill="FFF2CC"/>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VIGENCIA</w:t>
            </w:r>
          </w:p>
        </w:tc>
        <w:tc>
          <w:tcPr>
            <w:tcW w:w="202" w:type="dxa"/>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202" w:type="dxa"/>
            <w:tcBorders>
              <w:right w:val="single" w:sz="4" w:space="0" w:color="7F7F7F"/>
            </w:tcBorders>
            <w:shd w:val="clear" w:color="auto" w:fill="FFFFFF"/>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1885" w:type="dxa"/>
            <w:vMerge w:val="restart"/>
            <w:tcBorders>
              <w:top w:val="single" w:sz="4" w:space="0" w:color="7F7F7F"/>
              <w:left w:val="single" w:sz="4" w:space="0" w:color="7F7F7F"/>
              <w:bottom w:val="single" w:sz="4" w:space="0" w:color="7F7F7F"/>
              <w:right w:val="single" w:sz="4" w:space="0" w:color="7F7F7F"/>
            </w:tcBorders>
            <w:shd w:val="clear" w:color="auto" w:fill="C6E0B4"/>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COSTO TOTAL TARIFA $ Millones (desde 2023 hasta 2026)</w:t>
            </w:r>
          </w:p>
        </w:tc>
        <w:tc>
          <w:tcPr>
            <w:tcW w:w="1546" w:type="dxa"/>
            <w:vMerge w:val="restart"/>
            <w:tcBorders>
              <w:top w:val="single" w:sz="4" w:space="0" w:color="7F7F7F"/>
              <w:left w:val="single" w:sz="4" w:space="0" w:color="7F7F7F"/>
              <w:bottom w:val="single" w:sz="4" w:space="0" w:color="7F7F7F"/>
              <w:right w:val="single" w:sz="4" w:space="0" w:color="7F7F7F"/>
            </w:tcBorders>
            <w:shd w:val="clear" w:color="auto" w:fill="C6E0B4"/>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TPD PROYECCION</w:t>
            </w:r>
          </w:p>
        </w:tc>
      </w:tr>
      <w:tr w:rsidR="00B6656D">
        <w:tblPrEx>
          <w:tblCellMar>
            <w:top w:w="0" w:type="dxa"/>
            <w:bottom w:w="0" w:type="dxa"/>
          </w:tblCellMar>
        </w:tblPrEx>
        <w:trPr>
          <w:trHeight w:val="482"/>
        </w:trPr>
        <w:tc>
          <w:tcPr>
            <w:tcW w:w="2901" w:type="dxa"/>
            <w:vMerge/>
            <w:tcBorders>
              <w:top w:val="single" w:sz="4" w:space="0" w:color="808080"/>
              <w:left w:val="single" w:sz="4" w:space="0" w:color="808080"/>
              <w:bottom w:val="single" w:sz="4" w:space="0" w:color="808080"/>
              <w:right w:val="single" w:sz="4" w:space="0" w:color="808080"/>
            </w:tcBorders>
            <w:shd w:val="clear" w:color="auto" w:fill="FFF2CC"/>
            <w:tcMar>
              <w:top w:w="0" w:type="dxa"/>
              <w:left w:w="70" w:type="dxa"/>
              <w:bottom w:w="0" w:type="dxa"/>
              <w:right w:w="70" w:type="dxa"/>
            </w:tcMar>
            <w:vAlign w:val="center"/>
          </w:tcPr>
          <w:p w:rsidR="00B6656D" w:rsidRDefault="00B6656D">
            <w:pPr>
              <w:autoSpaceDE w:val="0"/>
              <w:jc w:val="both"/>
              <w:textAlignment w:val="auto"/>
              <w:rPr>
                <w:rFonts w:ascii="Work Sans" w:eastAsia="Arial Narrow" w:hAnsi="Work Sans" w:cs="Arial Narrow"/>
                <w:b/>
                <w:bCs/>
                <w:i/>
                <w:kern w:val="0"/>
                <w:sz w:val="18"/>
                <w:szCs w:val="18"/>
                <w:lang w:val="es-CO" w:eastAsia="es-ES" w:bidi="ar-SA"/>
              </w:rPr>
            </w:pPr>
          </w:p>
        </w:tc>
        <w:tc>
          <w:tcPr>
            <w:tcW w:w="1815" w:type="dxa"/>
            <w:vMerge/>
            <w:tcBorders>
              <w:top w:val="single" w:sz="4" w:space="0" w:color="808080"/>
              <w:left w:val="single" w:sz="4" w:space="0" w:color="808080"/>
              <w:bottom w:val="single" w:sz="4" w:space="0" w:color="808080"/>
              <w:right w:val="single" w:sz="4" w:space="0" w:color="808080"/>
            </w:tcBorders>
            <w:shd w:val="clear" w:color="auto" w:fill="FFF2CC"/>
            <w:tcMar>
              <w:top w:w="0" w:type="dxa"/>
              <w:left w:w="70" w:type="dxa"/>
              <w:bottom w:w="0" w:type="dxa"/>
              <w:right w:w="70" w:type="dxa"/>
            </w:tcMar>
            <w:vAlign w:val="center"/>
          </w:tcPr>
          <w:p w:rsidR="00B6656D" w:rsidRDefault="00B6656D">
            <w:pPr>
              <w:autoSpaceDE w:val="0"/>
              <w:jc w:val="both"/>
              <w:textAlignment w:val="auto"/>
              <w:rPr>
                <w:rFonts w:ascii="Work Sans" w:eastAsia="Arial Narrow" w:hAnsi="Work Sans" w:cs="Arial Narrow"/>
                <w:b/>
                <w:bCs/>
                <w:i/>
                <w:kern w:val="0"/>
                <w:sz w:val="18"/>
                <w:szCs w:val="18"/>
                <w:lang w:val="es-CO" w:eastAsia="es-ES" w:bidi="ar-SA"/>
              </w:rPr>
            </w:pPr>
          </w:p>
        </w:tc>
        <w:tc>
          <w:tcPr>
            <w:tcW w:w="202" w:type="dxa"/>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202" w:type="dxa"/>
            <w:tcBorders>
              <w:right w:val="single" w:sz="4" w:space="0" w:color="7F7F7F"/>
            </w:tcBorders>
            <w:shd w:val="clear" w:color="auto" w:fill="FFFFFF"/>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1885" w:type="dxa"/>
            <w:vMerge/>
            <w:tcBorders>
              <w:top w:val="single" w:sz="4" w:space="0" w:color="7F7F7F"/>
              <w:left w:val="single" w:sz="4" w:space="0" w:color="7F7F7F"/>
              <w:bottom w:val="single" w:sz="4" w:space="0" w:color="7F7F7F"/>
              <w:right w:val="single" w:sz="4" w:space="0" w:color="7F7F7F"/>
            </w:tcBorders>
            <w:shd w:val="clear" w:color="auto" w:fill="C6E0B4"/>
            <w:tcMar>
              <w:top w:w="0" w:type="dxa"/>
              <w:left w:w="70" w:type="dxa"/>
              <w:bottom w:w="0" w:type="dxa"/>
              <w:right w:w="70" w:type="dxa"/>
            </w:tcMar>
            <w:vAlign w:val="center"/>
          </w:tcPr>
          <w:p w:rsidR="00B6656D" w:rsidRDefault="00B6656D">
            <w:pPr>
              <w:autoSpaceDE w:val="0"/>
              <w:jc w:val="both"/>
              <w:textAlignment w:val="auto"/>
              <w:rPr>
                <w:rFonts w:ascii="Work Sans" w:eastAsia="Arial Narrow" w:hAnsi="Work Sans" w:cs="Arial Narrow"/>
                <w:b/>
                <w:bCs/>
                <w:i/>
                <w:kern w:val="0"/>
                <w:sz w:val="18"/>
                <w:szCs w:val="18"/>
                <w:lang w:val="es-CO" w:eastAsia="es-ES" w:bidi="ar-SA"/>
              </w:rPr>
            </w:pPr>
          </w:p>
        </w:tc>
        <w:tc>
          <w:tcPr>
            <w:tcW w:w="1546" w:type="dxa"/>
            <w:vMerge/>
            <w:tcBorders>
              <w:top w:val="single" w:sz="4" w:space="0" w:color="7F7F7F"/>
              <w:left w:val="single" w:sz="4" w:space="0" w:color="7F7F7F"/>
              <w:bottom w:val="single" w:sz="4" w:space="0" w:color="7F7F7F"/>
              <w:right w:val="single" w:sz="4" w:space="0" w:color="7F7F7F"/>
            </w:tcBorders>
            <w:shd w:val="clear" w:color="auto" w:fill="C6E0B4"/>
            <w:tcMar>
              <w:top w:w="0" w:type="dxa"/>
              <w:left w:w="70" w:type="dxa"/>
              <w:bottom w:w="0" w:type="dxa"/>
              <w:right w:w="70" w:type="dxa"/>
            </w:tcMar>
            <w:vAlign w:val="center"/>
          </w:tcPr>
          <w:p w:rsidR="00B6656D" w:rsidRDefault="00B6656D">
            <w:pPr>
              <w:autoSpaceDE w:val="0"/>
              <w:jc w:val="both"/>
              <w:textAlignment w:val="auto"/>
              <w:rPr>
                <w:rFonts w:ascii="Work Sans" w:eastAsia="Arial Narrow" w:hAnsi="Work Sans" w:cs="Arial Narrow"/>
                <w:b/>
                <w:bCs/>
                <w:i/>
                <w:kern w:val="0"/>
                <w:sz w:val="18"/>
                <w:szCs w:val="18"/>
                <w:lang w:val="es-CO" w:eastAsia="es-ES" w:bidi="ar-SA"/>
              </w:rPr>
            </w:pPr>
          </w:p>
        </w:tc>
      </w:tr>
      <w:tr w:rsidR="00B6656D">
        <w:tblPrEx>
          <w:tblCellMar>
            <w:top w:w="0" w:type="dxa"/>
            <w:bottom w:w="0" w:type="dxa"/>
          </w:tblCellMar>
        </w:tblPrEx>
        <w:trPr>
          <w:trHeight w:val="279"/>
        </w:trPr>
        <w:tc>
          <w:tcPr>
            <w:tcW w:w="2901" w:type="dxa"/>
            <w:tcBorders>
              <w:top w:val="single" w:sz="4" w:space="0" w:color="808080"/>
              <w:left w:val="single" w:sz="4" w:space="0" w:color="808080"/>
              <w:bottom w:val="single" w:sz="4" w:space="0" w:color="7F7F7F"/>
              <w:right w:val="single" w:sz="4" w:space="0" w:color="808080"/>
            </w:tcBorders>
            <w:shd w:val="clear" w:color="auto" w:fill="FFFFFF"/>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Categoría IE Res. 410 Art. 2</w:t>
            </w:r>
          </w:p>
        </w:tc>
        <w:tc>
          <w:tcPr>
            <w:tcW w:w="1815" w:type="dxa"/>
            <w:tcBorders>
              <w:top w:val="single" w:sz="4" w:space="0" w:color="808080"/>
              <w:bottom w:val="single" w:sz="4" w:space="0" w:color="7F7F7F"/>
              <w:right w:val="single" w:sz="4" w:space="0" w:color="808080"/>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31/12/2026</w:t>
            </w:r>
          </w:p>
        </w:tc>
        <w:tc>
          <w:tcPr>
            <w:tcW w:w="202" w:type="dxa"/>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 </w:t>
            </w:r>
          </w:p>
        </w:tc>
        <w:tc>
          <w:tcPr>
            <w:tcW w:w="202" w:type="dxa"/>
            <w:tcBorders>
              <w:righ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1885" w:type="dxa"/>
            <w:tcBorders>
              <w:top w:val="single" w:sz="4" w:space="0" w:color="7F7F7F"/>
              <w:left w:val="single" w:sz="4" w:space="0" w:color="7F7F7F"/>
              <w:bottom w:val="single" w:sz="4" w:space="0" w:color="7F7F7F"/>
              <w:righ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$1.845</w:t>
            </w:r>
          </w:p>
        </w:tc>
        <w:tc>
          <w:tcPr>
            <w:tcW w:w="1546" w:type="dxa"/>
            <w:tcBorders>
              <w:top w:val="single" w:sz="4" w:space="0" w:color="7F7F7F"/>
              <w:left w:val="single" w:sz="4" w:space="0" w:color="7F7F7F"/>
              <w:bottom w:val="single" w:sz="4" w:space="0" w:color="7F7F7F"/>
              <w:righ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167</w:t>
            </w:r>
          </w:p>
        </w:tc>
      </w:tr>
      <w:tr w:rsidR="00B6656D">
        <w:tblPrEx>
          <w:tblCellMar>
            <w:top w:w="0" w:type="dxa"/>
            <w:bottom w:w="0" w:type="dxa"/>
          </w:tblCellMar>
        </w:tblPrEx>
        <w:trPr>
          <w:trHeight w:val="286"/>
        </w:trPr>
        <w:tc>
          <w:tcPr>
            <w:tcW w:w="2901" w:type="dxa"/>
            <w:tcBorders>
              <w:top w:val="single" w:sz="4" w:space="0" w:color="7F7F7F"/>
              <w:left w:val="single" w:sz="4" w:space="0" w:color="7F7F7F"/>
              <w:bottom w:val="single" w:sz="4" w:space="0" w:color="7F7F7F"/>
              <w:right w:val="single" w:sz="4" w:space="0" w:color="7F7F7F"/>
            </w:tcBorders>
            <w:shd w:val="clear" w:color="auto" w:fill="FFFFFF"/>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Categoría IEE Res. 410 Art. 2</w:t>
            </w:r>
          </w:p>
        </w:tc>
        <w:tc>
          <w:tcPr>
            <w:tcW w:w="1815" w:type="dxa"/>
            <w:tcBorders>
              <w:top w:val="single" w:sz="4" w:space="0" w:color="7F7F7F"/>
              <w:left w:val="single" w:sz="4" w:space="0" w:color="7F7F7F"/>
              <w:bottom w:val="single" w:sz="4" w:space="0" w:color="7F7F7F"/>
              <w:righ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31/12/2026</w:t>
            </w:r>
          </w:p>
        </w:tc>
        <w:tc>
          <w:tcPr>
            <w:tcW w:w="202" w:type="dxa"/>
            <w:tcBorders>
              <w:lef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 </w:t>
            </w:r>
          </w:p>
        </w:tc>
        <w:tc>
          <w:tcPr>
            <w:tcW w:w="202" w:type="dxa"/>
            <w:tcBorders>
              <w:righ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 </w:t>
            </w:r>
          </w:p>
        </w:tc>
        <w:tc>
          <w:tcPr>
            <w:tcW w:w="1885" w:type="dxa"/>
            <w:tcBorders>
              <w:top w:val="single" w:sz="4" w:space="0" w:color="7F7F7F"/>
              <w:left w:val="single" w:sz="4" w:space="0" w:color="7F7F7F"/>
              <w:bottom w:val="single" w:sz="4" w:space="0" w:color="7F7F7F"/>
              <w:righ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$31</w:t>
            </w:r>
          </w:p>
        </w:tc>
        <w:tc>
          <w:tcPr>
            <w:tcW w:w="1546" w:type="dxa"/>
            <w:tcBorders>
              <w:top w:val="single" w:sz="4" w:space="0" w:color="7F7F7F"/>
              <w:left w:val="single" w:sz="4" w:space="0" w:color="7F7F7F"/>
              <w:bottom w:val="single" w:sz="4" w:space="0" w:color="7F7F7F"/>
              <w:righ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1</w:t>
            </w:r>
          </w:p>
        </w:tc>
      </w:tr>
      <w:tr w:rsidR="00B6656D">
        <w:tblPrEx>
          <w:tblCellMar>
            <w:top w:w="0" w:type="dxa"/>
            <w:bottom w:w="0" w:type="dxa"/>
          </w:tblCellMar>
        </w:tblPrEx>
        <w:trPr>
          <w:trHeight w:val="286"/>
        </w:trPr>
        <w:tc>
          <w:tcPr>
            <w:tcW w:w="2901" w:type="dxa"/>
            <w:tcBorders>
              <w:top w:val="single" w:sz="4" w:space="0" w:color="7F7F7F"/>
              <w:left w:val="single" w:sz="4" w:space="0" w:color="7F7F7F"/>
              <w:bottom w:val="single" w:sz="4" w:space="0" w:color="7F7F7F"/>
              <w:right w:val="single" w:sz="4" w:space="0" w:color="7F7F7F"/>
            </w:tcBorders>
            <w:shd w:val="clear" w:color="auto" w:fill="FFFFFF"/>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Categoría II EE Res. 410 Art. 2</w:t>
            </w:r>
          </w:p>
        </w:tc>
        <w:tc>
          <w:tcPr>
            <w:tcW w:w="1815" w:type="dxa"/>
            <w:tcBorders>
              <w:top w:val="single" w:sz="4" w:space="0" w:color="7F7F7F"/>
              <w:left w:val="single" w:sz="4" w:space="0" w:color="7F7F7F"/>
              <w:bottom w:val="single" w:sz="4" w:space="0" w:color="7F7F7F"/>
              <w:righ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31/12/2026</w:t>
            </w:r>
          </w:p>
        </w:tc>
        <w:tc>
          <w:tcPr>
            <w:tcW w:w="202" w:type="dxa"/>
            <w:tcBorders>
              <w:left w:val="single" w:sz="4" w:space="0" w:color="7F7F7F"/>
            </w:tcBorders>
            <w:shd w:val="clear" w:color="auto" w:fill="FFFFFF"/>
            <w:noWrap/>
            <w:tcMar>
              <w:top w:w="0" w:type="dxa"/>
              <w:left w:w="70" w:type="dxa"/>
              <w:bottom w:w="0" w:type="dxa"/>
              <w:right w:w="70" w:type="dxa"/>
            </w:tcMar>
            <w:vAlign w:val="center"/>
          </w:tcPr>
          <w:p w:rsidR="00B6656D" w:rsidRDefault="00B6656D">
            <w:pPr>
              <w:autoSpaceDE w:val="0"/>
              <w:jc w:val="both"/>
              <w:textAlignment w:val="auto"/>
              <w:rPr>
                <w:rFonts w:ascii="Work Sans" w:eastAsia="Arial Narrow" w:hAnsi="Work Sans" w:cs="Arial Narrow"/>
                <w:i/>
                <w:kern w:val="0"/>
                <w:sz w:val="18"/>
                <w:szCs w:val="18"/>
                <w:lang w:val="es-CO" w:eastAsia="es-ES" w:bidi="ar-SA"/>
              </w:rPr>
            </w:pPr>
          </w:p>
        </w:tc>
        <w:tc>
          <w:tcPr>
            <w:tcW w:w="202" w:type="dxa"/>
            <w:tcBorders>
              <w:right w:val="single" w:sz="4" w:space="0" w:color="7F7F7F"/>
            </w:tcBorders>
            <w:shd w:val="clear" w:color="auto" w:fill="FFFFFF"/>
            <w:noWrap/>
            <w:tcMar>
              <w:top w:w="0" w:type="dxa"/>
              <w:left w:w="70" w:type="dxa"/>
              <w:bottom w:w="0" w:type="dxa"/>
              <w:right w:w="70" w:type="dxa"/>
            </w:tcMar>
            <w:vAlign w:val="center"/>
          </w:tcPr>
          <w:p w:rsidR="00B6656D" w:rsidRDefault="00B6656D">
            <w:pPr>
              <w:autoSpaceDE w:val="0"/>
              <w:jc w:val="both"/>
              <w:textAlignment w:val="auto"/>
              <w:rPr>
                <w:rFonts w:ascii="Work Sans" w:eastAsia="Arial Narrow" w:hAnsi="Work Sans" w:cs="Arial Narrow"/>
                <w:b/>
                <w:bCs/>
                <w:i/>
                <w:kern w:val="0"/>
                <w:sz w:val="18"/>
                <w:szCs w:val="18"/>
                <w:lang w:val="es-CO" w:eastAsia="es-ES" w:bidi="ar-SA"/>
              </w:rPr>
            </w:pPr>
          </w:p>
        </w:tc>
        <w:tc>
          <w:tcPr>
            <w:tcW w:w="1885" w:type="dxa"/>
            <w:tcBorders>
              <w:top w:val="single" w:sz="4" w:space="0" w:color="7F7F7F"/>
              <w:left w:val="single" w:sz="4" w:space="0" w:color="7F7F7F"/>
              <w:bottom w:val="single" w:sz="4" w:space="0" w:color="7F7F7F"/>
              <w:righ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b/>
                <w:bCs/>
                <w:i/>
                <w:kern w:val="0"/>
                <w:sz w:val="18"/>
                <w:szCs w:val="18"/>
                <w:lang w:val="es-CO" w:eastAsia="es-ES" w:bidi="ar-SA"/>
              </w:rPr>
            </w:pPr>
            <w:r>
              <w:rPr>
                <w:rFonts w:ascii="Work Sans" w:eastAsia="Arial Narrow" w:hAnsi="Work Sans" w:cs="Arial Narrow"/>
                <w:b/>
                <w:bCs/>
                <w:i/>
                <w:kern w:val="0"/>
                <w:sz w:val="18"/>
                <w:szCs w:val="18"/>
                <w:lang w:val="es-CO" w:eastAsia="es-ES" w:bidi="ar-SA"/>
              </w:rPr>
              <w:t>$4.175</w:t>
            </w:r>
          </w:p>
        </w:tc>
        <w:tc>
          <w:tcPr>
            <w:tcW w:w="1546" w:type="dxa"/>
            <w:tcBorders>
              <w:top w:val="single" w:sz="4" w:space="0" w:color="7F7F7F"/>
              <w:left w:val="single" w:sz="4" w:space="0" w:color="7F7F7F"/>
              <w:bottom w:val="single" w:sz="4" w:space="0" w:color="7F7F7F"/>
              <w:right w:val="single" w:sz="4" w:space="0" w:color="7F7F7F"/>
            </w:tcBorders>
            <w:shd w:val="clear" w:color="auto" w:fill="FFFFFF"/>
            <w:noWrap/>
            <w:tcMar>
              <w:top w:w="0" w:type="dxa"/>
              <w:left w:w="70" w:type="dxa"/>
              <w:bottom w:w="0" w:type="dxa"/>
              <w:right w:w="70" w:type="dxa"/>
            </w:tcMar>
            <w:vAlign w:val="center"/>
          </w:tcPr>
          <w:p w:rsidR="00B6656D" w:rsidRDefault="00000000">
            <w:pPr>
              <w:autoSpaceDE w:val="0"/>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107</w:t>
            </w:r>
          </w:p>
        </w:tc>
      </w:tr>
    </w:tbl>
    <w:p w:rsidR="00B6656D" w:rsidRDefault="00B6656D">
      <w:pPr>
        <w:autoSpaceDE w:val="0"/>
        <w:ind w:left="2208"/>
        <w:jc w:val="both"/>
        <w:textAlignment w:val="auto"/>
        <w:rPr>
          <w:rFonts w:ascii="Work Sans" w:eastAsia="Arial Narrow" w:hAnsi="Work Sans" w:cs="Arial Narrow"/>
          <w:i/>
          <w:kern w:val="0"/>
          <w:sz w:val="18"/>
          <w:szCs w:val="18"/>
          <w:lang w:eastAsia="es-ES" w:bidi="ar-SA"/>
        </w:rPr>
      </w:pPr>
    </w:p>
    <w:p w:rsidR="00B6656D" w:rsidRDefault="00000000">
      <w:pPr>
        <w:widowControl/>
        <w:numPr>
          <w:ilvl w:val="0"/>
          <w:numId w:val="23"/>
        </w:numPr>
        <w:autoSpaceDE w:val="0"/>
        <w:ind w:left="2208" w:right="481"/>
        <w:jc w:val="both"/>
        <w:textAlignment w:val="auto"/>
        <w:rPr>
          <w:rFonts w:ascii="Work Sans" w:eastAsia="Arial Narrow" w:hAnsi="Work Sans" w:cs="Arial Narrow"/>
          <w:i/>
          <w:kern w:val="0"/>
          <w:sz w:val="18"/>
          <w:szCs w:val="18"/>
          <w:lang w:eastAsia="es-ES" w:bidi="ar-SA"/>
        </w:rPr>
      </w:pPr>
      <w:r>
        <w:rPr>
          <w:rFonts w:ascii="Work Sans" w:eastAsia="Arial Narrow" w:hAnsi="Work Sans" w:cs="Arial Narrow"/>
          <w:i/>
          <w:kern w:val="0"/>
          <w:sz w:val="18"/>
          <w:szCs w:val="18"/>
          <w:lang w:eastAsia="es-ES" w:bidi="ar-SA"/>
        </w:rPr>
        <w:t>Incrementar los cupos para la tarifa diferencial establecida en el artículo 4 de la resolución No.410 de 2020 en el peaje Purgatorio, pasado de 120 a 150 cupos hasta el año 2049.</w:t>
      </w:r>
    </w:p>
    <w:p w:rsidR="00B6656D" w:rsidRDefault="00B6656D">
      <w:pPr>
        <w:autoSpaceDE w:val="0"/>
        <w:ind w:left="720" w:right="481"/>
        <w:jc w:val="both"/>
        <w:textAlignment w:val="auto"/>
        <w:rPr>
          <w:rFonts w:ascii="Work Sans" w:eastAsia="Arial Narrow" w:hAnsi="Work Sans" w:cs="Arial Narrow"/>
          <w:i/>
          <w:kern w:val="0"/>
          <w:sz w:val="18"/>
          <w:szCs w:val="18"/>
          <w:lang w:eastAsia="es-ES" w:bidi="ar-SA"/>
        </w:rPr>
      </w:pPr>
    </w:p>
    <w:p w:rsidR="00B6656D" w:rsidRDefault="00000000">
      <w:pPr>
        <w:autoSpaceDE w:val="0"/>
        <w:ind w:left="720" w:right="481"/>
        <w:jc w:val="both"/>
        <w:textAlignment w:val="auto"/>
        <w:rPr>
          <w:rFonts w:ascii="Work Sans" w:eastAsia="Arial Narrow" w:hAnsi="Work Sans" w:cs="Arial Narrow"/>
          <w:i/>
          <w:kern w:val="0"/>
          <w:sz w:val="18"/>
          <w:szCs w:val="18"/>
          <w:lang w:eastAsia="es-ES" w:bidi="ar-SA"/>
        </w:rPr>
      </w:pPr>
      <w:r>
        <w:rPr>
          <w:rFonts w:ascii="Work Sans" w:eastAsia="Arial Narrow" w:hAnsi="Work Sans" w:cs="Arial Narrow"/>
          <w:i/>
          <w:kern w:val="0"/>
          <w:sz w:val="18"/>
          <w:szCs w:val="18"/>
          <w:lang w:eastAsia="es-ES" w:bidi="ar-SA"/>
        </w:rPr>
        <w:t>Es preciso indicar que en la actualidad el tráfico promedio diario de esta categoría es de 178 vehículos, no obstante en la actualidad hay 146 cupos, teniendo en cuenta que por resolución se alude a 120 cupos y la entidad concedió 26 cupos más, de esta forma el costo de esta categoría por la vida del proyecto asciende a $74.970 millones de pesos (2023-2049).</w:t>
      </w:r>
    </w:p>
    <w:p w:rsidR="00B6656D" w:rsidRDefault="00B6656D">
      <w:pPr>
        <w:autoSpaceDE w:val="0"/>
        <w:ind w:right="481"/>
        <w:jc w:val="both"/>
        <w:textAlignment w:val="auto"/>
        <w:rPr>
          <w:rFonts w:ascii="Work Sans" w:eastAsia="Arial Narrow" w:hAnsi="Work Sans" w:cs="Arial Narrow"/>
          <w:i/>
          <w:kern w:val="0"/>
          <w:sz w:val="18"/>
          <w:szCs w:val="18"/>
          <w:lang w:eastAsia="es-ES" w:bidi="ar-SA"/>
        </w:rPr>
      </w:pPr>
    </w:p>
    <w:p w:rsidR="00B6656D" w:rsidRDefault="00000000">
      <w:pPr>
        <w:autoSpaceDE w:val="0"/>
        <w:ind w:left="720" w:right="481"/>
        <w:jc w:val="both"/>
        <w:textAlignment w:val="auto"/>
        <w:rPr>
          <w:rFonts w:ascii="Work Sans" w:eastAsia="Arial Narrow" w:hAnsi="Work Sans" w:cs="Arial Narrow"/>
          <w:i/>
          <w:kern w:val="0"/>
          <w:sz w:val="18"/>
          <w:szCs w:val="18"/>
          <w:lang w:eastAsia="es-ES" w:bidi="ar-SA"/>
        </w:rPr>
      </w:pPr>
      <w:r>
        <w:rPr>
          <w:rFonts w:ascii="Work Sans" w:eastAsia="Arial Narrow" w:hAnsi="Work Sans" w:cs="Arial Narrow"/>
          <w:i/>
          <w:kern w:val="0"/>
          <w:sz w:val="18"/>
          <w:szCs w:val="18"/>
          <w:lang w:eastAsia="es-ES" w:bidi="ar-SA"/>
        </w:rPr>
        <w:t>En este caso, la Interventoría concluye que para las categorías indicadas existen recursos para compensar el diferencial con cargo a primer mecanismo de compensación (Subcuenta Autónoma de Soporte) para extender la vigencia hasta el 31 de Diciembre de 2026, no obstante, la interventoría realizó los análisis bajo el supuesto de no materializarse otro riesgo salvo los que se encuentran provisionados concluyendo un saldo de la subcuenta hasta el año 2026 de $27.124 millones como se indica a continuación.</w:t>
      </w:r>
    </w:p>
    <w:p w:rsidR="00B6656D" w:rsidRDefault="00B6656D">
      <w:pPr>
        <w:autoSpaceDE w:val="0"/>
        <w:ind w:left="720"/>
        <w:jc w:val="both"/>
        <w:textAlignment w:val="auto"/>
        <w:rPr>
          <w:rFonts w:ascii="Work Sans" w:eastAsia="Arial Narrow" w:hAnsi="Work Sans" w:cs="Arial Narrow"/>
          <w:i/>
          <w:iCs/>
          <w:kern w:val="0"/>
          <w:sz w:val="18"/>
          <w:szCs w:val="18"/>
          <w:lang w:eastAsia="es-ES" w:bidi="ar-SA"/>
        </w:rPr>
      </w:pPr>
    </w:p>
    <w:p w:rsidR="00B6656D" w:rsidRDefault="00000000">
      <w:pPr>
        <w:autoSpaceDE w:val="0"/>
        <w:ind w:left="720"/>
        <w:jc w:val="center"/>
        <w:textAlignment w:val="auto"/>
      </w:pPr>
      <w:r>
        <w:rPr>
          <w:rFonts w:ascii="Work Sans" w:eastAsia="Arial Narrow" w:hAnsi="Work Sans" w:cs="Arial Narrow"/>
          <w:i/>
          <w:iCs/>
          <w:noProof/>
          <w:kern w:val="0"/>
          <w:sz w:val="18"/>
          <w:szCs w:val="18"/>
          <w:lang w:eastAsia="es-ES" w:bidi="ar-SA"/>
        </w:rPr>
        <w:lastRenderedPageBreak/>
        <w:drawing>
          <wp:inline distT="0" distB="0" distL="0" distR="0">
            <wp:extent cx="3848096" cy="3857625"/>
            <wp:effectExtent l="0" t="0" r="4" b="3175"/>
            <wp:docPr id="3" name="Imagen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848096" cy="3857625"/>
                    </a:xfrm>
                    <a:prstGeom prst="rect">
                      <a:avLst/>
                    </a:prstGeom>
                    <a:noFill/>
                    <a:ln>
                      <a:noFill/>
                      <a:prstDash/>
                    </a:ln>
                  </pic:spPr>
                </pic:pic>
              </a:graphicData>
            </a:graphic>
          </wp:inline>
        </w:drawing>
      </w:r>
    </w:p>
    <w:p w:rsidR="00B6656D" w:rsidRDefault="00000000">
      <w:pPr>
        <w:autoSpaceDE w:val="0"/>
        <w:ind w:left="720"/>
        <w:jc w:val="center"/>
        <w:textAlignment w:val="auto"/>
        <w:rPr>
          <w:rFonts w:ascii="Work Sans" w:eastAsia="Arial Narrow" w:hAnsi="Work Sans" w:cs="Arial Narrow"/>
          <w:i/>
          <w:iCs/>
          <w:kern w:val="0"/>
          <w:sz w:val="18"/>
          <w:szCs w:val="18"/>
          <w:lang w:eastAsia="es-ES" w:bidi="ar-SA"/>
        </w:rPr>
      </w:pPr>
      <w:r>
        <w:rPr>
          <w:rFonts w:ascii="Work Sans" w:eastAsia="Arial Narrow" w:hAnsi="Work Sans" w:cs="Arial Narrow"/>
          <w:i/>
          <w:iCs/>
          <w:kern w:val="0"/>
          <w:sz w:val="18"/>
          <w:szCs w:val="18"/>
          <w:lang w:eastAsia="es-ES" w:bidi="ar-SA"/>
        </w:rPr>
        <w:t>Cifras en millones de pesos en corrientes</w:t>
      </w:r>
    </w:p>
    <w:p w:rsidR="00B6656D" w:rsidRDefault="00B6656D">
      <w:pPr>
        <w:autoSpaceDE w:val="0"/>
        <w:ind w:left="720"/>
        <w:jc w:val="both"/>
        <w:textAlignment w:val="auto"/>
        <w:rPr>
          <w:rFonts w:ascii="Work Sans" w:eastAsia="Arial Narrow" w:hAnsi="Work Sans" w:cs="Arial Narrow"/>
          <w:i/>
          <w:iCs/>
          <w:kern w:val="0"/>
          <w:sz w:val="18"/>
          <w:szCs w:val="18"/>
          <w:lang w:eastAsia="es-ES" w:bidi="ar-SA"/>
        </w:rPr>
      </w:pPr>
    </w:p>
    <w:p w:rsidR="00B6656D" w:rsidRDefault="00000000">
      <w:pPr>
        <w:ind w:left="720" w:right="481"/>
        <w:jc w:val="both"/>
        <w:textAlignment w:val="auto"/>
        <w:rPr>
          <w:rFonts w:ascii="Work Sans" w:eastAsia="Arial Narrow" w:hAnsi="Work Sans" w:cs="Arial Narrow"/>
          <w:i/>
          <w:kern w:val="0"/>
          <w:sz w:val="18"/>
          <w:szCs w:val="18"/>
          <w:lang w:eastAsia="es-ES" w:bidi="ar-SA"/>
        </w:rPr>
      </w:pPr>
      <w:r>
        <w:rPr>
          <w:rFonts w:ascii="Work Sans" w:eastAsia="Arial Narrow" w:hAnsi="Work Sans" w:cs="Arial Narrow"/>
          <w:i/>
          <w:kern w:val="0"/>
          <w:sz w:val="18"/>
          <w:szCs w:val="18"/>
          <w:lang w:eastAsia="es-ES" w:bidi="ar-SA"/>
        </w:rPr>
        <w:t>2) Presentar un análisis en el que se revise el incremento de los cupos para la tarifa diferencial establecida en el artículo 4 de la resolución No.410 de 2020 en el peaje Purgatorio, pasando de 120 a 300 cupos, señalando hasta que vigencia se tendría disponibilidad de recursos.</w:t>
      </w:r>
    </w:p>
    <w:p w:rsidR="00B6656D" w:rsidRDefault="00B6656D">
      <w:pPr>
        <w:autoSpaceDE w:val="0"/>
        <w:ind w:left="720" w:right="481"/>
        <w:jc w:val="both"/>
        <w:textAlignment w:val="auto"/>
        <w:rPr>
          <w:rFonts w:ascii="Work Sans" w:eastAsia="Arial Narrow" w:hAnsi="Work Sans" w:cs="Arial Narrow"/>
          <w:i/>
          <w:kern w:val="0"/>
          <w:sz w:val="18"/>
          <w:szCs w:val="18"/>
          <w:lang w:eastAsia="es-ES" w:bidi="ar-SA"/>
        </w:rPr>
      </w:pPr>
    </w:p>
    <w:p w:rsidR="00B6656D" w:rsidRDefault="00000000">
      <w:pPr>
        <w:autoSpaceDE w:val="0"/>
        <w:ind w:left="720" w:right="481"/>
        <w:jc w:val="both"/>
        <w:textAlignment w:val="auto"/>
        <w:rPr>
          <w:rFonts w:ascii="Work Sans" w:eastAsia="Arial Narrow" w:hAnsi="Work Sans" w:cs="Arial Narrow"/>
          <w:i/>
          <w:kern w:val="0"/>
          <w:sz w:val="18"/>
          <w:szCs w:val="18"/>
          <w:lang w:eastAsia="es-ES" w:bidi="ar-SA"/>
        </w:rPr>
      </w:pPr>
      <w:r>
        <w:rPr>
          <w:rFonts w:ascii="Work Sans" w:eastAsia="Arial Narrow" w:hAnsi="Work Sans" w:cs="Arial Narrow"/>
          <w:i/>
          <w:kern w:val="0"/>
          <w:sz w:val="18"/>
          <w:szCs w:val="18"/>
          <w:lang w:eastAsia="es-ES" w:bidi="ar-SA"/>
        </w:rPr>
        <w:t>Con base en el tráfico promedio diario, se proyectó un nuevo tráfico con 300 cupos, en este caso la compensación por la vida del proyecto (2023 -2049) asciende a $147.430 millones bajo la salvedad que la tarifa que se cobra actualmente tenga como mínimo incremento de $100 pesos cada año, lo cual tendría suficiencia con cargo en la subcuenta autónoma de no materializarse otro riesgo que se tenga provisionado como se indica a continuación:</w:t>
      </w:r>
    </w:p>
    <w:p w:rsidR="00B6656D" w:rsidRDefault="00B6656D">
      <w:pPr>
        <w:autoSpaceDE w:val="0"/>
        <w:ind w:left="720"/>
        <w:jc w:val="both"/>
        <w:textAlignment w:val="auto"/>
        <w:rPr>
          <w:rFonts w:ascii="Work Sans" w:eastAsia="Arial Narrow" w:hAnsi="Work Sans" w:cs="Arial Narrow"/>
          <w:i/>
          <w:iCs/>
          <w:kern w:val="0"/>
          <w:sz w:val="18"/>
          <w:szCs w:val="18"/>
          <w:lang w:eastAsia="es-ES" w:bidi="ar-SA"/>
        </w:rPr>
      </w:pPr>
    </w:p>
    <w:p w:rsidR="00B6656D" w:rsidRDefault="00000000">
      <w:pPr>
        <w:autoSpaceDE w:val="0"/>
        <w:ind w:left="720"/>
        <w:jc w:val="center"/>
        <w:textAlignment w:val="auto"/>
      </w:pPr>
      <w:r>
        <w:rPr>
          <w:rFonts w:ascii="Work Sans" w:eastAsia="Arial Narrow" w:hAnsi="Work Sans" w:cs="Arial Narrow"/>
          <w:i/>
          <w:iCs/>
          <w:noProof/>
          <w:kern w:val="0"/>
          <w:sz w:val="18"/>
          <w:szCs w:val="18"/>
          <w:lang w:eastAsia="es-ES" w:bidi="ar-SA"/>
        </w:rPr>
        <w:lastRenderedPageBreak/>
        <w:drawing>
          <wp:inline distT="0" distB="0" distL="0" distR="0">
            <wp:extent cx="4591046" cy="6115049"/>
            <wp:effectExtent l="0" t="0" r="0" b="0"/>
            <wp:docPr id="4"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591046" cy="6115049"/>
                    </a:xfrm>
                    <a:prstGeom prst="rect">
                      <a:avLst/>
                    </a:prstGeom>
                    <a:noFill/>
                    <a:ln>
                      <a:noFill/>
                      <a:prstDash/>
                    </a:ln>
                  </pic:spPr>
                </pic:pic>
              </a:graphicData>
            </a:graphic>
          </wp:inline>
        </w:drawing>
      </w:r>
    </w:p>
    <w:p w:rsidR="00B6656D" w:rsidRDefault="00B6656D">
      <w:pPr>
        <w:autoSpaceDE w:val="0"/>
        <w:ind w:left="720"/>
        <w:jc w:val="both"/>
        <w:textAlignment w:val="auto"/>
        <w:rPr>
          <w:rFonts w:ascii="Work Sans" w:eastAsia="Arial Narrow" w:hAnsi="Work Sans" w:cs="Arial Narrow"/>
          <w:i/>
          <w:iCs/>
          <w:kern w:val="0"/>
          <w:sz w:val="18"/>
          <w:szCs w:val="18"/>
          <w:lang w:eastAsia="es-ES" w:bidi="ar-SA"/>
        </w:rPr>
      </w:pPr>
    </w:p>
    <w:p w:rsidR="00B6656D" w:rsidRDefault="00000000">
      <w:pPr>
        <w:autoSpaceDE w:val="0"/>
        <w:ind w:left="720"/>
        <w:jc w:val="center"/>
        <w:textAlignment w:val="auto"/>
        <w:rPr>
          <w:rFonts w:ascii="Work Sans" w:eastAsia="Arial Narrow" w:hAnsi="Work Sans" w:cs="Arial Narrow"/>
          <w:i/>
          <w:iCs/>
          <w:kern w:val="0"/>
          <w:sz w:val="18"/>
          <w:szCs w:val="18"/>
          <w:lang w:eastAsia="es-ES" w:bidi="ar-SA"/>
        </w:rPr>
      </w:pPr>
      <w:r>
        <w:rPr>
          <w:rFonts w:ascii="Work Sans" w:eastAsia="Arial Narrow" w:hAnsi="Work Sans" w:cs="Arial Narrow"/>
          <w:i/>
          <w:iCs/>
          <w:kern w:val="0"/>
          <w:sz w:val="18"/>
          <w:szCs w:val="18"/>
          <w:lang w:eastAsia="es-ES" w:bidi="ar-SA"/>
        </w:rPr>
        <w:t>Cifras en millones de pesos en corrientes</w:t>
      </w:r>
    </w:p>
    <w:p w:rsidR="00B6656D" w:rsidRDefault="00B6656D">
      <w:pPr>
        <w:autoSpaceDE w:val="0"/>
        <w:ind w:left="720"/>
        <w:jc w:val="both"/>
        <w:textAlignment w:val="auto"/>
        <w:rPr>
          <w:rFonts w:ascii="Work Sans" w:eastAsia="Arial Narrow" w:hAnsi="Work Sans" w:cs="Arial Narrow"/>
          <w:i/>
          <w:iCs/>
          <w:kern w:val="0"/>
          <w:sz w:val="18"/>
          <w:szCs w:val="18"/>
          <w:lang w:eastAsia="es-ES" w:bidi="ar-SA"/>
        </w:rPr>
      </w:pPr>
    </w:p>
    <w:p w:rsidR="00B6656D" w:rsidRDefault="00000000">
      <w:pPr>
        <w:autoSpaceDE w:val="0"/>
        <w:ind w:left="720" w:right="481"/>
        <w:jc w:val="both"/>
        <w:textAlignment w:val="auto"/>
      </w:pPr>
      <w:r>
        <w:rPr>
          <w:rFonts w:ascii="Work Sans" w:eastAsia="Arial Narrow" w:hAnsi="Work Sans" w:cs="Arial Narrow"/>
          <w:i/>
          <w:kern w:val="0"/>
          <w:sz w:val="18"/>
          <w:szCs w:val="18"/>
          <w:lang w:val="es-CO" w:eastAsia="es-ES" w:bidi="ar-SA"/>
        </w:rPr>
        <w:t xml:space="preserve">La Interventoría concluye que existen los recursos en la subcuenta autónoma para extender la vigencia de las tarifas diferenciales servicio público indicadas en la Resolución </w:t>
      </w:r>
      <w:r>
        <w:rPr>
          <w:rFonts w:ascii="Work Sans" w:eastAsia="Arial Narrow" w:hAnsi="Work Sans" w:cs="Arial Narrow"/>
          <w:i/>
          <w:kern w:val="0"/>
          <w:sz w:val="18"/>
          <w:szCs w:val="18"/>
          <w:lang w:eastAsia="es-ES" w:bidi="ar-SA"/>
        </w:rPr>
        <w:t xml:space="preserve">410 del 26 de Febrero de 2020, hasta el 31 de Diciembre de 2026, así mismo de ampliar el número de cupos a 300 para la Categoría IE Res. 410 Art. 4. </w:t>
      </w:r>
    </w:p>
    <w:p w:rsidR="00B6656D" w:rsidRDefault="00B6656D">
      <w:pPr>
        <w:autoSpaceDE w:val="0"/>
        <w:spacing w:line="276" w:lineRule="auto"/>
        <w:ind w:left="720" w:right="481"/>
        <w:jc w:val="both"/>
        <w:textAlignment w:val="auto"/>
        <w:rPr>
          <w:rFonts w:ascii="Work Sans" w:eastAsia="Arial Narrow" w:hAnsi="Work Sans" w:cs="Arial Narrow"/>
          <w:i/>
          <w:iCs/>
          <w:kern w:val="0"/>
          <w:sz w:val="18"/>
          <w:szCs w:val="18"/>
          <w:lang w:val="es-CO" w:eastAsia="es-ES" w:bidi="ar-SA"/>
        </w:rPr>
      </w:pPr>
    </w:p>
    <w:p w:rsidR="00B6656D" w:rsidRDefault="00000000">
      <w:pPr>
        <w:widowControl/>
        <w:spacing w:line="276" w:lineRule="auto"/>
        <w:ind w:left="426" w:right="481"/>
        <w:jc w:val="both"/>
        <w:textAlignment w:val="auto"/>
        <w:rPr>
          <w:rFonts w:ascii="Work Sans" w:eastAsia="Arial Narrow" w:hAnsi="Work Sans" w:cs="Arial Narrow"/>
          <w:i/>
          <w:kern w:val="0"/>
          <w:sz w:val="18"/>
          <w:szCs w:val="18"/>
          <w:lang w:val="es-CO" w:eastAsia="es-ES" w:bidi="ar-SA"/>
        </w:rPr>
      </w:pPr>
      <w:r>
        <w:rPr>
          <w:rFonts w:ascii="Work Sans" w:eastAsia="Arial Narrow" w:hAnsi="Work Sans" w:cs="Arial Narrow"/>
          <w:i/>
          <w:kern w:val="0"/>
          <w:sz w:val="18"/>
          <w:szCs w:val="18"/>
          <w:lang w:val="es-CO" w:eastAsia="es-ES" w:bidi="ar-SA"/>
        </w:rPr>
        <w:t xml:space="preserve">Se resalta que, los TPD (Trafico Promedio Diario) proyectados por la Interventoría para estimar el costo de las tarifas diferenciales desde el año 2023 hasta el año 2026, se establecieron con base al tráfico del tercer trimestre del año, que han generado los beneficiarios actualmente activos en cada una de las categorías para cada estación de peaje. </w:t>
      </w:r>
    </w:p>
    <w:p w:rsidR="00B6656D" w:rsidRDefault="00B6656D">
      <w:pPr>
        <w:widowControl/>
        <w:spacing w:line="276" w:lineRule="auto"/>
        <w:ind w:left="426" w:right="481"/>
        <w:jc w:val="both"/>
        <w:textAlignment w:val="auto"/>
        <w:rPr>
          <w:rFonts w:ascii="Work Sans" w:hAnsi="Work Sans" w:cs="Arial"/>
          <w:bCs/>
          <w:i/>
          <w:kern w:val="0"/>
          <w:sz w:val="18"/>
          <w:szCs w:val="18"/>
          <w:shd w:val="clear" w:color="auto" w:fill="FFFF00"/>
          <w:lang w:val="es-ES_tradnl" w:eastAsia="es-ES" w:bidi="ar-SA"/>
        </w:rPr>
      </w:pPr>
    </w:p>
    <w:p w:rsidR="00B6656D" w:rsidRDefault="00000000">
      <w:pPr>
        <w:widowControl/>
        <w:numPr>
          <w:ilvl w:val="0"/>
          <w:numId w:val="20"/>
        </w:numPr>
        <w:spacing w:line="276" w:lineRule="auto"/>
        <w:ind w:left="426" w:right="481" w:firstLine="0"/>
        <w:jc w:val="both"/>
        <w:textAlignment w:val="auto"/>
        <w:rPr>
          <w:rFonts w:ascii="Work Sans" w:hAnsi="Work Sans" w:cs="Arial"/>
          <w:b/>
          <w:i/>
          <w:kern w:val="0"/>
          <w:sz w:val="18"/>
          <w:szCs w:val="18"/>
          <w:lang w:val="es-ES_tradnl" w:eastAsia="es-ES" w:bidi="ar-SA"/>
        </w:rPr>
      </w:pPr>
      <w:r>
        <w:rPr>
          <w:rFonts w:ascii="Work Sans" w:hAnsi="Work Sans" w:cs="Arial"/>
          <w:b/>
          <w:i/>
          <w:kern w:val="0"/>
          <w:sz w:val="18"/>
          <w:szCs w:val="18"/>
          <w:lang w:val="es-ES_tradnl" w:eastAsia="es-ES" w:bidi="ar-SA"/>
        </w:rPr>
        <w:t>Propuesta de Modificación de la Resolución No.000410 del 26 de febrero de 2020.</w:t>
      </w:r>
    </w:p>
    <w:p w:rsidR="00B6656D" w:rsidRDefault="00B6656D">
      <w:pPr>
        <w:widowControl/>
        <w:spacing w:line="276" w:lineRule="auto"/>
        <w:ind w:left="426" w:right="481"/>
        <w:jc w:val="both"/>
        <w:textAlignment w:val="auto"/>
        <w:rPr>
          <w:rFonts w:ascii="Work Sans" w:hAnsi="Work Sans" w:cs="Arial"/>
          <w:bCs/>
          <w:i/>
          <w:kern w:val="0"/>
          <w:sz w:val="18"/>
          <w:szCs w:val="18"/>
          <w:shd w:val="clear" w:color="auto" w:fill="FFFF00"/>
          <w:lang w:val="es-ES_tradnl" w:eastAsia="es-ES" w:bidi="ar-SA"/>
        </w:rPr>
      </w:pPr>
    </w:p>
    <w:p w:rsidR="00B6656D" w:rsidRDefault="00000000">
      <w:pPr>
        <w:widowControl/>
        <w:spacing w:line="276" w:lineRule="auto"/>
        <w:ind w:left="426" w:right="481"/>
        <w:jc w:val="both"/>
        <w:textAlignment w:val="auto"/>
      </w:pPr>
      <w:r>
        <w:rPr>
          <w:rFonts w:ascii="Work Sans" w:hAnsi="Work Sans" w:cs="Arial"/>
          <w:i/>
          <w:kern w:val="0"/>
          <w:sz w:val="18"/>
          <w:szCs w:val="18"/>
          <w:lang w:eastAsia="es-ES" w:bidi="ar-SA"/>
        </w:rPr>
        <w:t>De conformidad con lo expuesto en los capítulos anteriores, la Agencia solicita la expedición del acto administrativo con el fin de:</w:t>
      </w:r>
    </w:p>
    <w:p w:rsidR="00B6656D" w:rsidRDefault="00B6656D">
      <w:pPr>
        <w:widowControl/>
        <w:spacing w:line="276" w:lineRule="auto"/>
        <w:ind w:right="481"/>
        <w:jc w:val="both"/>
        <w:textAlignment w:val="auto"/>
        <w:rPr>
          <w:rFonts w:ascii="Work Sans" w:hAnsi="Work Sans" w:cs="Arial"/>
          <w:bCs/>
          <w:i/>
          <w:kern w:val="0"/>
          <w:sz w:val="18"/>
          <w:szCs w:val="18"/>
          <w:shd w:val="clear" w:color="auto" w:fill="FFFF00"/>
          <w:lang w:val="es-ES_tradnl" w:eastAsia="es-ES" w:bidi="ar-SA"/>
        </w:rPr>
      </w:pPr>
    </w:p>
    <w:p w:rsidR="00B6656D" w:rsidRDefault="00000000">
      <w:pPr>
        <w:widowControl/>
        <w:numPr>
          <w:ilvl w:val="0"/>
          <w:numId w:val="24"/>
        </w:numPr>
        <w:spacing w:line="276" w:lineRule="auto"/>
        <w:ind w:right="481"/>
        <w:jc w:val="both"/>
        <w:textAlignment w:val="auto"/>
        <w:rPr>
          <w:rFonts w:ascii="Work Sans" w:hAnsi="Work Sans" w:cs="Arial"/>
          <w:bCs/>
          <w:i/>
          <w:kern w:val="0"/>
          <w:sz w:val="18"/>
          <w:szCs w:val="18"/>
          <w:lang w:val="es-CO" w:eastAsia="es-ES" w:bidi="ar-SA"/>
        </w:rPr>
      </w:pPr>
      <w:r>
        <w:rPr>
          <w:rFonts w:ascii="Work Sans" w:hAnsi="Work Sans" w:cs="Arial"/>
          <w:bCs/>
          <w:i/>
          <w:kern w:val="0"/>
          <w:sz w:val="18"/>
          <w:szCs w:val="18"/>
          <w:lang w:val="es-CO" w:eastAsia="es-ES" w:bidi="ar-SA"/>
        </w:rPr>
        <w:t>Modificar el artículo 4 de la Resolución No.000410 26 del 26 de febrero de 2020, el cual para todos los efectos quedará así:  </w:t>
      </w:r>
    </w:p>
    <w:p w:rsidR="00B6656D" w:rsidRDefault="00000000">
      <w:pPr>
        <w:widowControl/>
        <w:spacing w:line="276" w:lineRule="auto"/>
        <w:ind w:right="481"/>
        <w:jc w:val="both"/>
        <w:textAlignment w:val="auto"/>
        <w:rPr>
          <w:rFonts w:ascii="Work Sans" w:hAnsi="Work Sans" w:cs="Arial"/>
          <w:bCs/>
          <w:i/>
          <w:kern w:val="0"/>
          <w:sz w:val="18"/>
          <w:szCs w:val="18"/>
          <w:lang w:val="es-CO" w:eastAsia="es-ES" w:bidi="ar-SA"/>
        </w:rPr>
      </w:pPr>
      <w:r>
        <w:rPr>
          <w:rFonts w:ascii="Work Sans" w:hAnsi="Work Sans" w:cs="Arial"/>
          <w:bCs/>
          <w:i/>
          <w:kern w:val="0"/>
          <w:sz w:val="18"/>
          <w:szCs w:val="18"/>
          <w:lang w:val="es-CO" w:eastAsia="es-ES" w:bidi="ar-SA"/>
        </w:rPr>
        <w:t> </w:t>
      </w:r>
    </w:p>
    <w:p w:rsidR="00B6656D" w:rsidRDefault="00000000">
      <w:pPr>
        <w:widowControl/>
        <w:spacing w:line="276" w:lineRule="auto"/>
        <w:ind w:left="1068" w:right="481"/>
        <w:jc w:val="both"/>
        <w:textAlignment w:val="auto"/>
      </w:pPr>
      <w:r>
        <w:rPr>
          <w:rFonts w:ascii="Work Sans" w:hAnsi="Work Sans" w:cs="Arial"/>
          <w:b/>
          <w:bCs/>
          <w:i/>
          <w:iCs/>
          <w:kern w:val="0"/>
          <w:sz w:val="18"/>
          <w:szCs w:val="18"/>
          <w:lang w:val="es-CO" w:eastAsia="es-ES" w:bidi="ar-SA"/>
        </w:rPr>
        <w:t>ARTÍCULO  4</w:t>
      </w:r>
      <w:r>
        <w:rPr>
          <w:rFonts w:ascii="Work Sans" w:hAnsi="Work Sans" w:cs="Arial"/>
          <w:bCs/>
          <w:i/>
          <w:iCs/>
          <w:kern w:val="0"/>
          <w:sz w:val="18"/>
          <w:szCs w:val="18"/>
          <w:lang w:val="es-CO" w:eastAsia="es-ES" w:bidi="ar-SA"/>
        </w:rPr>
        <w:t>.- Establecer la siguiente tarifa diferencial en la categoría 1 de la estación de peaje Purgatorio, para los vehículos particulares de los habitantes del K12 (Las Pulgas, Loma Grande, Las Chispas I, Las Chispas II (La Gloria), Pueblo Verde, Palmitas, Los corrales), del K15 (El. Porvenir, Casa Blanca, Guateque, San Anterito, Hoyo Oscuro, Mochila, Santa Fé, Santa Isabel, San Isidro, La Victoria, Nueva Lucía, Buenos Aires, Patio Bonito) y de Carrizal:</w:t>
      </w:r>
      <w:r>
        <w:rPr>
          <w:rFonts w:ascii="Work Sans" w:hAnsi="Work Sans" w:cs="Arial"/>
          <w:bCs/>
          <w:i/>
          <w:kern w:val="0"/>
          <w:sz w:val="18"/>
          <w:szCs w:val="18"/>
          <w:lang w:val="es-CO" w:eastAsia="es-ES" w:bidi="ar-SA"/>
        </w:rPr>
        <w:t> </w:t>
      </w:r>
    </w:p>
    <w:p w:rsidR="00B6656D" w:rsidRDefault="00B6656D">
      <w:pPr>
        <w:widowControl/>
        <w:spacing w:line="276" w:lineRule="auto"/>
        <w:ind w:left="1068" w:right="481"/>
        <w:jc w:val="both"/>
        <w:textAlignment w:val="auto"/>
        <w:rPr>
          <w:rFonts w:ascii="Work Sans" w:hAnsi="Work Sans" w:cs="Arial"/>
          <w:bCs/>
          <w:i/>
          <w:kern w:val="0"/>
          <w:sz w:val="18"/>
          <w:szCs w:val="18"/>
          <w:lang w:val="es-CO" w:eastAsia="es-ES" w:bidi="ar-SA"/>
        </w:rPr>
      </w:pPr>
    </w:p>
    <w:tbl>
      <w:tblPr>
        <w:tblW w:w="7890" w:type="dxa"/>
        <w:jc w:val="right"/>
        <w:tblCellMar>
          <w:left w:w="10" w:type="dxa"/>
          <w:right w:w="10" w:type="dxa"/>
        </w:tblCellMar>
        <w:tblLook w:val="04A0" w:firstRow="1" w:lastRow="0" w:firstColumn="1" w:lastColumn="0" w:noHBand="0" w:noVBand="1"/>
      </w:tblPr>
      <w:tblGrid>
        <w:gridCol w:w="1755"/>
        <w:gridCol w:w="2625"/>
        <w:gridCol w:w="1710"/>
        <w:gridCol w:w="1800"/>
      </w:tblGrid>
      <w:tr w:rsidR="00B6656D">
        <w:tblPrEx>
          <w:tblCellMar>
            <w:top w:w="0" w:type="dxa"/>
            <w:bottom w:w="0" w:type="dxa"/>
          </w:tblCellMar>
        </w:tblPrEx>
        <w:trPr>
          <w:trHeight w:val="240"/>
          <w:jc w:val="right"/>
        </w:trPr>
        <w:tc>
          <w:tcPr>
            <w:tcW w:w="789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6656D" w:rsidRDefault="00000000">
            <w:pPr>
              <w:widowControl/>
              <w:spacing w:line="276" w:lineRule="auto"/>
              <w:ind w:right="481"/>
              <w:jc w:val="center"/>
              <w:textAlignment w:val="auto"/>
            </w:pPr>
            <w:r>
              <w:rPr>
                <w:rFonts w:ascii="Work Sans" w:hAnsi="Work Sans" w:cs="Arial"/>
                <w:b/>
                <w:bCs/>
                <w:i/>
                <w:iCs/>
                <w:kern w:val="0"/>
                <w:sz w:val="18"/>
                <w:szCs w:val="18"/>
                <w:lang w:val="es-CO" w:eastAsia="es-ES" w:bidi="ar-SA"/>
              </w:rPr>
              <w:t>ESTACIÓN DE PEAJE PURGATORIO</w:t>
            </w:r>
          </w:p>
        </w:tc>
      </w:tr>
      <w:tr w:rsidR="00B6656D">
        <w:tblPrEx>
          <w:tblCellMar>
            <w:top w:w="0" w:type="dxa"/>
            <w:bottom w:w="0" w:type="dxa"/>
          </w:tblCellMar>
        </w:tblPrEx>
        <w:trPr>
          <w:trHeight w:val="735"/>
          <w:jc w:val="right"/>
        </w:trPr>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6656D" w:rsidRDefault="00000000">
            <w:pPr>
              <w:widowControl/>
              <w:spacing w:line="276" w:lineRule="auto"/>
              <w:ind w:right="481"/>
              <w:jc w:val="center"/>
              <w:textAlignment w:val="auto"/>
            </w:pPr>
            <w:r>
              <w:rPr>
                <w:rFonts w:ascii="Work Sans" w:hAnsi="Work Sans" w:cs="Arial"/>
                <w:b/>
                <w:bCs/>
                <w:i/>
                <w:iCs/>
                <w:kern w:val="0"/>
                <w:sz w:val="18"/>
                <w:szCs w:val="18"/>
                <w:lang w:val="es-CO" w:eastAsia="es-ES" w:bidi="ar-SA"/>
              </w:rPr>
              <w:t>CATEGORÍAS</w:t>
            </w:r>
          </w:p>
        </w:tc>
        <w:tc>
          <w:tcPr>
            <w:tcW w:w="26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6656D" w:rsidRDefault="00000000">
            <w:pPr>
              <w:widowControl/>
              <w:spacing w:line="276" w:lineRule="auto"/>
              <w:ind w:right="481"/>
              <w:jc w:val="center"/>
              <w:textAlignment w:val="auto"/>
            </w:pPr>
            <w:r>
              <w:rPr>
                <w:rFonts w:ascii="Work Sans" w:hAnsi="Work Sans" w:cs="Arial"/>
                <w:b/>
                <w:bCs/>
                <w:i/>
                <w:iCs/>
                <w:kern w:val="0"/>
                <w:sz w:val="18"/>
                <w:szCs w:val="18"/>
                <w:lang w:val="es-CO" w:eastAsia="es-ES" w:bidi="ar-SA"/>
              </w:rPr>
              <w:t>DESCRIPCIÓN</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6656D" w:rsidRDefault="00000000">
            <w:pPr>
              <w:widowControl/>
              <w:spacing w:line="276" w:lineRule="auto"/>
              <w:ind w:right="481"/>
              <w:jc w:val="center"/>
              <w:textAlignment w:val="auto"/>
            </w:pPr>
            <w:r>
              <w:rPr>
                <w:rFonts w:ascii="Work Sans" w:hAnsi="Work Sans" w:cs="Arial"/>
                <w:b/>
                <w:bCs/>
                <w:i/>
                <w:iCs/>
                <w:kern w:val="0"/>
                <w:sz w:val="18"/>
                <w:szCs w:val="18"/>
                <w:lang w:val="es-CO" w:eastAsia="es-ES" w:bidi="ar-SA"/>
              </w:rPr>
              <w:t>TARIFAS 2019 (Incluye FOSEVI)</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6656D" w:rsidRDefault="00000000">
            <w:pPr>
              <w:widowControl/>
              <w:spacing w:line="276" w:lineRule="auto"/>
              <w:ind w:right="481"/>
              <w:jc w:val="center"/>
              <w:textAlignment w:val="auto"/>
            </w:pPr>
            <w:r>
              <w:rPr>
                <w:rFonts w:ascii="Work Sans" w:hAnsi="Work Sans" w:cs="Arial"/>
                <w:b/>
                <w:bCs/>
                <w:i/>
                <w:iCs/>
                <w:kern w:val="0"/>
                <w:sz w:val="18"/>
                <w:szCs w:val="18"/>
                <w:lang w:val="es-CO" w:eastAsia="es-ES" w:bidi="ar-SA"/>
              </w:rPr>
              <w:t>TOTAL CUPOS OTORGADOS</w:t>
            </w:r>
          </w:p>
        </w:tc>
      </w:tr>
      <w:tr w:rsidR="00B6656D">
        <w:tblPrEx>
          <w:tblCellMar>
            <w:top w:w="0" w:type="dxa"/>
            <w:bottom w:w="0" w:type="dxa"/>
          </w:tblCellMar>
        </w:tblPrEx>
        <w:trPr>
          <w:trHeight w:val="300"/>
          <w:jc w:val="right"/>
        </w:trPr>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6656D" w:rsidRDefault="00000000">
            <w:pPr>
              <w:widowControl/>
              <w:spacing w:line="276" w:lineRule="auto"/>
              <w:ind w:right="481"/>
              <w:jc w:val="center"/>
              <w:textAlignment w:val="auto"/>
            </w:pPr>
            <w:r>
              <w:rPr>
                <w:rFonts w:ascii="Work Sans" w:hAnsi="Work Sans" w:cs="Arial"/>
                <w:bCs/>
                <w:i/>
                <w:iCs/>
                <w:kern w:val="0"/>
                <w:sz w:val="18"/>
                <w:szCs w:val="18"/>
                <w:lang w:val="es-CO" w:eastAsia="es-ES" w:bidi="ar-SA"/>
              </w:rPr>
              <w:t>Categoría 1E</w:t>
            </w:r>
          </w:p>
        </w:tc>
        <w:tc>
          <w:tcPr>
            <w:tcW w:w="26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6656D" w:rsidRDefault="00000000">
            <w:pPr>
              <w:widowControl/>
              <w:spacing w:line="276" w:lineRule="auto"/>
              <w:ind w:right="481"/>
              <w:jc w:val="center"/>
              <w:textAlignment w:val="auto"/>
            </w:pPr>
            <w:r>
              <w:rPr>
                <w:rFonts w:ascii="Work Sans" w:hAnsi="Work Sans" w:cs="Arial"/>
                <w:bCs/>
                <w:i/>
                <w:iCs/>
                <w:kern w:val="0"/>
                <w:sz w:val="18"/>
                <w:szCs w:val="18"/>
                <w:lang w:val="es-CO" w:eastAsia="es-ES" w:bidi="ar-SA"/>
              </w:rPr>
              <w:t>Automóviles, camperos, camionetas, microbuses con ejes de llanta sencilla</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6656D" w:rsidRDefault="00000000">
            <w:pPr>
              <w:widowControl/>
              <w:spacing w:line="276" w:lineRule="auto"/>
              <w:ind w:right="481"/>
              <w:jc w:val="center"/>
              <w:textAlignment w:val="auto"/>
            </w:pPr>
            <w:r>
              <w:rPr>
                <w:rFonts w:ascii="Work Sans" w:hAnsi="Work Sans" w:cs="Arial"/>
                <w:bCs/>
                <w:i/>
                <w:iCs/>
                <w:kern w:val="0"/>
                <w:sz w:val="18"/>
                <w:szCs w:val="18"/>
                <w:lang w:val="es-CO" w:eastAsia="es-ES" w:bidi="ar-SA"/>
              </w:rPr>
              <w:t>$200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6656D" w:rsidRDefault="00000000">
            <w:pPr>
              <w:widowControl/>
              <w:spacing w:line="276" w:lineRule="auto"/>
              <w:ind w:right="481"/>
              <w:jc w:val="center"/>
              <w:textAlignment w:val="auto"/>
            </w:pPr>
            <w:r>
              <w:rPr>
                <w:rFonts w:ascii="Work Sans" w:hAnsi="Work Sans" w:cs="Arial"/>
                <w:bCs/>
                <w:i/>
                <w:iCs/>
                <w:kern w:val="0"/>
                <w:sz w:val="18"/>
                <w:szCs w:val="18"/>
                <w:lang w:val="es-CO" w:eastAsia="es-ES" w:bidi="ar-SA"/>
              </w:rPr>
              <w:t>300</w:t>
            </w:r>
          </w:p>
        </w:tc>
      </w:tr>
    </w:tbl>
    <w:p w:rsidR="00B6656D" w:rsidRDefault="00000000">
      <w:pPr>
        <w:widowControl/>
        <w:spacing w:line="276" w:lineRule="auto"/>
        <w:ind w:right="481"/>
        <w:jc w:val="both"/>
        <w:textAlignment w:val="auto"/>
        <w:rPr>
          <w:rFonts w:ascii="Work Sans" w:hAnsi="Work Sans" w:cs="Arial"/>
          <w:bCs/>
          <w:i/>
          <w:kern w:val="0"/>
          <w:sz w:val="18"/>
          <w:szCs w:val="18"/>
          <w:lang w:val="es-CO" w:eastAsia="es-ES" w:bidi="ar-SA"/>
        </w:rPr>
      </w:pPr>
      <w:r>
        <w:rPr>
          <w:rFonts w:ascii="Work Sans" w:hAnsi="Work Sans" w:cs="Arial"/>
          <w:bCs/>
          <w:i/>
          <w:kern w:val="0"/>
          <w:sz w:val="18"/>
          <w:szCs w:val="18"/>
          <w:lang w:val="es-CO" w:eastAsia="es-ES" w:bidi="ar-SA"/>
        </w:rPr>
        <w:t> </w:t>
      </w:r>
    </w:p>
    <w:p w:rsidR="00B6656D" w:rsidRDefault="00000000">
      <w:pPr>
        <w:widowControl/>
        <w:spacing w:line="276" w:lineRule="auto"/>
        <w:ind w:left="1068" w:right="481"/>
        <w:jc w:val="both"/>
        <w:textAlignment w:val="auto"/>
      </w:pPr>
      <w:r>
        <w:rPr>
          <w:rFonts w:ascii="Work Sans" w:hAnsi="Work Sans" w:cs="Arial"/>
          <w:b/>
          <w:bCs/>
          <w:i/>
          <w:iCs/>
          <w:kern w:val="0"/>
          <w:sz w:val="18"/>
          <w:szCs w:val="18"/>
          <w:lang w:val="es-CO" w:eastAsia="es-ES" w:bidi="ar-SA"/>
        </w:rPr>
        <w:t xml:space="preserve">PARÁGRAFO: </w:t>
      </w:r>
      <w:r>
        <w:rPr>
          <w:rFonts w:ascii="Work Sans" w:hAnsi="Work Sans" w:cs="Arial"/>
          <w:i/>
          <w:iCs/>
          <w:kern w:val="0"/>
          <w:sz w:val="18"/>
          <w:szCs w:val="18"/>
          <w:lang w:val="es-CO" w:eastAsia="es-ES" w:bidi="ar-SA"/>
        </w:rPr>
        <w:t>Para mantener el beneficio de la tarifa especial en cualquiera de las categorías de las Estación de Peaje Purgatorio, el vehículo deberá transitar por la respectiva estación de peaje, con una frecuencia mínima de veinte (20) pasos al mes.</w:t>
      </w:r>
      <w:r>
        <w:rPr>
          <w:rFonts w:ascii="Work Sans" w:hAnsi="Work Sans" w:cs="Arial"/>
          <w:b/>
          <w:bCs/>
          <w:i/>
          <w:iCs/>
          <w:kern w:val="0"/>
          <w:sz w:val="18"/>
          <w:szCs w:val="18"/>
          <w:lang w:val="es-CO" w:eastAsia="es-ES" w:bidi="ar-SA"/>
        </w:rPr>
        <w:t>  </w:t>
      </w:r>
    </w:p>
    <w:p w:rsidR="00B6656D" w:rsidRDefault="00000000">
      <w:pPr>
        <w:widowControl/>
        <w:spacing w:line="276" w:lineRule="auto"/>
        <w:ind w:right="481"/>
        <w:jc w:val="both"/>
        <w:textAlignment w:val="auto"/>
        <w:rPr>
          <w:rFonts w:ascii="Work Sans" w:hAnsi="Work Sans" w:cs="Arial"/>
          <w:bCs/>
          <w:i/>
          <w:kern w:val="0"/>
          <w:sz w:val="18"/>
          <w:szCs w:val="18"/>
          <w:lang w:val="es-CO" w:eastAsia="es-ES" w:bidi="ar-SA"/>
        </w:rPr>
      </w:pPr>
      <w:r>
        <w:rPr>
          <w:rFonts w:ascii="Work Sans" w:hAnsi="Work Sans" w:cs="Arial"/>
          <w:bCs/>
          <w:i/>
          <w:kern w:val="0"/>
          <w:sz w:val="18"/>
          <w:szCs w:val="18"/>
          <w:lang w:val="es-CO" w:eastAsia="es-ES" w:bidi="ar-SA"/>
        </w:rPr>
        <w:t> </w:t>
      </w:r>
    </w:p>
    <w:p w:rsidR="00B6656D" w:rsidRDefault="00000000">
      <w:pPr>
        <w:widowControl/>
        <w:numPr>
          <w:ilvl w:val="0"/>
          <w:numId w:val="24"/>
        </w:numPr>
        <w:spacing w:line="276" w:lineRule="auto"/>
        <w:ind w:right="481"/>
        <w:jc w:val="both"/>
        <w:textAlignment w:val="auto"/>
        <w:rPr>
          <w:rFonts w:ascii="Work Sans" w:hAnsi="Work Sans" w:cs="Arial"/>
          <w:bCs/>
          <w:i/>
          <w:kern w:val="0"/>
          <w:sz w:val="18"/>
          <w:szCs w:val="18"/>
          <w:lang w:val="es-CO" w:eastAsia="es-ES" w:bidi="ar-SA"/>
        </w:rPr>
      </w:pPr>
      <w:r>
        <w:rPr>
          <w:rFonts w:ascii="Work Sans" w:hAnsi="Work Sans" w:cs="Arial"/>
          <w:bCs/>
          <w:i/>
          <w:kern w:val="0"/>
          <w:sz w:val="18"/>
          <w:szCs w:val="18"/>
          <w:lang w:val="es-CO" w:eastAsia="es-ES" w:bidi="ar-SA"/>
        </w:rPr>
        <w:t>Modificar el artículo 7 de la Resolución No.000410 26 del 26 de febrero de 2020, el cual para todos los efectos quedará así:  </w:t>
      </w:r>
    </w:p>
    <w:p w:rsidR="00B6656D" w:rsidRDefault="00000000">
      <w:pPr>
        <w:widowControl/>
        <w:spacing w:line="276" w:lineRule="auto"/>
        <w:ind w:right="481"/>
        <w:jc w:val="both"/>
        <w:textAlignment w:val="auto"/>
        <w:rPr>
          <w:rFonts w:ascii="Work Sans" w:hAnsi="Work Sans" w:cs="Arial"/>
          <w:bCs/>
          <w:i/>
          <w:kern w:val="0"/>
          <w:sz w:val="18"/>
          <w:szCs w:val="18"/>
          <w:lang w:val="es-CO" w:eastAsia="es-ES" w:bidi="ar-SA"/>
        </w:rPr>
      </w:pPr>
      <w:r>
        <w:rPr>
          <w:rFonts w:ascii="Work Sans" w:hAnsi="Work Sans" w:cs="Arial"/>
          <w:bCs/>
          <w:i/>
          <w:kern w:val="0"/>
          <w:sz w:val="18"/>
          <w:szCs w:val="18"/>
          <w:lang w:val="es-CO" w:eastAsia="es-ES" w:bidi="ar-SA"/>
        </w:rPr>
        <w:t> </w:t>
      </w:r>
    </w:p>
    <w:p w:rsidR="00B6656D" w:rsidRDefault="00000000">
      <w:pPr>
        <w:widowControl/>
        <w:spacing w:line="276" w:lineRule="auto"/>
        <w:ind w:left="1068" w:right="481"/>
        <w:jc w:val="both"/>
        <w:textAlignment w:val="auto"/>
      </w:pPr>
      <w:r>
        <w:rPr>
          <w:rFonts w:ascii="Work Sans" w:hAnsi="Work Sans" w:cs="Arial"/>
          <w:b/>
          <w:bCs/>
          <w:i/>
          <w:iCs/>
          <w:kern w:val="0"/>
          <w:sz w:val="18"/>
          <w:szCs w:val="18"/>
          <w:lang w:val="es-CO" w:eastAsia="es-ES" w:bidi="ar-SA"/>
        </w:rPr>
        <w:t xml:space="preserve">ARTÍCULO 7.- </w:t>
      </w:r>
      <w:r>
        <w:rPr>
          <w:rFonts w:ascii="Work Sans" w:hAnsi="Work Sans" w:cs="Arial"/>
          <w:i/>
          <w:iCs/>
          <w:kern w:val="0"/>
          <w:sz w:val="18"/>
          <w:szCs w:val="18"/>
          <w:lang w:val="es-CO" w:eastAsia="es-ES" w:bidi="ar-SA"/>
        </w:rPr>
        <w:t>Las tarifas diferenciales establecidas en la presente resolución para el servicio público de transporte, tendrán una vigencia hasta el treinta y uno (31) de diciembre de 2026, según la suficiencia de los mecanismos de compensación del contrato de concesión.</w:t>
      </w:r>
      <w:r>
        <w:rPr>
          <w:rFonts w:ascii="Work Sans" w:hAnsi="Work Sans" w:cs="Arial"/>
          <w:b/>
          <w:bCs/>
          <w:i/>
          <w:iCs/>
          <w:kern w:val="0"/>
          <w:sz w:val="18"/>
          <w:szCs w:val="18"/>
          <w:lang w:val="es-CO" w:eastAsia="es-ES" w:bidi="ar-SA"/>
        </w:rPr>
        <w:t>  </w:t>
      </w:r>
    </w:p>
    <w:p w:rsidR="00B6656D" w:rsidRDefault="00000000">
      <w:pPr>
        <w:widowControl/>
        <w:spacing w:line="276" w:lineRule="auto"/>
        <w:ind w:right="481"/>
        <w:jc w:val="both"/>
        <w:textAlignment w:val="auto"/>
        <w:rPr>
          <w:rFonts w:ascii="Work Sans" w:hAnsi="Work Sans" w:cs="Arial"/>
          <w:bCs/>
          <w:i/>
          <w:kern w:val="0"/>
          <w:sz w:val="18"/>
          <w:szCs w:val="18"/>
          <w:lang w:val="es-CO" w:eastAsia="es-ES" w:bidi="ar-SA"/>
        </w:rPr>
      </w:pPr>
      <w:r>
        <w:rPr>
          <w:rFonts w:ascii="Work Sans" w:hAnsi="Work Sans" w:cs="Arial"/>
          <w:bCs/>
          <w:i/>
          <w:kern w:val="0"/>
          <w:sz w:val="18"/>
          <w:szCs w:val="18"/>
          <w:lang w:val="es-CO" w:eastAsia="es-ES" w:bidi="ar-SA"/>
        </w:rPr>
        <w:t> </w:t>
      </w:r>
    </w:p>
    <w:p w:rsidR="00B6656D" w:rsidRDefault="00000000">
      <w:pPr>
        <w:widowControl/>
        <w:numPr>
          <w:ilvl w:val="0"/>
          <w:numId w:val="24"/>
        </w:numPr>
        <w:spacing w:line="276" w:lineRule="auto"/>
        <w:ind w:right="481"/>
        <w:jc w:val="both"/>
        <w:textAlignment w:val="auto"/>
        <w:rPr>
          <w:rFonts w:ascii="Work Sans" w:hAnsi="Work Sans" w:cs="Arial"/>
          <w:bCs/>
          <w:i/>
          <w:kern w:val="0"/>
          <w:sz w:val="18"/>
          <w:szCs w:val="18"/>
          <w:lang w:val="es-CO" w:eastAsia="es-ES" w:bidi="ar-SA"/>
        </w:rPr>
      </w:pPr>
      <w:r>
        <w:rPr>
          <w:rFonts w:ascii="Work Sans" w:hAnsi="Work Sans" w:cs="Arial"/>
          <w:bCs/>
          <w:i/>
          <w:kern w:val="0"/>
          <w:sz w:val="18"/>
          <w:szCs w:val="18"/>
          <w:lang w:val="es-CO" w:eastAsia="es-ES" w:bidi="ar-SA"/>
        </w:rPr>
        <w:t>La Agencia Nacional de Infraestructura deberá proponer con suficiente antelación al Ministerio de Transporte una modificación y/o redistribución de los pasos y/o un incremento del valor de las tarifas y demás condiciones previstas en la presente Resolución, cuando advierta amenaza de insuficiencia de alguno de los mecanismos de compensación contemplados en el Contrato de Concesión IP No 016 de 2015 que pueda impactar el equilibrio financiero del mismo, en tal evento, la Agencia Nacional de Infraestructura solicitará de manera oportuna e inmediata por escrito al Ministerio de Transporte la modificación correspondiente. </w:t>
      </w:r>
    </w:p>
    <w:p w:rsidR="00B6656D" w:rsidRDefault="00B6656D">
      <w:pPr>
        <w:widowControl/>
        <w:spacing w:line="276" w:lineRule="auto"/>
        <w:ind w:left="1068" w:right="481"/>
        <w:jc w:val="both"/>
        <w:textAlignment w:val="auto"/>
        <w:rPr>
          <w:rFonts w:ascii="Work Sans" w:hAnsi="Work Sans" w:cs="Arial"/>
          <w:bCs/>
          <w:i/>
          <w:kern w:val="0"/>
          <w:sz w:val="18"/>
          <w:szCs w:val="18"/>
          <w:lang w:val="es-CO" w:eastAsia="es-ES" w:bidi="ar-SA"/>
        </w:rPr>
      </w:pPr>
    </w:p>
    <w:p w:rsidR="00B6656D" w:rsidRDefault="00000000">
      <w:pPr>
        <w:widowControl/>
        <w:numPr>
          <w:ilvl w:val="0"/>
          <w:numId w:val="24"/>
        </w:numPr>
        <w:spacing w:line="276" w:lineRule="auto"/>
        <w:ind w:right="481"/>
        <w:jc w:val="both"/>
        <w:textAlignment w:val="auto"/>
        <w:rPr>
          <w:rFonts w:ascii="Work Sans" w:hAnsi="Work Sans" w:cs="Arial"/>
          <w:bCs/>
          <w:i/>
          <w:kern w:val="0"/>
          <w:sz w:val="18"/>
          <w:szCs w:val="18"/>
          <w:lang w:val="es-CO" w:eastAsia="es-ES" w:bidi="ar-SA"/>
        </w:rPr>
      </w:pPr>
      <w:r>
        <w:rPr>
          <w:rFonts w:ascii="Work Sans" w:hAnsi="Work Sans" w:cs="Arial"/>
          <w:bCs/>
          <w:i/>
          <w:kern w:val="0"/>
          <w:sz w:val="18"/>
          <w:szCs w:val="18"/>
          <w:lang w:val="es-CO" w:eastAsia="es-ES" w:bidi="ar-SA"/>
        </w:rPr>
        <w:lastRenderedPageBreak/>
        <w:t>Las demás disposiciones no modificadas contenidas en la Resolución No.000410 26 del 26 de febrero de 2020 continúan vigentes”. </w:t>
      </w:r>
    </w:p>
    <w:p w:rsidR="00B6656D" w:rsidRDefault="00000000">
      <w:pPr>
        <w:widowControl/>
        <w:spacing w:line="276" w:lineRule="auto"/>
        <w:ind w:right="481"/>
        <w:jc w:val="both"/>
        <w:textAlignment w:val="auto"/>
      </w:pPr>
      <w:r>
        <w:rPr>
          <w:rFonts w:ascii="Work Sans" w:hAnsi="Work Sans" w:cs="Arial"/>
          <w:bCs/>
          <w:i/>
          <w:kern w:val="0"/>
          <w:sz w:val="18"/>
          <w:szCs w:val="18"/>
          <w:lang w:val="es-CO" w:eastAsia="es-ES" w:bidi="ar-SA"/>
        </w:rPr>
        <w:t> </w:t>
      </w:r>
    </w:p>
    <w:p w:rsidR="00B6656D" w:rsidRDefault="00000000">
      <w:pPr>
        <w:autoSpaceDE w:val="0"/>
        <w:ind w:right="123"/>
        <w:jc w:val="both"/>
        <w:textAlignment w:val="auto"/>
      </w:pPr>
      <w:r>
        <w:rPr>
          <w:rFonts w:ascii="Work Sans" w:eastAsia="Caladea" w:hAnsi="Work Sans" w:cs="Caladea"/>
          <w:kern w:val="0"/>
          <w:sz w:val="20"/>
          <w:szCs w:val="20"/>
          <w:lang w:eastAsia="en-US" w:bidi="ar-SA"/>
        </w:rPr>
        <w:t xml:space="preserve">Que mediante memorando con número de radicado 20221410145703 de diciembre 28 de 2022, la Oficina de Regulación Económica del Ministerio de Transporte en cumplimiento de lo establecido en el numeral 9.8. del artículo 9 del Decreto 087 de 2011 analizó y viabilizó la </w:t>
      </w:r>
      <w:r>
        <w:rPr>
          <w:rFonts w:ascii="Work Sans" w:eastAsia="Caladea" w:hAnsi="Work Sans" w:cs="Caladea"/>
          <w:iCs/>
          <w:kern w:val="0"/>
          <w:sz w:val="20"/>
          <w:szCs w:val="20"/>
          <w:lang w:eastAsia="en-US" w:bidi="ar-SA"/>
        </w:rPr>
        <w:t xml:space="preserve">modificación de </w:t>
      </w:r>
      <w:r>
        <w:rPr>
          <w:rFonts w:ascii="Work Sans" w:eastAsia="Caladea" w:hAnsi="Work Sans" w:cs="Caladea"/>
          <w:iCs/>
          <w:kern w:val="0"/>
          <w:sz w:val="20"/>
          <w:szCs w:val="20"/>
          <w:lang w:val="es-CO" w:eastAsia="en-US" w:bidi="ar-SA"/>
        </w:rPr>
        <w:t xml:space="preserve">la Resolución No.000410 del 26 de febrero de 2020, </w:t>
      </w:r>
      <w:r>
        <w:rPr>
          <w:rFonts w:ascii="Work Sans" w:eastAsia="Caladea" w:hAnsi="Work Sans" w:cs="Caladea"/>
          <w:i/>
          <w:iCs/>
          <w:kern w:val="0"/>
          <w:sz w:val="20"/>
          <w:szCs w:val="20"/>
          <w:lang w:val="es-CO" w:eastAsia="en-US" w:bidi="ar-SA"/>
        </w:rPr>
        <w:t>“Por la cual se establecen unas tarifas diferenciales en las estaciones de peaje los Manguitos, Purgatorio, Cedro y Mata de Caña, del proyecto de asociación público – privada de iniciativa privada para la conexión</w:t>
      </w:r>
      <w:r>
        <w:rPr>
          <w:rFonts w:ascii="Work Sans" w:eastAsia="Caladea" w:hAnsi="Work Sans" w:cs="Caladea"/>
          <w:i/>
          <w:iCs/>
          <w:kern w:val="0"/>
          <w:sz w:val="20"/>
          <w:szCs w:val="20"/>
          <w:lang w:eastAsia="en-US" w:bidi="ar-SA"/>
        </w:rPr>
        <w:t>”</w:t>
      </w:r>
    </w:p>
    <w:p w:rsidR="00B6656D" w:rsidRDefault="00B6656D">
      <w:pPr>
        <w:autoSpaceDE w:val="0"/>
        <w:ind w:left="102" w:right="123"/>
        <w:jc w:val="both"/>
        <w:textAlignment w:val="auto"/>
        <w:rPr>
          <w:rFonts w:ascii="Work Sans" w:eastAsia="Caladea" w:hAnsi="Work Sans" w:cs="Caladea"/>
          <w:i/>
          <w:kern w:val="0"/>
          <w:sz w:val="20"/>
          <w:szCs w:val="20"/>
          <w:lang w:eastAsia="en-US" w:bidi="ar-SA"/>
        </w:rPr>
      </w:pPr>
    </w:p>
    <w:p w:rsidR="00B6656D" w:rsidRDefault="00000000">
      <w:pPr>
        <w:widowControl/>
        <w:jc w:val="both"/>
        <w:textAlignment w:val="auto"/>
        <w:rPr>
          <w:rFonts w:ascii="Work Sans" w:eastAsia="Calibri" w:hAnsi="Work Sans" w:cs="Times New Roman"/>
          <w:kern w:val="0"/>
          <w:sz w:val="20"/>
          <w:szCs w:val="20"/>
          <w:lang w:val="es-CO" w:eastAsia="en-US" w:bidi="ar-SA"/>
        </w:rPr>
      </w:pPr>
      <w:bookmarkStart w:id="18" w:name="_Hlk123035230"/>
      <w:r>
        <w:rPr>
          <w:rFonts w:ascii="Work Sans" w:eastAsia="Calibri" w:hAnsi="Work Sans" w:cs="Times New Roman"/>
          <w:kern w:val="0"/>
          <w:sz w:val="20"/>
          <w:szCs w:val="20"/>
          <w:lang w:val="es-CO" w:eastAsia="en-US" w:bidi="ar-SA"/>
        </w:rPr>
        <w:t>Que el contenido de la presente resolución se publicará en la página web del Ministerio de Transporte y de la Agencia Nacional de Infraestructura, en cumplimiento de lo determinado en el numeral 8 del artículo 8° de la Ley 1437 de 2011, artículo 2.1.2.1.14 del Decreto 1081 de 2015 modificado y adicionado por el Decreto 270 de 2017 y la Resolución 994 de 2017 del Ministerio de Transporte.</w:t>
      </w:r>
    </w:p>
    <w:bookmarkEnd w:id="18"/>
    <w:p w:rsidR="00B6656D" w:rsidRDefault="00B6656D">
      <w:pPr>
        <w:widowControl/>
        <w:jc w:val="both"/>
        <w:textAlignment w:val="auto"/>
        <w:rPr>
          <w:rFonts w:ascii="Work Sans" w:hAnsi="Work Sans" w:cs="Times New Roman"/>
          <w:color w:val="000000"/>
          <w:kern w:val="0"/>
          <w:sz w:val="20"/>
          <w:szCs w:val="20"/>
          <w:lang w:val="es-CO" w:eastAsia="es-CO" w:bidi="ar-SA"/>
        </w:rPr>
      </w:pPr>
    </w:p>
    <w:p w:rsidR="00B6656D" w:rsidRDefault="00000000">
      <w:pPr>
        <w:widowControl/>
        <w:autoSpaceDE w:val="0"/>
        <w:jc w:val="both"/>
        <w:rPr>
          <w:rFonts w:ascii="Work Sans" w:eastAsia="DengXian Light" w:hAnsi="Work Sans" w:cs="Arial"/>
          <w:color w:val="000000"/>
          <w:sz w:val="20"/>
          <w:szCs w:val="20"/>
          <w:lang w:bidi="ar-SA"/>
        </w:rPr>
      </w:pPr>
      <w:r>
        <w:rPr>
          <w:rFonts w:ascii="Work Sans" w:eastAsia="DengXian Light" w:hAnsi="Work Sans" w:cs="Arial"/>
          <w:color w:val="000000"/>
          <w:sz w:val="20"/>
          <w:szCs w:val="20"/>
          <w:lang w:bidi="ar-SA"/>
        </w:rPr>
        <w:t>En tal razón, la Oficina Asesora de Jurídica del Ministerio de Transporte, conservará los documentos asociados a la publicación del presente acto administrativo. Todo ello en concordancia con las políticas de gestión documental y de archivo de la entidad.</w:t>
      </w:r>
    </w:p>
    <w:p w:rsidR="00B6656D" w:rsidRDefault="00000000">
      <w:pPr>
        <w:autoSpaceDE w:val="0"/>
        <w:spacing w:before="210"/>
        <w:ind w:right="123"/>
        <w:jc w:val="both"/>
        <w:textAlignment w:val="auto"/>
        <w:rPr>
          <w:rFonts w:ascii="Work Sans" w:eastAsia="Caladea" w:hAnsi="Work Sans" w:cs="Caladea"/>
          <w:kern w:val="0"/>
          <w:sz w:val="20"/>
          <w:szCs w:val="20"/>
          <w:lang w:eastAsia="en-US" w:bidi="ar-SA"/>
        </w:rPr>
      </w:pPr>
      <w:r>
        <w:rPr>
          <w:rFonts w:ascii="Work Sans" w:eastAsia="Caladea" w:hAnsi="Work Sans" w:cs="Caladea"/>
          <w:kern w:val="0"/>
          <w:sz w:val="20"/>
          <w:szCs w:val="20"/>
          <w:lang w:eastAsia="en-US" w:bidi="ar-SA"/>
        </w:rPr>
        <w:t>En mérito de lo expuesto,</w:t>
      </w:r>
    </w:p>
    <w:p w:rsidR="00B6656D" w:rsidRDefault="00000000">
      <w:pPr>
        <w:autoSpaceDE w:val="0"/>
        <w:spacing w:before="165"/>
        <w:ind w:right="123"/>
        <w:jc w:val="center"/>
        <w:textAlignment w:val="auto"/>
        <w:outlineLvl w:val="0"/>
        <w:rPr>
          <w:rFonts w:ascii="Work Sans" w:eastAsia="Caladea" w:hAnsi="Work Sans" w:cs="Caladea"/>
          <w:b/>
          <w:bCs/>
          <w:kern w:val="0"/>
          <w:sz w:val="20"/>
          <w:szCs w:val="20"/>
          <w:lang w:eastAsia="en-US" w:bidi="ar-SA"/>
        </w:rPr>
      </w:pPr>
      <w:r>
        <w:rPr>
          <w:rFonts w:ascii="Work Sans" w:eastAsia="Caladea" w:hAnsi="Work Sans" w:cs="Caladea"/>
          <w:b/>
          <w:bCs/>
          <w:kern w:val="0"/>
          <w:sz w:val="20"/>
          <w:szCs w:val="20"/>
          <w:lang w:eastAsia="en-US" w:bidi="ar-SA"/>
        </w:rPr>
        <w:t>RESUELVE:</w:t>
      </w:r>
    </w:p>
    <w:p w:rsidR="00B6656D" w:rsidRDefault="00B6656D">
      <w:pPr>
        <w:autoSpaceDE w:val="0"/>
        <w:ind w:right="123"/>
        <w:textAlignment w:val="auto"/>
        <w:rPr>
          <w:rFonts w:ascii="Work Sans" w:eastAsia="Caladea" w:hAnsi="Work Sans" w:cs="Caladea"/>
          <w:b/>
          <w:kern w:val="0"/>
          <w:sz w:val="20"/>
          <w:szCs w:val="20"/>
          <w:lang w:eastAsia="en-US" w:bidi="ar-SA"/>
        </w:rPr>
      </w:pPr>
    </w:p>
    <w:p w:rsidR="00B6656D" w:rsidRDefault="00000000">
      <w:pPr>
        <w:autoSpaceDE w:val="0"/>
        <w:ind w:right="123"/>
        <w:jc w:val="both"/>
        <w:textAlignment w:val="auto"/>
      </w:pPr>
      <w:r>
        <w:rPr>
          <w:rFonts w:ascii="Work Sans" w:eastAsia="Caladea" w:hAnsi="Work Sans" w:cs="Caladea"/>
          <w:b/>
          <w:bCs/>
          <w:kern w:val="0"/>
          <w:sz w:val="20"/>
          <w:szCs w:val="20"/>
          <w:lang w:eastAsia="en-US" w:bidi="ar-SA"/>
        </w:rPr>
        <w:t xml:space="preserve">ARTÍCULO 1.- </w:t>
      </w:r>
      <w:r>
        <w:rPr>
          <w:rFonts w:ascii="Work Sans" w:eastAsia="Caladea" w:hAnsi="Work Sans" w:cs="Caladea"/>
          <w:kern w:val="0"/>
          <w:sz w:val="20"/>
          <w:szCs w:val="20"/>
          <w:lang w:eastAsia="en-US" w:bidi="ar-SA"/>
        </w:rPr>
        <w:t xml:space="preserve">Modificar el artículo 4° de la Resolución No.000410 de febrero 27 de 2020, el cual quedará así: </w:t>
      </w:r>
    </w:p>
    <w:p w:rsidR="00B6656D" w:rsidRDefault="00B6656D">
      <w:pPr>
        <w:autoSpaceDE w:val="0"/>
        <w:ind w:right="123"/>
        <w:jc w:val="both"/>
        <w:textAlignment w:val="auto"/>
        <w:rPr>
          <w:rFonts w:ascii="Work Sans" w:eastAsia="Caladea" w:hAnsi="Work Sans" w:cs="Caladea"/>
          <w:kern w:val="0"/>
          <w:sz w:val="20"/>
          <w:szCs w:val="20"/>
          <w:lang w:eastAsia="en-US" w:bidi="ar-SA"/>
        </w:rPr>
      </w:pPr>
    </w:p>
    <w:p w:rsidR="00B6656D" w:rsidRDefault="00000000">
      <w:pPr>
        <w:autoSpaceDE w:val="0"/>
        <w:ind w:left="708" w:right="406"/>
        <w:jc w:val="both"/>
        <w:textAlignment w:val="auto"/>
      </w:pPr>
      <w:r>
        <w:rPr>
          <w:rFonts w:ascii="Work Sans" w:eastAsia="Caladea" w:hAnsi="Work Sans" w:cs="Arial"/>
          <w:b/>
          <w:bCs/>
          <w:iCs/>
          <w:spacing w:val="-3"/>
          <w:kern w:val="0"/>
          <w:sz w:val="20"/>
          <w:szCs w:val="20"/>
          <w:lang w:eastAsia="en-US" w:bidi="ar-SA"/>
        </w:rPr>
        <w:t xml:space="preserve">“ARTÍCULO </w:t>
      </w:r>
      <w:r>
        <w:rPr>
          <w:rFonts w:ascii="Work Sans" w:hAnsi="Work Sans" w:cs="Arial"/>
          <w:b/>
          <w:bCs/>
          <w:iCs/>
          <w:spacing w:val="-3"/>
          <w:kern w:val="0"/>
          <w:sz w:val="20"/>
          <w:szCs w:val="20"/>
          <w:lang w:val="es-CO" w:eastAsia="en-US" w:bidi="ar-SA"/>
        </w:rPr>
        <w:t xml:space="preserve"> 4</w:t>
      </w:r>
      <w:r>
        <w:rPr>
          <w:rFonts w:ascii="Work Sans" w:hAnsi="Work Sans" w:cs="Arial"/>
          <w:iCs/>
          <w:spacing w:val="-3"/>
          <w:kern w:val="0"/>
          <w:sz w:val="20"/>
          <w:szCs w:val="20"/>
          <w:lang w:val="es-CO" w:eastAsia="en-US" w:bidi="ar-SA"/>
        </w:rPr>
        <w:t>.- Establecer la siguiente tarifa diferencial en la categoría 1 de la estación de peaje Purgatorio, para los vehículos particulares de los habitantes del K12 (Las Pulgas, Loma Grande, Las Chispas I, Las Chispas II (La Gloria), Pueblo Verde, Palmitas, Los corrales), del K15 (El. Porvenir, Casa Blanca, Guateque, San Anterito, Hoyo Oscuro, Mochila, Santa Fé, Santa Isabel, San Isidro, La Victoria, Nueva Lucía, Buenos Aires, Patio Bonito) y de Carrizal:</w:t>
      </w:r>
    </w:p>
    <w:p w:rsidR="00B6656D" w:rsidRDefault="00B6656D">
      <w:pPr>
        <w:autoSpaceDE w:val="0"/>
        <w:ind w:left="708" w:right="406"/>
        <w:jc w:val="both"/>
        <w:textAlignment w:val="auto"/>
        <w:rPr>
          <w:rFonts w:ascii="Work Sans" w:eastAsia="Caladea" w:hAnsi="Work Sans" w:cs="Arial"/>
          <w:iCs/>
          <w:spacing w:val="-3"/>
          <w:kern w:val="0"/>
          <w:sz w:val="18"/>
          <w:szCs w:val="18"/>
          <w:lang w:eastAsia="en-US" w:bidi="ar-SA"/>
        </w:rPr>
      </w:pPr>
    </w:p>
    <w:tbl>
      <w:tblPr>
        <w:tblW w:w="7897" w:type="dxa"/>
        <w:jc w:val="center"/>
        <w:tblLayout w:type="fixed"/>
        <w:tblCellMar>
          <w:left w:w="10" w:type="dxa"/>
          <w:right w:w="10" w:type="dxa"/>
        </w:tblCellMar>
        <w:tblLook w:val="04A0" w:firstRow="1" w:lastRow="0" w:firstColumn="1" w:lastColumn="0" w:noHBand="0" w:noVBand="1"/>
      </w:tblPr>
      <w:tblGrid>
        <w:gridCol w:w="1762"/>
        <w:gridCol w:w="2633"/>
        <w:gridCol w:w="1718"/>
        <w:gridCol w:w="1784"/>
      </w:tblGrid>
      <w:tr w:rsidR="00B6656D">
        <w:tblPrEx>
          <w:tblCellMar>
            <w:top w:w="0" w:type="dxa"/>
            <w:bottom w:w="0" w:type="dxa"/>
          </w:tblCellMar>
        </w:tblPrEx>
        <w:trPr>
          <w:trHeight w:val="250"/>
          <w:jc w:val="center"/>
        </w:trPr>
        <w:tc>
          <w:tcPr>
            <w:tcW w:w="78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ind w:right="406"/>
              <w:jc w:val="center"/>
              <w:textAlignment w:val="auto"/>
              <w:rPr>
                <w:rFonts w:ascii="Work Sans" w:eastAsia="Caladea" w:hAnsi="Work Sans" w:cs="Arial"/>
                <w:b/>
                <w:spacing w:val="-3"/>
                <w:kern w:val="0"/>
                <w:sz w:val="18"/>
                <w:szCs w:val="18"/>
                <w:lang w:val="es-CO" w:eastAsia="es-ES" w:bidi="ar-SA"/>
              </w:rPr>
            </w:pPr>
            <w:r>
              <w:rPr>
                <w:rFonts w:ascii="Work Sans" w:eastAsia="Caladea" w:hAnsi="Work Sans" w:cs="Arial"/>
                <w:b/>
                <w:spacing w:val="-3"/>
                <w:kern w:val="0"/>
                <w:sz w:val="18"/>
                <w:szCs w:val="18"/>
                <w:lang w:val="es-CO" w:eastAsia="es-ES" w:bidi="ar-SA"/>
              </w:rPr>
              <w:t>ESTACIÓN DE PEAJE PURGATORIO</w:t>
            </w:r>
          </w:p>
        </w:tc>
      </w:tr>
      <w:tr w:rsidR="00B6656D">
        <w:tblPrEx>
          <w:tblCellMar>
            <w:top w:w="0" w:type="dxa"/>
            <w:bottom w:w="0" w:type="dxa"/>
          </w:tblCellMar>
        </w:tblPrEx>
        <w:trPr>
          <w:trHeight w:val="738"/>
          <w:jc w:val="center"/>
        </w:trPr>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eastAsia="Caladea" w:hAnsi="Work Sans" w:cs="Arial"/>
                <w:b/>
                <w:spacing w:val="-3"/>
                <w:kern w:val="0"/>
                <w:sz w:val="18"/>
                <w:szCs w:val="18"/>
                <w:lang w:val="es-CO" w:eastAsia="es-ES" w:bidi="ar-SA"/>
              </w:rPr>
            </w:pPr>
            <w:r>
              <w:rPr>
                <w:rFonts w:ascii="Work Sans" w:eastAsia="Caladea" w:hAnsi="Work Sans" w:cs="Arial"/>
                <w:b/>
                <w:spacing w:val="-3"/>
                <w:kern w:val="0"/>
                <w:sz w:val="18"/>
                <w:szCs w:val="18"/>
                <w:lang w:val="es-CO" w:eastAsia="es-ES" w:bidi="ar-SA"/>
              </w:rPr>
              <w:t>CATEGORÍAS</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b/>
                <w:spacing w:val="-3"/>
                <w:kern w:val="0"/>
                <w:sz w:val="18"/>
                <w:szCs w:val="18"/>
                <w:lang w:val="es-CO" w:eastAsia="es-ES" w:bidi="ar-SA"/>
              </w:rPr>
            </w:pPr>
            <w:r>
              <w:rPr>
                <w:rFonts w:ascii="Work Sans" w:hAnsi="Work Sans" w:cs="Arial"/>
                <w:b/>
                <w:spacing w:val="-3"/>
                <w:kern w:val="0"/>
                <w:sz w:val="18"/>
                <w:szCs w:val="18"/>
                <w:lang w:val="es-CO" w:eastAsia="es-ES" w:bidi="ar-SA"/>
              </w:rPr>
              <w:t>DESCRIPCIÓN</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b/>
                <w:spacing w:val="-3"/>
                <w:kern w:val="0"/>
                <w:sz w:val="18"/>
                <w:szCs w:val="18"/>
                <w:lang w:val="es-CO" w:eastAsia="es-ES" w:bidi="ar-SA"/>
              </w:rPr>
            </w:pPr>
            <w:r>
              <w:rPr>
                <w:rFonts w:ascii="Work Sans" w:hAnsi="Work Sans" w:cs="Arial"/>
                <w:b/>
                <w:spacing w:val="-3"/>
                <w:kern w:val="0"/>
                <w:sz w:val="18"/>
                <w:szCs w:val="18"/>
                <w:lang w:val="es-CO" w:eastAsia="es-ES" w:bidi="ar-SA"/>
              </w:rPr>
              <w:t>TARIFAS 2019 (Incluye FOSEVI)</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b/>
                <w:spacing w:val="-3"/>
                <w:kern w:val="0"/>
                <w:sz w:val="18"/>
                <w:szCs w:val="18"/>
                <w:lang w:val="es-CO" w:eastAsia="es-ES" w:bidi="ar-SA"/>
              </w:rPr>
            </w:pPr>
            <w:r>
              <w:rPr>
                <w:rFonts w:ascii="Work Sans" w:hAnsi="Work Sans" w:cs="Arial"/>
                <w:b/>
                <w:spacing w:val="-3"/>
                <w:kern w:val="0"/>
                <w:sz w:val="18"/>
                <w:szCs w:val="18"/>
                <w:lang w:val="es-CO" w:eastAsia="es-ES" w:bidi="ar-SA"/>
              </w:rPr>
              <w:t>TOTAL CUPOS OTORGADOS</w:t>
            </w:r>
          </w:p>
        </w:tc>
      </w:tr>
      <w:tr w:rsidR="00B6656D">
        <w:tblPrEx>
          <w:tblCellMar>
            <w:top w:w="0" w:type="dxa"/>
            <w:bottom w:w="0" w:type="dxa"/>
          </w:tblCellMar>
        </w:tblPrEx>
        <w:trPr>
          <w:trHeight w:val="301"/>
          <w:jc w:val="center"/>
        </w:trPr>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spacing w:val="-3"/>
                <w:kern w:val="0"/>
                <w:sz w:val="18"/>
                <w:szCs w:val="18"/>
                <w:lang w:val="es-CO" w:eastAsia="es-ES" w:bidi="ar-SA"/>
              </w:rPr>
            </w:pPr>
            <w:r>
              <w:rPr>
                <w:rFonts w:ascii="Work Sans" w:hAnsi="Work Sans" w:cs="Arial"/>
                <w:spacing w:val="-3"/>
                <w:kern w:val="0"/>
                <w:sz w:val="18"/>
                <w:szCs w:val="18"/>
                <w:lang w:val="es-CO" w:eastAsia="es-ES" w:bidi="ar-SA"/>
              </w:rPr>
              <w:t>Categoría 1E</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spacing w:val="-3"/>
                <w:kern w:val="0"/>
                <w:sz w:val="18"/>
                <w:szCs w:val="18"/>
                <w:lang w:val="es-CO" w:eastAsia="es-ES" w:bidi="ar-SA"/>
              </w:rPr>
            </w:pPr>
            <w:r>
              <w:rPr>
                <w:rFonts w:ascii="Work Sans" w:hAnsi="Work Sans" w:cs="Arial"/>
                <w:spacing w:val="-3"/>
                <w:kern w:val="0"/>
                <w:sz w:val="18"/>
                <w:szCs w:val="18"/>
                <w:lang w:val="es-CO" w:eastAsia="es-ES" w:bidi="ar-SA"/>
              </w:rPr>
              <w:t>Automóviles, camperos, camionetas, microbuses con ejes de llanta sencilla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spacing w:val="-3"/>
                <w:kern w:val="0"/>
                <w:sz w:val="18"/>
                <w:szCs w:val="18"/>
                <w:lang w:val="es-CO" w:eastAsia="es-ES" w:bidi="ar-SA"/>
              </w:rPr>
            </w:pPr>
            <w:r>
              <w:rPr>
                <w:rFonts w:ascii="Work Sans" w:hAnsi="Work Sans" w:cs="Arial"/>
                <w:spacing w:val="-3"/>
                <w:kern w:val="0"/>
                <w:sz w:val="18"/>
                <w:szCs w:val="18"/>
                <w:lang w:val="es-CO" w:eastAsia="es-ES" w:bidi="ar-SA"/>
              </w:rPr>
              <w:t>$200</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widowControl/>
              <w:jc w:val="center"/>
              <w:textAlignment w:val="auto"/>
              <w:rPr>
                <w:rFonts w:ascii="Work Sans" w:hAnsi="Work Sans" w:cs="Arial"/>
                <w:spacing w:val="-3"/>
                <w:kern w:val="0"/>
                <w:sz w:val="18"/>
                <w:szCs w:val="18"/>
                <w:lang w:val="es-CO" w:eastAsia="es-ES" w:bidi="ar-SA"/>
              </w:rPr>
            </w:pPr>
            <w:r>
              <w:rPr>
                <w:rFonts w:ascii="Work Sans" w:hAnsi="Work Sans" w:cs="Arial"/>
                <w:spacing w:val="-3"/>
                <w:kern w:val="0"/>
                <w:sz w:val="18"/>
                <w:szCs w:val="18"/>
                <w:lang w:val="es-CO" w:eastAsia="es-ES" w:bidi="ar-SA"/>
              </w:rPr>
              <w:t>300</w:t>
            </w:r>
          </w:p>
        </w:tc>
      </w:tr>
    </w:tbl>
    <w:p w:rsidR="00B6656D" w:rsidRDefault="00B6656D">
      <w:pPr>
        <w:autoSpaceDE w:val="0"/>
        <w:ind w:left="708" w:right="406"/>
        <w:jc w:val="both"/>
        <w:textAlignment w:val="auto"/>
        <w:rPr>
          <w:rFonts w:ascii="Work Sans" w:eastAsia="Caladea" w:hAnsi="Work Sans" w:cs="Arial"/>
          <w:iCs/>
          <w:spacing w:val="-3"/>
          <w:kern w:val="0"/>
          <w:sz w:val="20"/>
          <w:szCs w:val="20"/>
          <w:lang w:eastAsia="en-US" w:bidi="ar-SA"/>
        </w:rPr>
      </w:pPr>
    </w:p>
    <w:p w:rsidR="00B6656D" w:rsidRDefault="00000000">
      <w:pPr>
        <w:autoSpaceDE w:val="0"/>
        <w:ind w:left="708" w:right="406"/>
        <w:jc w:val="both"/>
        <w:textAlignment w:val="auto"/>
      </w:pPr>
      <w:r>
        <w:rPr>
          <w:rFonts w:ascii="Work Sans" w:eastAsia="Caladea" w:hAnsi="Work Sans" w:cs="Arial"/>
          <w:b/>
          <w:bCs/>
          <w:iCs/>
          <w:spacing w:val="-3"/>
          <w:kern w:val="0"/>
          <w:sz w:val="20"/>
          <w:szCs w:val="20"/>
          <w:lang w:eastAsia="en-US" w:bidi="ar-SA"/>
        </w:rPr>
        <w:t xml:space="preserve">PARÁGRAFO: </w:t>
      </w:r>
      <w:r>
        <w:rPr>
          <w:rFonts w:ascii="Work Sans" w:eastAsia="Caladea" w:hAnsi="Work Sans" w:cs="Arial"/>
          <w:iCs/>
          <w:spacing w:val="-3"/>
          <w:kern w:val="0"/>
          <w:sz w:val="20"/>
          <w:szCs w:val="20"/>
          <w:lang w:eastAsia="en-US" w:bidi="ar-SA"/>
        </w:rPr>
        <w:t xml:space="preserve">Para mantener el beneficio de la tarifa especial en cualquiera de las categorías de las Estación de Peaje Purgatorio, el vehículo deberá transitar por la respectiva estación de peaje, con una frecuencia mínima de veinte (20) pasos al mes”. </w:t>
      </w:r>
    </w:p>
    <w:p w:rsidR="00B6656D" w:rsidRDefault="00B6656D">
      <w:pPr>
        <w:autoSpaceDE w:val="0"/>
        <w:ind w:right="123"/>
        <w:jc w:val="both"/>
        <w:textAlignment w:val="auto"/>
        <w:rPr>
          <w:rFonts w:ascii="Work Sans" w:eastAsia="Caladea" w:hAnsi="Work Sans" w:cs="Caladea"/>
          <w:kern w:val="0"/>
          <w:sz w:val="20"/>
          <w:szCs w:val="20"/>
          <w:lang w:eastAsia="en-US" w:bidi="ar-SA"/>
        </w:rPr>
      </w:pPr>
    </w:p>
    <w:p w:rsidR="00B6656D" w:rsidRDefault="00000000">
      <w:pPr>
        <w:autoSpaceDE w:val="0"/>
        <w:ind w:right="123"/>
        <w:jc w:val="both"/>
        <w:textAlignment w:val="auto"/>
      </w:pPr>
      <w:r>
        <w:rPr>
          <w:rFonts w:ascii="Work Sans" w:eastAsia="Caladea" w:hAnsi="Work Sans" w:cs="Caladea"/>
          <w:b/>
          <w:bCs/>
          <w:kern w:val="0"/>
          <w:sz w:val="20"/>
          <w:szCs w:val="20"/>
          <w:lang w:eastAsia="en-US" w:bidi="ar-SA"/>
        </w:rPr>
        <w:t>ARTÍCULO 2.</w:t>
      </w:r>
      <w:bookmarkStart w:id="19" w:name="_Hlk108453494"/>
      <w:r>
        <w:rPr>
          <w:rFonts w:ascii="Work Sans" w:eastAsia="Caladea" w:hAnsi="Work Sans" w:cs="Caladea"/>
          <w:b/>
          <w:bCs/>
          <w:kern w:val="0"/>
          <w:sz w:val="20"/>
          <w:szCs w:val="20"/>
          <w:lang w:eastAsia="en-US" w:bidi="ar-SA"/>
        </w:rPr>
        <w:t>-</w:t>
      </w:r>
      <w:r>
        <w:rPr>
          <w:rFonts w:ascii="Work Sans" w:eastAsia="Caladea" w:hAnsi="Work Sans" w:cs="Caladea"/>
          <w:kern w:val="0"/>
          <w:sz w:val="20"/>
          <w:szCs w:val="20"/>
          <w:lang w:eastAsia="en-US" w:bidi="ar-SA"/>
        </w:rPr>
        <w:t xml:space="preserve"> Modificar el artículo 7° de la Resolución No.000410 de 2020, el cual </w:t>
      </w:r>
      <w:r>
        <w:rPr>
          <w:rFonts w:ascii="Work Sans" w:eastAsia="Caladea" w:hAnsi="Work Sans" w:cs="Caladea"/>
          <w:kern w:val="0"/>
          <w:sz w:val="20"/>
          <w:szCs w:val="20"/>
          <w:lang w:eastAsia="en-US" w:bidi="ar-SA"/>
        </w:rPr>
        <w:lastRenderedPageBreak/>
        <w:t xml:space="preserve">quedará así: </w:t>
      </w:r>
      <w:bookmarkEnd w:id="19"/>
    </w:p>
    <w:p w:rsidR="00B6656D" w:rsidRDefault="00B6656D">
      <w:pPr>
        <w:autoSpaceDE w:val="0"/>
        <w:ind w:right="123"/>
        <w:jc w:val="both"/>
        <w:textAlignment w:val="auto"/>
        <w:rPr>
          <w:rFonts w:ascii="Work Sans" w:eastAsia="Caladea" w:hAnsi="Work Sans" w:cs="Caladea"/>
          <w:kern w:val="0"/>
          <w:sz w:val="20"/>
          <w:szCs w:val="20"/>
          <w:lang w:eastAsia="en-US" w:bidi="ar-SA"/>
        </w:rPr>
      </w:pPr>
    </w:p>
    <w:p w:rsidR="00B6656D" w:rsidRDefault="00000000">
      <w:pPr>
        <w:autoSpaceDE w:val="0"/>
        <w:ind w:left="567" w:right="623"/>
        <w:jc w:val="both"/>
        <w:textAlignment w:val="auto"/>
      </w:pPr>
      <w:r>
        <w:rPr>
          <w:rFonts w:ascii="Work Sans" w:eastAsia="Caladea" w:hAnsi="Work Sans" w:cs="Caladea"/>
          <w:kern w:val="0"/>
          <w:sz w:val="20"/>
          <w:szCs w:val="20"/>
          <w:lang w:eastAsia="en-US" w:bidi="ar-SA"/>
        </w:rPr>
        <w:t>“</w:t>
      </w:r>
      <w:r>
        <w:rPr>
          <w:rFonts w:ascii="Work Sans" w:eastAsia="Caladea" w:hAnsi="Work Sans" w:cs="Arial"/>
          <w:b/>
          <w:bCs/>
          <w:iCs/>
          <w:spacing w:val="-3"/>
          <w:kern w:val="0"/>
          <w:sz w:val="20"/>
          <w:szCs w:val="20"/>
          <w:lang w:eastAsia="en-US" w:bidi="ar-SA"/>
        </w:rPr>
        <w:t xml:space="preserve">ARTÍCULO 7.- </w:t>
      </w:r>
      <w:r>
        <w:rPr>
          <w:rFonts w:ascii="Work Sans" w:eastAsia="Caladea" w:hAnsi="Work Sans" w:cs="Arial"/>
          <w:iCs/>
          <w:spacing w:val="-3"/>
          <w:kern w:val="0"/>
          <w:sz w:val="20"/>
          <w:szCs w:val="20"/>
          <w:lang w:eastAsia="en-US" w:bidi="ar-SA"/>
        </w:rPr>
        <w:t xml:space="preserve">Las tarifas diferenciales establecidas en la presente resolución para el servicio público de transporte, tendrán una vigencia hasta el treinta y uno (31) de diciembre de 2026, según la suficiencia de los mecanismos de compensación del contrato de concesión”. </w:t>
      </w:r>
    </w:p>
    <w:p w:rsidR="00B6656D" w:rsidRDefault="00B6656D">
      <w:pPr>
        <w:autoSpaceDE w:val="0"/>
        <w:ind w:left="567" w:right="623"/>
        <w:textAlignment w:val="auto"/>
        <w:rPr>
          <w:rFonts w:ascii="Work Sans" w:eastAsia="Caladea" w:hAnsi="Work Sans" w:cs="Caladea"/>
          <w:kern w:val="0"/>
          <w:sz w:val="20"/>
          <w:szCs w:val="20"/>
          <w:lang w:eastAsia="en-US" w:bidi="ar-SA"/>
        </w:rPr>
      </w:pPr>
    </w:p>
    <w:p w:rsidR="00B6656D" w:rsidRDefault="00000000">
      <w:pPr>
        <w:autoSpaceDE w:val="0"/>
        <w:ind w:right="123"/>
        <w:jc w:val="both"/>
        <w:textAlignment w:val="auto"/>
      </w:pPr>
      <w:r>
        <w:rPr>
          <w:rFonts w:ascii="Work Sans" w:eastAsia="Caladea" w:hAnsi="Work Sans" w:cs="Caladea"/>
          <w:b/>
          <w:bCs/>
          <w:kern w:val="0"/>
          <w:sz w:val="20"/>
          <w:szCs w:val="20"/>
          <w:lang w:eastAsia="en-US" w:bidi="ar-SA"/>
        </w:rPr>
        <w:t>ARTÍCULO 3</w:t>
      </w:r>
      <w:r>
        <w:rPr>
          <w:rFonts w:ascii="Work Sans" w:eastAsia="Caladea" w:hAnsi="Work Sans" w:cs="Caladea"/>
          <w:kern w:val="0"/>
          <w:sz w:val="20"/>
          <w:szCs w:val="20"/>
          <w:lang w:eastAsia="en-US" w:bidi="ar-SA"/>
        </w:rPr>
        <w:t>.- Las demás disposiciones contenidas en la Resolución No. 000410 de febrero 27 de 2020, continúan vigentes.</w:t>
      </w:r>
    </w:p>
    <w:p w:rsidR="00B6656D" w:rsidRDefault="00B6656D">
      <w:pPr>
        <w:autoSpaceDE w:val="0"/>
        <w:ind w:right="123"/>
        <w:jc w:val="both"/>
        <w:textAlignment w:val="auto"/>
        <w:rPr>
          <w:rFonts w:ascii="Work Sans" w:eastAsia="Caladea" w:hAnsi="Work Sans" w:cs="Caladea"/>
          <w:kern w:val="0"/>
          <w:sz w:val="20"/>
          <w:szCs w:val="20"/>
          <w:lang w:eastAsia="en-US" w:bidi="ar-SA"/>
        </w:rPr>
      </w:pPr>
    </w:p>
    <w:p w:rsidR="00B6656D" w:rsidRDefault="00000000">
      <w:pPr>
        <w:autoSpaceDE w:val="0"/>
        <w:ind w:right="123"/>
        <w:jc w:val="both"/>
        <w:textAlignment w:val="auto"/>
      </w:pPr>
      <w:r>
        <w:rPr>
          <w:rFonts w:ascii="Work Sans" w:eastAsia="Caladea" w:hAnsi="Work Sans" w:cs="Caladea"/>
          <w:b/>
          <w:bCs/>
          <w:kern w:val="0"/>
          <w:sz w:val="20"/>
          <w:szCs w:val="20"/>
          <w:lang w:eastAsia="en-US" w:bidi="ar-SA"/>
        </w:rPr>
        <w:t>ARTÍCULO 4</w:t>
      </w:r>
      <w:r>
        <w:rPr>
          <w:rFonts w:ascii="Work Sans" w:eastAsia="Caladea" w:hAnsi="Work Sans" w:cs="Caladea"/>
          <w:kern w:val="0"/>
          <w:sz w:val="20"/>
          <w:szCs w:val="20"/>
          <w:lang w:eastAsia="en-US" w:bidi="ar-SA"/>
        </w:rPr>
        <w:t>.- La presente resolución rige a partir de su publicación en el Diario Oficial.</w:t>
      </w:r>
    </w:p>
    <w:p w:rsidR="00B6656D" w:rsidRDefault="00B6656D">
      <w:pPr>
        <w:autoSpaceDE w:val="0"/>
        <w:ind w:right="123"/>
        <w:jc w:val="both"/>
        <w:textAlignment w:val="auto"/>
        <w:rPr>
          <w:rFonts w:ascii="Work Sans" w:eastAsia="Caladea" w:hAnsi="Work Sans" w:cs="Caladea"/>
          <w:kern w:val="0"/>
          <w:sz w:val="20"/>
          <w:szCs w:val="20"/>
          <w:lang w:eastAsia="en-US" w:bidi="ar-SA"/>
        </w:rPr>
      </w:pPr>
    </w:p>
    <w:p w:rsidR="00B6656D" w:rsidRDefault="00B6656D">
      <w:pPr>
        <w:autoSpaceDE w:val="0"/>
        <w:ind w:right="123"/>
        <w:textAlignment w:val="auto"/>
        <w:rPr>
          <w:rFonts w:ascii="Work Sans" w:eastAsia="Caladea" w:hAnsi="Work Sans" w:cs="Caladea"/>
          <w:kern w:val="0"/>
          <w:sz w:val="20"/>
          <w:szCs w:val="20"/>
          <w:lang w:eastAsia="en-US" w:bidi="ar-SA"/>
        </w:rPr>
      </w:pPr>
    </w:p>
    <w:p w:rsidR="00B6656D" w:rsidRDefault="00000000">
      <w:pPr>
        <w:autoSpaceDE w:val="0"/>
        <w:ind w:right="123"/>
        <w:jc w:val="center"/>
        <w:textAlignment w:val="auto"/>
        <w:outlineLvl w:val="0"/>
        <w:rPr>
          <w:rFonts w:ascii="Work Sans" w:eastAsia="Caladea" w:hAnsi="Work Sans" w:cs="Caladea"/>
          <w:b/>
          <w:bCs/>
          <w:kern w:val="0"/>
          <w:sz w:val="20"/>
          <w:szCs w:val="20"/>
          <w:lang w:eastAsia="en-US" w:bidi="ar-SA"/>
        </w:rPr>
      </w:pPr>
      <w:r>
        <w:rPr>
          <w:rFonts w:ascii="Work Sans" w:eastAsia="Caladea" w:hAnsi="Work Sans" w:cs="Caladea"/>
          <w:b/>
          <w:bCs/>
          <w:kern w:val="0"/>
          <w:sz w:val="20"/>
          <w:szCs w:val="20"/>
          <w:lang w:eastAsia="en-US" w:bidi="ar-SA"/>
        </w:rPr>
        <w:t>PUBLÍQUESE Y CÚMPLASE</w:t>
      </w:r>
    </w:p>
    <w:p w:rsidR="00B6656D" w:rsidRDefault="00B6656D">
      <w:pPr>
        <w:autoSpaceDE w:val="0"/>
        <w:ind w:right="123"/>
        <w:textAlignment w:val="auto"/>
        <w:rPr>
          <w:rFonts w:ascii="Work Sans" w:eastAsia="Caladea" w:hAnsi="Work Sans" w:cs="Caladea"/>
          <w:b/>
          <w:kern w:val="0"/>
          <w:sz w:val="20"/>
          <w:szCs w:val="20"/>
          <w:lang w:eastAsia="en-US" w:bidi="ar-SA"/>
        </w:rPr>
      </w:pPr>
    </w:p>
    <w:p w:rsidR="00B6656D" w:rsidRDefault="00B6656D">
      <w:pPr>
        <w:autoSpaceDE w:val="0"/>
        <w:ind w:right="123"/>
        <w:textAlignment w:val="auto"/>
        <w:rPr>
          <w:rFonts w:ascii="Work Sans" w:eastAsia="Caladea" w:hAnsi="Work Sans" w:cs="Caladea"/>
          <w:kern w:val="0"/>
          <w:sz w:val="20"/>
          <w:szCs w:val="20"/>
          <w:lang w:eastAsia="en-US" w:bidi="ar-SA"/>
        </w:rPr>
      </w:pPr>
    </w:p>
    <w:p w:rsidR="00B6656D" w:rsidRDefault="00B6656D">
      <w:pPr>
        <w:autoSpaceDE w:val="0"/>
        <w:ind w:right="123"/>
        <w:textAlignment w:val="auto"/>
        <w:rPr>
          <w:rFonts w:ascii="Work Sans" w:eastAsia="Caladea" w:hAnsi="Work Sans" w:cs="Caladea"/>
          <w:kern w:val="0"/>
          <w:sz w:val="20"/>
          <w:szCs w:val="20"/>
          <w:lang w:eastAsia="en-US" w:bidi="ar-SA"/>
        </w:rPr>
      </w:pPr>
    </w:p>
    <w:p w:rsidR="00B6656D" w:rsidRDefault="00B6656D">
      <w:pPr>
        <w:autoSpaceDE w:val="0"/>
        <w:ind w:right="123"/>
        <w:textAlignment w:val="auto"/>
        <w:rPr>
          <w:rFonts w:ascii="Work Sans" w:eastAsia="Caladea" w:hAnsi="Work Sans" w:cs="Caladea"/>
          <w:kern w:val="0"/>
          <w:sz w:val="20"/>
          <w:szCs w:val="20"/>
          <w:lang w:eastAsia="en-US" w:bidi="ar-SA"/>
        </w:rPr>
      </w:pPr>
    </w:p>
    <w:p w:rsidR="00B6656D" w:rsidRDefault="00B6656D">
      <w:pPr>
        <w:autoSpaceDE w:val="0"/>
        <w:ind w:right="123"/>
        <w:textAlignment w:val="auto"/>
        <w:rPr>
          <w:rFonts w:ascii="Work Sans" w:eastAsia="Caladea" w:hAnsi="Work Sans" w:cs="Caladea"/>
          <w:kern w:val="0"/>
          <w:sz w:val="20"/>
          <w:szCs w:val="20"/>
          <w:lang w:eastAsia="en-US" w:bidi="ar-SA"/>
        </w:rPr>
      </w:pPr>
    </w:p>
    <w:p w:rsidR="00B6656D" w:rsidRDefault="00000000">
      <w:pPr>
        <w:autoSpaceDE w:val="0"/>
        <w:spacing w:before="11"/>
        <w:ind w:right="123"/>
        <w:jc w:val="center"/>
        <w:textAlignment w:val="auto"/>
        <w:rPr>
          <w:rFonts w:ascii="Work Sans" w:eastAsia="Caladea" w:hAnsi="Work Sans" w:cs="Caladea"/>
          <w:b/>
          <w:bCs/>
          <w:kern w:val="0"/>
          <w:sz w:val="20"/>
          <w:szCs w:val="20"/>
          <w:lang w:eastAsia="en-US" w:bidi="ar-SA"/>
        </w:rPr>
      </w:pPr>
      <w:r>
        <w:rPr>
          <w:rFonts w:ascii="Work Sans" w:eastAsia="Caladea" w:hAnsi="Work Sans" w:cs="Caladea"/>
          <w:b/>
          <w:bCs/>
          <w:kern w:val="0"/>
          <w:sz w:val="20"/>
          <w:szCs w:val="20"/>
          <w:lang w:eastAsia="en-US" w:bidi="ar-SA"/>
        </w:rPr>
        <w:t>GUILLERMO REYES GONZÁLEZ</w:t>
      </w:r>
    </w:p>
    <w:p w:rsidR="00B6656D" w:rsidRDefault="00B6656D">
      <w:pPr>
        <w:autoSpaceDE w:val="0"/>
        <w:spacing w:before="11"/>
        <w:ind w:right="123"/>
        <w:jc w:val="center"/>
        <w:textAlignment w:val="auto"/>
        <w:rPr>
          <w:rFonts w:ascii="Work Sans" w:eastAsia="Caladea" w:hAnsi="Work Sans" w:cs="Caladea"/>
          <w:b/>
          <w:bCs/>
          <w:kern w:val="0"/>
          <w:sz w:val="20"/>
          <w:szCs w:val="20"/>
          <w:lang w:eastAsia="en-US" w:bidi="ar-SA"/>
        </w:rPr>
      </w:pPr>
    </w:p>
    <w:tbl>
      <w:tblPr>
        <w:tblW w:w="7513" w:type="dxa"/>
        <w:tblInd w:w="562" w:type="dxa"/>
        <w:tblCellMar>
          <w:left w:w="10" w:type="dxa"/>
          <w:right w:w="10" w:type="dxa"/>
        </w:tblCellMar>
        <w:tblLook w:val="04A0" w:firstRow="1" w:lastRow="0" w:firstColumn="1" w:lastColumn="0" w:noHBand="0" w:noVBand="1"/>
      </w:tblPr>
      <w:tblGrid>
        <w:gridCol w:w="750"/>
        <w:gridCol w:w="2211"/>
        <w:gridCol w:w="4134"/>
        <w:gridCol w:w="418"/>
      </w:tblGrid>
      <w:tr w:rsidR="00B6656D">
        <w:tblPrEx>
          <w:tblCellMar>
            <w:top w:w="0" w:type="dxa"/>
            <w:bottom w:w="0" w:type="dxa"/>
          </w:tblCellMar>
        </w:tblPrEx>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rPr>
                <w:rFonts w:ascii="Work Sans" w:hAnsi="Work Sans" w:cs="Arial"/>
                <w:sz w:val="12"/>
                <w:szCs w:val="12"/>
              </w:rPr>
            </w:pPr>
            <w:r>
              <w:rPr>
                <w:rFonts w:ascii="Work Sans" w:hAnsi="Work Sans" w:cs="Arial"/>
                <w:sz w:val="12"/>
                <w:szCs w:val="12"/>
              </w:rPr>
              <w:t>V.B.</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r>
              <w:rPr>
                <w:rFonts w:ascii="Work Sans" w:hAnsi="Work Sans" w:cs="Arial"/>
                <w:sz w:val="12"/>
                <w:szCs w:val="12"/>
                <w:lang w:eastAsia="es-CO"/>
              </w:rPr>
              <w:t>William Fernando Camargo Triana</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r>
              <w:rPr>
                <w:rFonts w:ascii="Work Sans" w:hAnsi="Work Sans" w:cs="Arial"/>
                <w:sz w:val="12"/>
                <w:szCs w:val="12"/>
                <w:lang w:eastAsia="es-CO"/>
              </w:rPr>
              <w:t>Presidente Agencia Nacional de Infraestructura</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6D" w:rsidRDefault="00B6656D">
            <w:pPr>
              <w:rPr>
                <w:rFonts w:ascii="Work Sans" w:hAnsi="Work Sans" w:cs="Arial"/>
                <w:sz w:val="12"/>
                <w:szCs w:val="12"/>
              </w:rPr>
            </w:pPr>
          </w:p>
        </w:tc>
      </w:tr>
      <w:tr w:rsidR="00B6656D">
        <w:tblPrEx>
          <w:tblCellMar>
            <w:top w:w="0" w:type="dxa"/>
            <w:bottom w:w="0" w:type="dxa"/>
          </w:tblCellMar>
        </w:tblPrEx>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rPr>
                <w:rFonts w:ascii="Work Sans" w:hAnsi="Work Sans" w:cs="Arial"/>
                <w:sz w:val="12"/>
                <w:szCs w:val="12"/>
              </w:rPr>
            </w:pPr>
            <w:r>
              <w:rPr>
                <w:rFonts w:ascii="Work Sans" w:hAnsi="Work Sans" w:cs="Arial"/>
                <w:sz w:val="12"/>
                <w:szCs w:val="12"/>
              </w:rPr>
              <w:t>Revisó</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r>
              <w:rPr>
                <w:rFonts w:ascii="Work Sans" w:hAnsi="Work Sans" w:cs="Arial"/>
                <w:sz w:val="12"/>
                <w:szCs w:val="12"/>
                <w:lang w:eastAsia="es-CO"/>
              </w:rPr>
              <w:t>Fernando Ramírez Laguado</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r>
              <w:rPr>
                <w:rFonts w:ascii="Work Sans" w:hAnsi="Work Sans" w:cs="Arial"/>
                <w:sz w:val="12"/>
                <w:szCs w:val="12"/>
                <w:lang w:eastAsia="es-CO"/>
              </w:rPr>
              <w:t>Vicepresidente Jurídico, Agencia Nacional de Infraestructura</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6D" w:rsidRDefault="00B6656D">
            <w:pPr>
              <w:rPr>
                <w:rFonts w:ascii="Work Sans" w:hAnsi="Work Sans" w:cs="Arial"/>
                <w:sz w:val="12"/>
                <w:szCs w:val="12"/>
              </w:rPr>
            </w:pPr>
          </w:p>
        </w:tc>
      </w:tr>
      <w:tr w:rsidR="00B6656D">
        <w:tblPrEx>
          <w:tblCellMar>
            <w:top w:w="0" w:type="dxa"/>
            <w:bottom w:w="0" w:type="dxa"/>
          </w:tblCellMar>
        </w:tblPrEx>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rPr>
                <w:rFonts w:ascii="Work Sans" w:hAnsi="Work Sans" w:cs="Arial"/>
                <w:sz w:val="12"/>
                <w:szCs w:val="12"/>
              </w:rPr>
            </w:pPr>
            <w:r>
              <w:rPr>
                <w:rFonts w:ascii="Work Sans" w:hAnsi="Work Sans" w:cs="Arial"/>
                <w:sz w:val="12"/>
                <w:szCs w:val="12"/>
              </w:rPr>
              <w:t>Proyectó</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rPr>
                <w:rFonts w:ascii="Work Sans" w:hAnsi="Work Sans" w:cs="Arial"/>
                <w:sz w:val="12"/>
                <w:szCs w:val="12"/>
                <w:lang w:eastAsia="es-CO"/>
              </w:rPr>
            </w:pPr>
            <w:r>
              <w:rPr>
                <w:rFonts w:ascii="Work Sans" w:hAnsi="Work Sans" w:cs="Arial"/>
                <w:sz w:val="12"/>
                <w:szCs w:val="12"/>
                <w:lang w:eastAsia="es-CO"/>
              </w:rPr>
              <w:t>Martha Lucia Mahecha Rodríguez</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rPr>
                <w:rFonts w:ascii="Work Sans" w:hAnsi="Work Sans" w:cs="Arial"/>
                <w:sz w:val="12"/>
                <w:szCs w:val="12"/>
                <w:lang w:eastAsia="es-CO"/>
              </w:rPr>
            </w:pPr>
            <w:r>
              <w:rPr>
                <w:rFonts w:ascii="Work Sans" w:hAnsi="Work Sans" w:cs="Arial"/>
                <w:sz w:val="12"/>
                <w:szCs w:val="12"/>
                <w:lang w:eastAsia="es-CO"/>
              </w:rPr>
              <w:t xml:space="preserve">Coordinadora G.I.T. Asesoría Gestión Contractual, Agencia Nacional de Infraestructura 3 (A) </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6D" w:rsidRDefault="00B6656D">
            <w:pPr>
              <w:rPr>
                <w:rFonts w:ascii="Work Sans" w:hAnsi="Work Sans" w:cs="Arial"/>
                <w:sz w:val="12"/>
                <w:szCs w:val="12"/>
              </w:rPr>
            </w:pPr>
          </w:p>
        </w:tc>
      </w:tr>
      <w:tr w:rsidR="00B6656D">
        <w:tblPrEx>
          <w:tblCellMar>
            <w:top w:w="0" w:type="dxa"/>
            <w:bottom w:w="0" w:type="dxa"/>
          </w:tblCellMar>
        </w:tblPrEx>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rPr>
                <w:rFonts w:ascii="Work Sans" w:hAnsi="Work Sans" w:cs="Arial"/>
                <w:sz w:val="12"/>
                <w:szCs w:val="12"/>
              </w:rPr>
            </w:pPr>
            <w:r>
              <w:rPr>
                <w:rFonts w:ascii="Work Sans" w:hAnsi="Work Sans" w:cs="Arial"/>
                <w:sz w:val="12"/>
                <w:szCs w:val="12"/>
              </w:rPr>
              <w:t>Revisó</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rPr>
                <w:rFonts w:ascii="Work Sans" w:hAnsi="Work Sans" w:cs="Arial"/>
                <w:sz w:val="12"/>
                <w:szCs w:val="12"/>
              </w:rPr>
            </w:pPr>
            <w:r>
              <w:rPr>
                <w:rFonts w:ascii="Work Sans" w:hAnsi="Work Sans" w:cs="Arial"/>
                <w:sz w:val="12"/>
                <w:szCs w:val="12"/>
              </w:rPr>
              <w:t>Carolina Palacio Montoya</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r>
              <w:rPr>
                <w:rFonts w:ascii="Work Sans" w:hAnsi="Work Sans" w:cs="Arial"/>
                <w:sz w:val="12"/>
                <w:szCs w:val="12"/>
              </w:rPr>
              <w:t>Jefe Oficina Asesora de Jurídica del Ministerio de Transporte (E)</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6D" w:rsidRDefault="00B6656D">
            <w:pPr>
              <w:rPr>
                <w:rFonts w:ascii="Work Sans" w:hAnsi="Work Sans" w:cs="Arial"/>
                <w:sz w:val="12"/>
                <w:szCs w:val="12"/>
              </w:rPr>
            </w:pPr>
          </w:p>
        </w:tc>
      </w:tr>
      <w:tr w:rsidR="00B6656D">
        <w:tblPrEx>
          <w:tblCellMar>
            <w:top w:w="0" w:type="dxa"/>
            <w:bottom w:w="0" w:type="dxa"/>
          </w:tblCellMar>
        </w:tblPrEx>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rPr>
                <w:rFonts w:ascii="Work Sans" w:hAnsi="Work Sans" w:cs="Arial"/>
                <w:sz w:val="12"/>
                <w:szCs w:val="12"/>
              </w:rPr>
            </w:pPr>
            <w:r>
              <w:rPr>
                <w:rFonts w:ascii="Work Sans" w:hAnsi="Work Sans" w:cs="Arial"/>
                <w:sz w:val="12"/>
                <w:szCs w:val="12"/>
              </w:rPr>
              <w:t>Revisó</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r>
              <w:rPr>
                <w:rFonts w:ascii="Work Sans" w:hAnsi="Work Sans" w:cs="Arial"/>
                <w:sz w:val="12"/>
                <w:szCs w:val="12"/>
                <w:lang w:eastAsia="es-CO"/>
              </w:rPr>
              <w:t>Sol Ángel Cala Acosta</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r>
              <w:rPr>
                <w:rFonts w:ascii="Work Sans" w:hAnsi="Work Sans" w:cs="Arial"/>
                <w:sz w:val="12"/>
                <w:szCs w:val="12"/>
                <w:lang w:eastAsia="es-CO"/>
              </w:rPr>
              <w:t>Asesora Despacho del ministro, Ministerio de Transporte</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6D" w:rsidRDefault="00B6656D">
            <w:pPr>
              <w:rPr>
                <w:rFonts w:ascii="Work Sans" w:hAnsi="Work Sans" w:cs="Arial"/>
                <w:sz w:val="12"/>
                <w:szCs w:val="12"/>
              </w:rPr>
            </w:pPr>
          </w:p>
        </w:tc>
      </w:tr>
      <w:tr w:rsidR="00B6656D">
        <w:tblPrEx>
          <w:tblCellMar>
            <w:top w:w="0" w:type="dxa"/>
            <w:bottom w:w="0" w:type="dxa"/>
          </w:tblCellMar>
        </w:tblPrEx>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rPr>
                <w:rFonts w:ascii="Work Sans" w:hAnsi="Work Sans" w:cs="Arial"/>
                <w:sz w:val="12"/>
                <w:szCs w:val="12"/>
              </w:rPr>
            </w:pPr>
            <w:r>
              <w:rPr>
                <w:rFonts w:ascii="Work Sans" w:hAnsi="Work Sans" w:cs="Arial"/>
                <w:sz w:val="12"/>
                <w:szCs w:val="12"/>
              </w:rPr>
              <w:t>Revisó</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r>
              <w:rPr>
                <w:rFonts w:ascii="Work Sans" w:hAnsi="Work Sans" w:cs="Arial"/>
                <w:sz w:val="12"/>
                <w:szCs w:val="12"/>
                <w:lang w:eastAsia="es-CO"/>
              </w:rPr>
              <w:t>Julián Soto Ocampo</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r>
              <w:rPr>
                <w:rFonts w:ascii="Work Sans" w:hAnsi="Work Sans" w:cs="Arial"/>
                <w:sz w:val="12"/>
                <w:szCs w:val="12"/>
                <w:lang w:eastAsia="es-CO"/>
              </w:rPr>
              <w:t>Jefe de Oficina de Regulación Económica, Ministerio de Transporte</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6D" w:rsidRDefault="00B6656D">
            <w:pPr>
              <w:rPr>
                <w:rFonts w:ascii="Work Sans" w:hAnsi="Work Sans" w:cs="Arial"/>
                <w:sz w:val="12"/>
                <w:szCs w:val="12"/>
              </w:rPr>
            </w:pPr>
          </w:p>
        </w:tc>
      </w:tr>
      <w:tr w:rsidR="00B6656D">
        <w:tblPrEx>
          <w:tblCellMar>
            <w:top w:w="0" w:type="dxa"/>
            <w:bottom w:w="0" w:type="dxa"/>
          </w:tblCellMar>
        </w:tblPrEx>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pPr>
              <w:rPr>
                <w:rFonts w:ascii="Work Sans" w:hAnsi="Work Sans" w:cs="Arial"/>
                <w:sz w:val="12"/>
                <w:szCs w:val="12"/>
              </w:rPr>
            </w:pPr>
            <w:r>
              <w:rPr>
                <w:rFonts w:ascii="Work Sans" w:hAnsi="Work Sans" w:cs="Arial"/>
                <w:sz w:val="12"/>
                <w:szCs w:val="12"/>
              </w:rPr>
              <w:t>Revisó</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r>
              <w:rPr>
                <w:rFonts w:ascii="Work Sans" w:hAnsi="Work Sans" w:cs="Arial"/>
                <w:sz w:val="12"/>
                <w:szCs w:val="12"/>
                <w:lang w:eastAsia="es-CO"/>
              </w:rPr>
              <w:t>Magda Paola Suárez Alejo</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656D" w:rsidRDefault="00000000">
            <w:r>
              <w:rPr>
                <w:rFonts w:ascii="Work Sans" w:hAnsi="Work Sans"/>
                <w:sz w:val="12"/>
                <w:szCs w:val="12"/>
              </w:rPr>
              <w:t>Abg</w:t>
            </w:r>
            <w:r>
              <w:rPr>
                <w:rFonts w:ascii="Work Sans" w:hAnsi="Work Sans" w:cs="Arial"/>
                <w:sz w:val="12"/>
                <w:szCs w:val="12"/>
                <w:lang w:eastAsia="es-CO"/>
              </w:rPr>
              <w:t xml:space="preserve"> Grupo de Conceptos, Oficina Asesora de Jurídica Ministerio de Transporte</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6D" w:rsidRDefault="00B6656D">
            <w:pPr>
              <w:rPr>
                <w:rFonts w:ascii="Work Sans" w:hAnsi="Work Sans" w:cs="Arial"/>
                <w:sz w:val="12"/>
                <w:szCs w:val="12"/>
              </w:rPr>
            </w:pPr>
          </w:p>
        </w:tc>
      </w:tr>
    </w:tbl>
    <w:p w:rsidR="00B6656D" w:rsidRDefault="00B6656D">
      <w:pPr>
        <w:autoSpaceDE w:val="0"/>
        <w:ind w:right="123"/>
        <w:jc w:val="both"/>
        <w:textAlignment w:val="auto"/>
        <w:rPr>
          <w:rFonts w:ascii="Work Sans" w:eastAsia="Caladea" w:hAnsi="Work Sans" w:cs="Caladea"/>
          <w:kern w:val="0"/>
          <w:sz w:val="20"/>
          <w:szCs w:val="20"/>
          <w:lang w:eastAsia="en-US" w:bidi="ar-SA"/>
        </w:rPr>
      </w:pPr>
    </w:p>
    <w:p w:rsidR="00B6656D" w:rsidRDefault="00B6656D">
      <w:pPr>
        <w:autoSpaceDE w:val="0"/>
        <w:ind w:right="123"/>
        <w:jc w:val="both"/>
        <w:textAlignment w:val="auto"/>
        <w:rPr>
          <w:rFonts w:ascii="Work Sans" w:eastAsia="Caladea" w:hAnsi="Work Sans" w:cs="Caladea"/>
          <w:kern w:val="0"/>
          <w:sz w:val="20"/>
          <w:szCs w:val="20"/>
          <w:lang w:eastAsia="en-US" w:bidi="ar-SA"/>
        </w:rPr>
      </w:pPr>
    </w:p>
    <w:p w:rsidR="00B6656D" w:rsidRDefault="00B6656D">
      <w:pPr>
        <w:autoSpaceDE w:val="0"/>
        <w:ind w:right="123"/>
        <w:textAlignment w:val="auto"/>
        <w:rPr>
          <w:rFonts w:ascii="Work Sans" w:eastAsia="Caladea" w:hAnsi="Work Sans" w:cs="Caladea"/>
          <w:kern w:val="0"/>
          <w:sz w:val="20"/>
          <w:szCs w:val="20"/>
          <w:lang w:eastAsia="en-US" w:bidi="ar-SA"/>
        </w:rPr>
      </w:pPr>
    </w:p>
    <w:sectPr w:rsidR="00B6656D">
      <w:headerReference w:type="default" r:id="rId10"/>
      <w:pgSz w:w="12247" w:h="18711"/>
      <w:pgMar w:top="1418" w:right="1701" w:bottom="567" w:left="1985" w:header="851" w:footer="720"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4EDF" w:rsidRDefault="00014EDF">
      <w:r>
        <w:separator/>
      </w:r>
    </w:p>
  </w:endnote>
  <w:endnote w:type="continuationSeparator" w:id="0">
    <w:p w:rsidR="00014EDF" w:rsidRDefault="0001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Lohit Devanagari">
    <w:altName w:val="Calibri"/>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Work Sans">
    <w:panose1 w:val="00000800000000000000"/>
    <w:charset w:val="4D"/>
    <w:family w:val="auto"/>
    <w:notTrueType/>
    <w:pitch w:val="variable"/>
    <w:sig w:usb0="20000007" w:usb1="00000001" w:usb2="00000000" w:usb3="00000000" w:csb0="00000193" w:csb1="00000000"/>
  </w:font>
  <w:font w:name="Caladea">
    <w:panose1 w:val="020B0604020202020204"/>
    <w:charset w:val="00"/>
    <w:family w:val="auto"/>
    <w:pitch w:val="variable"/>
  </w:font>
  <w:font w:name="DengXian Light">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ode3of9">
    <w:altName w:val="Calibri"/>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4EDF" w:rsidRDefault="00014EDF">
      <w:r>
        <w:rPr>
          <w:color w:val="000000"/>
        </w:rPr>
        <w:separator/>
      </w:r>
    </w:p>
  </w:footnote>
  <w:footnote w:type="continuationSeparator" w:id="0">
    <w:p w:rsidR="00014EDF" w:rsidRDefault="00014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06AF" w:rsidRDefault="00000000">
    <w:r>
      <w:rPr>
        <w:noProof/>
        <w:lang w:val="es-CO" w:eastAsia="es-CO" w:bidi="ar-SA"/>
      </w:rPr>
      <w:drawing>
        <wp:inline distT="0" distB="0" distL="0" distR="0">
          <wp:extent cx="2552757" cy="447836"/>
          <wp:effectExtent l="0" t="0" r="0" b="0"/>
          <wp:docPr id="1" name="Imagen 2" descr="C:\Users\cecampos\Downloads\17. Ministerio de Transporte-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552757" cy="447836"/>
                  </a:xfrm>
                  <a:prstGeom prst="rect">
                    <a:avLst/>
                  </a:prstGeom>
                  <a:noFill/>
                  <a:ln>
                    <a:noFill/>
                    <a:prstDash/>
                  </a:ln>
                </pic:spPr>
              </pic:pic>
            </a:graphicData>
          </a:graphic>
        </wp:inline>
      </w:drawing>
    </w:r>
  </w:p>
  <w:p w:rsidR="007606AF" w:rsidRDefault="00000000">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rsidR="007606AF" w:rsidRDefault="00000000">
    <w:pPr>
      <w:pStyle w:val="Encabezado"/>
      <w:jc w:val="center"/>
    </w:pPr>
    <w:r>
      <w:rPr>
        <w:rFonts w:ascii="Work Sans" w:hAnsi="Work Sans"/>
        <w:sz w:val="20"/>
      </w:rPr>
      <w:t xml:space="preserve">de </w:t>
    </w:r>
    <w:r>
      <w:rPr>
        <w:rFonts w:ascii="Work Sans" w:hAnsi="Work Sans" w:cs="Arial"/>
        <w:sz w:val="20"/>
        <w:lang w:val="es-CO"/>
      </w:rPr>
      <w:t>*F_RAD_S*</w:t>
    </w:r>
  </w:p>
  <w:p w:rsidR="007606AF" w:rsidRDefault="00000000">
    <w:pPr>
      <w:pStyle w:val="Encabezado"/>
      <w:jc w:val="center"/>
      <w:rPr>
        <w:rFonts w:ascii="Code3of9" w:hAnsi="Code3of9" w:cs="Tahoma"/>
        <w:sz w:val="36"/>
        <w:szCs w:val="40"/>
      </w:rPr>
    </w:pPr>
    <w:r>
      <w:rPr>
        <w:rFonts w:ascii="Code3of9" w:hAnsi="Code3of9" w:cs="Tahoma"/>
        <w:sz w:val="36"/>
        <w:szCs w:val="40"/>
      </w:rPr>
      <w:t>**RAD_S**</w:t>
    </w:r>
  </w:p>
  <w:p w:rsidR="007606AF" w:rsidRDefault="00000000">
    <w:pPr>
      <w:autoSpaceDE w:val="0"/>
      <w:ind w:right="123"/>
      <w:jc w:val="center"/>
      <w:textAlignment w:val="auto"/>
    </w:pPr>
    <w:r>
      <w:rPr>
        <w:rFonts w:ascii="Work Sans" w:eastAsia="Caladea" w:hAnsi="Work Sans" w:cs="Caladea"/>
        <w:i/>
        <w:iCs/>
        <w:kern w:val="0"/>
        <w:sz w:val="20"/>
        <w:szCs w:val="20"/>
        <w:lang w:eastAsia="en-US" w:bidi="ar-SA"/>
      </w:rPr>
      <w:t xml:space="preserve">"Por la cual se modifica </w:t>
    </w:r>
    <w:r>
      <w:rPr>
        <w:rFonts w:ascii="Work Sans" w:eastAsia="Caladea" w:hAnsi="Work Sans" w:cs="Caladea"/>
        <w:i/>
        <w:iCs/>
        <w:kern w:val="0"/>
        <w:sz w:val="20"/>
        <w:szCs w:val="20"/>
        <w:lang w:val="es-CO" w:eastAsia="en-US" w:bidi="ar-SA"/>
      </w:rPr>
      <w:t>la Resolución No.000410 del 27 de febrero de 2020, “Por la cual se establecen unas tarifas diferenciales en las estaciones de peaje los Manguitos, Purgatorio, Cedro y Mata de Caña, del proyecto de asociación público – privada de iniciativa privada para la conexión</w:t>
    </w:r>
    <w:r>
      <w:rPr>
        <w:rFonts w:ascii="Work Sans" w:eastAsia="Caladea" w:hAnsi="Work Sans" w:cs="Caladea"/>
        <w:i/>
        <w:iCs/>
        <w:kern w:val="0"/>
        <w:sz w:val="20"/>
        <w:szCs w:val="20"/>
        <w:lang w:eastAsia="en-US" w:bidi="ar-SA"/>
      </w:rPr>
      <w:t>”</w:t>
    </w:r>
  </w:p>
  <w:p w:rsidR="007606AF" w:rsidRDefault="00000000">
    <w:pPr>
      <w:pStyle w:val="Standard"/>
      <w:autoSpaceDE w:val="0"/>
      <w:rPr>
        <w:rFonts w:ascii="Work Sans" w:hAnsi="Work San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7FE"/>
    <w:multiLevelType w:val="multilevel"/>
    <w:tmpl w:val="D7EE56AE"/>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14431298"/>
    <w:multiLevelType w:val="multilevel"/>
    <w:tmpl w:val="2842F064"/>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15905D85"/>
    <w:multiLevelType w:val="multilevel"/>
    <w:tmpl w:val="F9445366"/>
    <w:lvl w:ilvl="0">
      <w:start w:val="1"/>
      <w:numFmt w:val="lowerRoman"/>
      <w:lvlText w:val="%1)"/>
      <w:lvlJc w:val="left"/>
      <w:pPr>
        <w:ind w:left="1488" w:hanging="720"/>
      </w:pPr>
    </w:lvl>
    <w:lvl w:ilvl="1">
      <w:start w:val="1"/>
      <w:numFmt w:val="lowerLetter"/>
      <w:lvlText w:val="%2."/>
      <w:lvlJc w:val="left"/>
      <w:pPr>
        <w:ind w:left="1848" w:hanging="360"/>
      </w:pPr>
    </w:lvl>
    <w:lvl w:ilvl="2">
      <w:start w:val="1"/>
      <w:numFmt w:val="lowerRoman"/>
      <w:lvlText w:val="%3."/>
      <w:lvlJc w:val="right"/>
      <w:pPr>
        <w:ind w:left="2568" w:hanging="180"/>
      </w:pPr>
    </w:lvl>
    <w:lvl w:ilvl="3">
      <w:start w:val="1"/>
      <w:numFmt w:val="decimal"/>
      <w:lvlText w:val="%4."/>
      <w:lvlJc w:val="left"/>
      <w:pPr>
        <w:ind w:left="3288" w:hanging="360"/>
      </w:pPr>
    </w:lvl>
    <w:lvl w:ilvl="4">
      <w:start w:val="1"/>
      <w:numFmt w:val="lowerLetter"/>
      <w:lvlText w:val="%5."/>
      <w:lvlJc w:val="left"/>
      <w:pPr>
        <w:ind w:left="4008" w:hanging="360"/>
      </w:pPr>
    </w:lvl>
    <w:lvl w:ilvl="5">
      <w:start w:val="1"/>
      <w:numFmt w:val="lowerRoman"/>
      <w:lvlText w:val="%6."/>
      <w:lvlJc w:val="right"/>
      <w:pPr>
        <w:ind w:left="4728" w:hanging="180"/>
      </w:pPr>
    </w:lvl>
    <w:lvl w:ilvl="6">
      <w:start w:val="1"/>
      <w:numFmt w:val="decimal"/>
      <w:lvlText w:val="%7."/>
      <w:lvlJc w:val="left"/>
      <w:pPr>
        <w:ind w:left="5448" w:hanging="360"/>
      </w:pPr>
    </w:lvl>
    <w:lvl w:ilvl="7">
      <w:start w:val="1"/>
      <w:numFmt w:val="lowerLetter"/>
      <w:lvlText w:val="%8."/>
      <w:lvlJc w:val="left"/>
      <w:pPr>
        <w:ind w:left="6168" w:hanging="360"/>
      </w:pPr>
    </w:lvl>
    <w:lvl w:ilvl="8">
      <w:start w:val="1"/>
      <w:numFmt w:val="lowerRoman"/>
      <w:lvlText w:val="%9."/>
      <w:lvlJc w:val="right"/>
      <w:pPr>
        <w:ind w:left="6888" w:hanging="180"/>
      </w:pPr>
    </w:lvl>
  </w:abstractNum>
  <w:abstractNum w:abstractNumId="3" w15:restartNumberingAfterBreak="0">
    <w:nsid w:val="164D40A4"/>
    <w:multiLevelType w:val="multilevel"/>
    <w:tmpl w:val="3B466F5A"/>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17D27859"/>
    <w:multiLevelType w:val="multilevel"/>
    <w:tmpl w:val="A0C4055A"/>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19C54F70"/>
    <w:multiLevelType w:val="multilevel"/>
    <w:tmpl w:val="804C7384"/>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1B51281C"/>
    <w:multiLevelType w:val="multilevel"/>
    <w:tmpl w:val="F0A698AE"/>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15:restartNumberingAfterBreak="0">
    <w:nsid w:val="1C866B58"/>
    <w:multiLevelType w:val="multilevel"/>
    <w:tmpl w:val="BF941E5A"/>
    <w:lvl w:ilvl="0">
      <w:start w:val="1"/>
      <w:numFmt w:val="low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1CA23A73"/>
    <w:multiLevelType w:val="multilevel"/>
    <w:tmpl w:val="14AC5BCC"/>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1D046A98"/>
    <w:multiLevelType w:val="multilevel"/>
    <w:tmpl w:val="3042CC7C"/>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1E124CEF"/>
    <w:multiLevelType w:val="multilevel"/>
    <w:tmpl w:val="57327578"/>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26F710F8"/>
    <w:multiLevelType w:val="multilevel"/>
    <w:tmpl w:val="4484DA7E"/>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2" w15:restartNumberingAfterBreak="0">
    <w:nsid w:val="33DA706C"/>
    <w:multiLevelType w:val="multilevel"/>
    <w:tmpl w:val="6446685C"/>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44216F14"/>
    <w:multiLevelType w:val="multilevel"/>
    <w:tmpl w:val="492EEFFE"/>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45603814"/>
    <w:multiLevelType w:val="multilevel"/>
    <w:tmpl w:val="2DA22184"/>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15:restartNumberingAfterBreak="0">
    <w:nsid w:val="46100C73"/>
    <w:multiLevelType w:val="multilevel"/>
    <w:tmpl w:val="6DA27572"/>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4CAA513A"/>
    <w:multiLevelType w:val="multilevel"/>
    <w:tmpl w:val="DA20A616"/>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4D4C1DB9"/>
    <w:multiLevelType w:val="multilevel"/>
    <w:tmpl w:val="D2C8C30E"/>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52DC1B30"/>
    <w:multiLevelType w:val="multilevel"/>
    <w:tmpl w:val="5A468D24"/>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E60B9A"/>
    <w:multiLevelType w:val="multilevel"/>
    <w:tmpl w:val="8814E62E"/>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633E17AC"/>
    <w:multiLevelType w:val="multilevel"/>
    <w:tmpl w:val="CFE286A0"/>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7B2336DD"/>
    <w:multiLevelType w:val="multilevel"/>
    <w:tmpl w:val="CFA0E1E2"/>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15:restartNumberingAfterBreak="0">
    <w:nsid w:val="7BAD7468"/>
    <w:multiLevelType w:val="multilevel"/>
    <w:tmpl w:val="045A6DCC"/>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16cid:durableId="553977686">
    <w:abstractNumId w:val="20"/>
  </w:num>
  <w:num w:numId="2" w16cid:durableId="1739402700">
    <w:abstractNumId w:val="1"/>
  </w:num>
  <w:num w:numId="3" w16cid:durableId="272203518">
    <w:abstractNumId w:val="5"/>
  </w:num>
  <w:num w:numId="4" w16cid:durableId="4016753">
    <w:abstractNumId w:val="8"/>
  </w:num>
  <w:num w:numId="5" w16cid:durableId="550968823">
    <w:abstractNumId w:val="9"/>
  </w:num>
  <w:num w:numId="6" w16cid:durableId="1366059725">
    <w:abstractNumId w:val="17"/>
  </w:num>
  <w:num w:numId="7" w16cid:durableId="616259655">
    <w:abstractNumId w:val="3"/>
  </w:num>
  <w:num w:numId="8" w16cid:durableId="470446839">
    <w:abstractNumId w:val="16"/>
  </w:num>
  <w:num w:numId="9" w16cid:durableId="2013870826">
    <w:abstractNumId w:val="12"/>
  </w:num>
  <w:num w:numId="10" w16cid:durableId="351880411">
    <w:abstractNumId w:val="19"/>
  </w:num>
  <w:num w:numId="11" w16cid:durableId="921374716">
    <w:abstractNumId w:val="13"/>
  </w:num>
  <w:num w:numId="12" w16cid:durableId="421729254">
    <w:abstractNumId w:val="21"/>
  </w:num>
  <w:num w:numId="13" w16cid:durableId="2078937680">
    <w:abstractNumId w:val="10"/>
  </w:num>
  <w:num w:numId="14" w16cid:durableId="417214931">
    <w:abstractNumId w:val="14"/>
  </w:num>
  <w:num w:numId="15" w16cid:durableId="1666467754">
    <w:abstractNumId w:val="4"/>
  </w:num>
  <w:num w:numId="16" w16cid:durableId="1696347606">
    <w:abstractNumId w:val="0"/>
  </w:num>
  <w:num w:numId="17" w16cid:durableId="1707752461">
    <w:abstractNumId w:val="6"/>
  </w:num>
  <w:num w:numId="18" w16cid:durableId="1241674984">
    <w:abstractNumId w:val="22"/>
  </w:num>
  <w:num w:numId="19" w16cid:durableId="435906532">
    <w:abstractNumId w:val="15"/>
  </w:num>
  <w:num w:numId="20" w16cid:durableId="549418632">
    <w:abstractNumId w:val="18"/>
  </w:num>
  <w:num w:numId="21" w16cid:durableId="1728528732">
    <w:abstractNumId w:val="7"/>
  </w:num>
  <w:num w:numId="22" w16cid:durableId="68891310">
    <w:abstractNumId w:val="2"/>
  </w:num>
  <w:num w:numId="23" w16cid:durableId="2010978469">
    <w:abstractNumId w:val="2"/>
    <w:lvlOverride w:ilvl="0">
      <w:startOverride w:val="1"/>
    </w:lvlOverride>
  </w:num>
  <w:num w:numId="24" w16cid:durableId="17695460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6656D"/>
    <w:rsid w:val="00014EDF"/>
    <w:rsid w:val="00B6656D"/>
    <w:rsid w:val="00C000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docId w15:val="{2B6BF7CF-DED4-EF45-B7BB-5683C742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Lohit Devanagari"/>
      <w:kern w:val="3"/>
      <w:sz w:val="24"/>
      <w:szCs w:val="24"/>
      <w:lang w:val="es-ES" w:eastAsia="zh-CN" w:bidi="hi-IN"/>
    </w:rPr>
  </w:style>
  <w:style w:type="paragraph" w:styleId="Ttulo1">
    <w:name w:val="heading 1"/>
    <w:basedOn w:val="Standard"/>
    <w:next w:val="Standard"/>
    <w:uiPriority w:val="9"/>
    <w:qFormat/>
    <w:pPr>
      <w:keepNext/>
      <w:tabs>
        <w:tab w:val="left" w:pos="-720"/>
        <w:tab w:val="left" w:pos="4395"/>
      </w:tabs>
      <w:jc w:val="center"/>
      <w:outlineLvl w:val="0"/>
    </w:pPr>
    <w:rPr>
      <w:rFonts w:ascii="Arial" w:eastAsia="Arial" w:hAnsi="Arial" w:cs="Arial"/>
      <w:b/>
      <w:spacing w:val="-3"/>
      <w:sz w:val="28"/>
    </w:rPr>
  </w:style>
  <w:style w:type="paragraph" w:styleId="Ttulo2">
    <w:name w:val="heading 2"/>
    <w:basedOn w:val="Standard"/>
    <w:next w:val="Standard"/>
    <w:uiPriority w:val="9"/>
    <w:semiHidden/>
    <w:unhideWhenUsed/>
    <w:qFormat/>
    <w:pPr>
      <w:keepNext/>
      <w:widowControl w:val="0"/>
      <w:jc w:val="center"/>
      <w:outlineLvl w:val="1"/>
    </w:pPr>
    <w:rPr>
      <w:rFonts w:ascii="Arial" w:eastAsia="Arial" w:hAnsi="Arial" w:cs="Arial"/>
      <w:b/>
    </w:rPr>
  </w:style>
  <w:style w:type="paragraph" w:styleId="Ttulo3">
    <w:name w:val="heading 3"/>
    <w:basedOn w:val="Standard"/>
    <w:next w:val="Standard"/>
    <w:uiPriority w:val="9"/>
    <w:semiHidden/>
    <w:unhideWhenUsed/>
    <w:qFormat/>
    <w:pPr>
      <w:keepNext/>
      <w:tabs>
        <w:tab w:val="left" w:pos="-720"/>
        <w:tab w:val="right" w:pos="8080"/>
      </w:tabs>
      <w:jc w:val="both"/>
      <w:outlineLvl w:val="2"/>
    </w:pPr>
    <w:rPr>
      <w:rFonts w:ascii="Arial" w:eastAsia="Arial" w:hAnsi="Arial" w:cs="Arial"/>
      <w:spacing w:val="-3"/>
      <w:sz w:val="28"/>
    </w:rPr>
  </w:style>
  <w:style w:type="paragraph" w:styleId="Ttulo4">
    <w:name w:val="heading 4"/>
    <w:basedOn w:val="Standard"/>
    <w:next w:val="Standard"/>
    <w:uiPriority w:val="9"/>
    <w:semiHidden/>
    <w:unhideWhenUsed/>
    <w:qFormat/>
    <w:pPr>
      <w:keepNext/>
      <w:tabs>
        <w:tab w:val="left" w:pos="-720"/>
      </w:tabs>
      <w:ind w:right="851"/>
      <w:jc w:val="both"/>
      <w:outlineLvl w:val="3"/>
    </w:pPr>
    <w:rPr>
      <w:rFonts w:ascii="Arial" w:eastAsia="Arial" w:hAnsi="Arial" w:cs="Arial"/>
      <w:b/>
      <w:bCs/>
      <w:spacing w:val="-3"/>
      <w:sz w:val="28"/>
    </w:rPr>
  </w:style>
  <w:style w:type="paragraph" w:styleId="Ttulo5">
    <w:name w:val="heading 5"/>
    <w:basedOn w:val="Standard"/>
    <w:next w:val="Standard"/>
    <w:uiPriority w:val="9"/>
    <w:semiHidden/>
    <w:unhideWhenUsed/>
    <w:qFormat/>
    <w:pPr>
      <w:keepNext/>
      <w:outlineLvl w:val="4"/>
    </w:pPr>
    <w:rPr>
      <w:rFonts w:ascii="Arial" w:eastAsia="Arial" w:hAnsi="Arial" w:cs="Arial"/>
      <w:b/>
      <w:bCs/>
      <w:sz w:val="28"/>
    </w:rPr>
  </w:style>
  <w:style w:type="paragraph" w:styleId="Ttulo6">
    <w:name w:val="heading 6"/>
    <w:basedOn w:val="Standard"/>
    <w:next w:val="Standard"/>
    <w:uiPriority w:val="9"/>
    <w:semiHidden/>
    <w:unhideWhenUsed/>
    <w:qFormat/>
    <w:pPr>
      <w:keepNext/>
      <w:tabs>
        <w:tab w:val="left" w:pos="-720"/>
      </w:tabs>
      <w:jc w:val="both"/>
      <w:outlineLvl w:val="5"/>
    </w:pPr>
    <w:rPr>
      <w:rFonts w:ascii="Arial" w:eastAsia="Arial" w:hAnsi="Arial" w:cs="Arial"/>
      <w:spacing w:val="-3"/>
      <w:sz w:val="28"/>
    </w:rPr>
  </w:style>
  <w:style w:type="paragraph" w:styleId="Ttulo7">
    <w:name w:val="heading 7"/>
    <w:basedOn w:val="Standard"/>
    <w:next w:val="Standard"/>
    <w:pPr>
      <w:keepNext/>
      <w:outlineLvl w:val="6"/>
    </w:pPr>
    <w:rPr>
      <w:rFonts w:ascii="Arial" w:eastAsia="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eastAsia="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paragraph" w:customStyle="1" w:styleId="Standard">
    <w:name w:val="Standard"/>
    <w:pPr>
      <w:suppressAutoHyphens/>
    </w:pPr>
    <w:rPr>
      <w:rFonts w:ascii="Courier New" w:eastAsia="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eastAsia="Arial" w:hAnsi="Arial" w:cs="Arial"/>
      <w:b/>
      <w:sz w:val="32"/>
    </w:rPr>
  </w:style>
  <w:style w:type="paragraph" w:customStyle="1" w:styleId="Textbody">
    <w:name w:val="Text body"/>
    <w:basedOn w:val="Standard"/>
    <w:pPr>
      <w:tabs>
        <w:tab w:val="left" w:pos="-720"/>
      </w:tabs>
      <w:jc w:val="both"/>
    </w:pPr>
    <w:rPr>
      <w:rFonts w:ascii="Arial" w:eastAsia="Arial" w:hAnsi="Arial" w:cs="Arial"/>
      <w:spacing w:val="-3"/>
      <w:sz w:val="28"/>
    </w:rPr>
  </w:style>
  <w:style w:type="paragraph" w:styleId="Lista">
    <w:name w:val="List"/>
    <w:basedOn w:val="Standard"/>
    <w:pPr>
      <w:ind w:left="283" w:hanging="283"/>
    </w:pPr>
    <w:rPr>
      <w:rFonts w:ascii="Times New Roman" w:eastAsia="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eastAsia="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eastAsia="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eastAsia="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eastAsia="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eastAsia="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eastAsia="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eastAsia="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eastAsia="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eastAsia="Times New Roman" w:hAnsi="Times New Roman" w:cs="Times New Roman"/>
      <w:sz w:val="18"/>
    </w:rPr>
  </w:style>
  <w:style w:type="paragraph" w:styleId="Ttulodendice">
    <w:name w:val="index heading"/>
    <w:basedOn w:val="Standard"/>
    <w:next w:val="ndice10"/>
    <w:pPr>
      <w:spacing w:before="240" w:after="120"/>
      <w:jc w:val="center"/>
    </w:pPr>
    <w:rPr>
      <w:rFonts w:ascii="Times New Roman" w:eastAsia="Times New Roman" w:hAnsi="Times New Roman" w:cs="Times New Roman"/>
      <w:b/>
      <w:sz w:val="26"/>
    </w:rPr>
  </w:style>
  <w:style w:type="paragraph" w:styleId="Encabezado">
    <w:name w:val="header"/>
    <w:basedOn w:val="HeaderandFooter"/>
  </w:style>
  <w:style w:type="paragraph" w:customStyle="1" w:styleId="HeaderandFooter">
    <w:name w:val="Header and Footer"/>
    <w:basedOn w:val="Standard"/>
    <w:pPr>
      <w:suppressLineNumbers/>
      <w:tabs>
        <w:tab w:val="center" w:pos="4819"/>
        <w:tab w:val="right" w:pos="9638"/>
      </w:tabs>
    </w:p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eastAsia="Arial" w:hAnsi="Arial" w:cs="Arial"/>
      <w:spacing w:val="-3"/>
      <w:sz w:val="28"/>
    </w:rPr>
  </w:style>
  <w:style w:type="paragraph" w:styleId="Textoindependiente2">
    <w:name w:val="Body Text 2"/>
    <w:basedOn w:val="Standard"/>
    <w:pPr>
      <w:tabs>
        <w:tab w:val="left" w:pos="-720"/>
      </w:tabs>
      <w:ind w:right="851"/>
      <w:jc w:val="both"/>
    </w:pPr>
    <w:rPr>
      <w:rFonts w:ascii="Arial" w:eastAsia="Arial" w:hAnsi="Arial" w:cs="Arial"/>
      <w:spacing w:val="-3"/>
      <w:sz w:val="28"/>
    </w:rPr>
  </w:style>
  <w:style w:type="paragraph" w:styleId="Textoindependiente3">
    <w:name w:val="Body Text 3"/>
    <w:basedOn w:val="Standard"/>
    <w:rPr>
      <w:rFonts w:ascii="Arial" w:eastAsia="Arial" w:hAnsi="Arial" w:cs="Arial"/>
      <w:sz w:val="28"/>
    </w:rPr>
  </w:style>
  <w:style w:type="paragraph" w:styleId="Textodebloque">
    <w:name w:val="Block Text"/>
    <w:basedOn w:val="Standard"/>
    <w:pPr>
      <w:ind w:left="851" w:right="851"/>
      <w:jc w:val="both"/>
    </w:pPr>
    <w:rPr>
      <w:rFonts w:ascii="Bookman Old Style" w:eastAsia="Bookman Old Style" w:hAnsi="Bookman Old Style" w:cs="Bookman Old Style"/>
      <w:sz w:val="22"/>
    </w:rPr>
  </w:style>
  <w:style w:type="paragraph" w:customStyle="1" w:styleId="Documento1">
    <w:name w:val="Documento 1"/>
    <w:pPr>
      <w:keepNext/>
      <w:keepLines/>
      <w:tabs>
        <w:tab w:val="left" w:pos="-720"/>
      </w:tabs>
      <w:suppressAutoHyphens/>
    </w:pPr>
    <w:rPr>
      <w:rFonts w:ascii="Courier" w:eastAsia="Courier" w:hAnsi="Courier" w:cs="Courier"/>
      <w:kern w:val="3"/>
      <w:sz w:val="24"/>
      <w:lang w:val="en-US" w:eastAsia="zh-CN"/>
    </w:rPr>
  </w:style>
  <w:style w:type="paragraph" w:styleId="Textocomentario">
    <w:name w:val="annotation text"/>
    <w:basedOn w:val="Standard"/>
    <w:rPr>
      <w:rFonts w:ascii="Arial" w:eastAsia="Arial" w:hAnsi="Arial" w:cs="Arial"/>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eastAsia="Arial" w:hAnsi="Arial" w:cs="Arial"/>
      <w:b/>
    </w:rPr>
  </w:style>
  <w:style w:type="paragraph" w:customStyle="1" w:styleId="Car">
    <w:name w:val="Car"/>
    <w:basedOn w:val="Standard"/>
    <w:pPr>
      <w:spacing w:after="160" w:line="240" w:lineRule="exact"/>
    </w:pPr>
    <w:rPr>
      <w:rFonts w:ascii="Tahoma" w:eastAsia="Tahoma" w:hAnsi="Tahoma" w:cs="Tahoma"/>
      <w:sz w:val="20"/>
      <w:lang w:val="en-US"/>
    </w:rPr>
  </w:style>
  <w:style w:type="paragraph" w:styleId="NormalWeb">
    <w:name w:val="Normal (Web)"/>
    <w:basedOn w:val="Standard"/>
    <w:pPr>
      <w:spacing w:before="100" w:after="100"/>
    </w:pPr>
    <w:rPr>
      <w:rFonts w:ascii="Times New Roman" w:eastAsia="Times New Roman" w:hAnsi="Times New Roman" w:cs="Times New Roman"/>
      <w:szCs w:val="24"/>
      <w:lang w:val="es-CO"/>
    </w:rPr>
  </w:style>
  <w:style w:type="paragraph" w:styleId="Sinespaciado">
    <w:name w:val="No Spacing"/>
    <w:pPr>
      <w:suppressAutoHyphens/>
    </w:pPr>
    <w:rPr>
      <w:rFonts w:ascii="Courier New" w:eastAsia="Courier New" w:hAnsi="Courier New" w:cs="Courier New"/>
      <w:kern w:val="3"/>
      <w:sz w:val="24"/>
      <w:lang w:val="es-ES" w:eastAsia="zh-CN"/>
    </w:rPr>
  </w:style>
  <w:style w:type="paragraph" w:customStyle="1" w:styleId="WW-Default">
    <w:name w:val="WW-Default"/>
    <w:pPr>
      <w:suppressAutoHyphens/>
      <w:autoSpaceDE w:val="0"/>
    </w:pPr>
    <w:rPr>
      <w:rFonts w:ascii="Verdana" w:eastAsia="Verdana" w:hAnsi="Verdana" w:cs="Verdana"/>
      <w:color w:val="000000"/>
      <w:kern w:val="3"/>
      <w:sz w:val="24"/>
      <w:szCs w:val="24"/>
      <w:lang w:val="es-ES" w:eastAsia="zh-CN"/>
    </w:rPr>
  </w:style>
  <w:style w:type="paragraph" w:styleId="Prrafodelista">
    <w:name w:val="List Paragraph"/>
    <w:basedOn w:val="Standard"/>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eastAsia="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eastAsia="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eastAsia="Arial" w:hAnsi="Arial" w:cs="Arial"/>
      <w:kern w:val="3"/>
      <w:sz w:val="24"/>
      <w:szCs w:val="24"/>
      <w:lang w:val="en-US" w:eastAsia="zh-CN"/>
    </w:rPr>
  </w:style>
  <w:style w:type="paragraph" w:styleId="Textodeglobo">
    <w:name w:val="Balloon Text"/>
    <w:basedOn w:val="Normal"/>
    <w:rPr>
      <w:rFonts w:ascii="Tahoma" w:eastAsia="Tahoma" w:hAnsi="Tahoma" w:cs="Mangal"/>
      <w:sz w:val="16"/>
      <w:szCs w:val="14"/>
    </w:rPr>
  </w:style>
  <w:style w:type="paragraph" w:styleId="Asuntodelcomentario">
    <w:name w:val="annotation subject"/>
    <w:basedOn w:val="Textocomentario"/>
    <w:next w:val="Textocomentario"/>
    <w:pPr>
      <w:widowControl w:val="0"/>
    </w:pPr>
    <w:rPr>
      <w:rFonts w:ascii="Liberation Serif" w:eastAsia="Liberation Serif" w:hAnsi="Liberation Serif" w:cs="Mangal"/>
      <w:b/>
      <w:bCs/>
      <w:szCs w:val="18"/>
      <w:lang w:bidi="hi-IN"/>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eastAsia="Courier New" w:hAnsi="Courier New" w:cs="Courier New"/>
      <w:kern w:val="0"/>
      <w:sz w:val="20"/>
      <w:szCs w:val="20"/>
      <w:lang w:val="es-CO" w:eastAsia="es-CO" w:bidi="ar-SA"/>
    </w:rPr>
  </w:style>
  <w:style w:type="paragraph" w:styleId="Revisin">
    <w:name w:val="Revision"/>
    <w:pPr>
      <w:suppressAutoHyphens/>
    </w:pPr>
    <w:rPr>
      <w:rFonts w:cs="Mangal"/>
      <w:kern w:val="3"/>
      <w:sz w:val="24"/>
      <w:szCs w:val="21"/>
      <w:lang w:val="es-ES" w:eastAsia="zh-CN" w:bidi="hi-IN"/>
    </w:rPr>
  </w:style>
  <w:style w:type="paragraph" w:customStyle="1" w:styleId="Estilo1">
    <w:name w:val="Estilo1"/>
    <w:basedOn w:val="Normal"/>
    <w:pPr>
      <w:widowControl/>
    </w:pPr>
    <w:rPr>
      <w:rFonts w:ascii="Arial" w:eastAsia="Arial" w:hAnsi="Arial" w:cs="Arial"/>
      <w:sz w:val="20"/>
      <w:szCs w:val="20"/>
      <w:lang w:bidi="ar-SA"/>
    </w:rPr>
  </w:style>
  <w:style w:type="paragraph" w:styleId="Textonotaalfinal">
    <w:name w:val="endnote text"/>
    <w:basedOn w:val="Normal"/>
    <w:rPr>
      <w:rFonts w:cs="Mangal"/>
      <w:sz w:val="20"/>
      <w:szCs w:val="18"/>
    </w:rPr>
  </w:style>
  <w:style w:type="paragraph" w:styleId="Textonotapie">
    <w:name w:val="footnote text"/>
    <w:basedOn w:val="Normal"/>
    <w:rPr>
      <w:rFonts w:cs="Mangal"/>
      <w:sz w:val="20"/>
      <w:szCs w:val="18"/>
    </w:rPr>
  </w:style>
  <w:style w:type="character" w:customStyle="1" w:styleId="Ttulo1Car">
    <w:name w:val="Título 1 Car"/>
    <w:rPr>
      <w:rFonts w:ascii="Calibri Light" w:eastAsia="Times New Roman" w:hAnsi="Calibri Light" w:cs="Mangal"/>
      <w:b/>
      <w:bCs/>
      <w:kern w:val="3"/>
      <w:sz w:val="29"/>
      <w:szCs w:val="29"/>
      <w:lang w:bidi="hi-IN"/>
    </w:rPr>
  </w:style>
  <w:style w:type="character" w:customStyle="1" w:styleId="Ttulo2Car">
    <w:name w:val="Título 2 Car"/>
    <w:rPr>
      <w:rFonts w:ascii="Calibri Light" w:eastAsia="Times New Roman" w:hAnsi="Calibri Light" w:cs="Mangal"/>
      <w:b/>
      <w:bCs/>
      <w:i/>
      <w:iCs/>
      <w:sz w:val="25"/>
      <w:szCs w:val="25"/>
      <w:lang w:bidi="hi-IN"/>
    </w:rPr>
  </w:style>
  <w:style w:type="character" w:customStyle="1" w:styleId="Ttulo3Car">
    <w:name w:val="Título 3 Car"/>
    <w:rPr>
      <w:rFonts w:ascii="Calibri Light" w:eastAsia="Times New Roman" w:hAnsi="Calibri Light" w:cs="Mangal"/>
      <w:b/>
      <w:bCs/>
      <w:sz w:val="23"/>
      <w:szCs w:val="23"/>
      <w:lang w:bidi="hi-IN"/>
    </w:rPr>
  </w:style>
  <w:style w:type="character" w:customStyle="1" w:styleId="Ttulo4Car">
    <w:name w:val="Título 4 Car"/>
    <w:rPr>
      <w:rFonts w:ascii="Calibri" w:eastAsia="Times New Roman" w:hAnsi="Calibri" w:cs="Mangal"/>
      <w:b/>
      <w:bCs/>
      <w:sz w:val="25"/>
      <w:szCs w:val="25"/>
      <w:lang w:bidi="hi-IN"/>
    </w:rPr>
  </w:style>
  <w:style w:type="character" w:customStyle="1" w:styleId="Ttulo5Car">
    <w:name w:val="Título 5 Car"/>
    <w:rPr>
      <w:rFonts w:ascii="Calibri" w:eastAsia="Times New Roman" w:hAnsi="Calibri" w:cs="Mangal"/>
      <w:b/>
      <w:bCs/>
      <w:i/>
      <w:iCs/>
      <w:sz w:val="23"/>
      <w:szCs w:val="23"/>
      <w:lang w:bidi="hi-IN"/>
    </w:rPr>
  </w:style>
  <w:style w:type="character" w:customStyle="1" w:styleId="Ttulo6Car">
    <w:name w:val="Título 6 Car"/>
    <w:rPr>
      <w:rFonts w:ascii="Calibri" w:eastAsia="Times New Roman" w:hAnsi="Calibri" w:cs="Mangal"/>
      <w:b/>
      <w:bCs/>
      <w:sz w:val="20"/>
      <w:szCs w:val="20"/>
      <w:lang w:bidi="hi-IN"/>
    </w:rPr>
  </w:style>
  <w:style w:type="character" w:customStyle="1" w:styleId="Ttulo7Car">
    <w:name w:val="Título 7 Car"/>
    <w:rPr>
      <w:rFonts w:ascii="Calibri" w:eastAsia="Times New Roman" w:hAnsi="Calibri" w:cs="Mangal"/>
      <w:sz w:val="21"/>
      <w:szCs w:val="21"/>
      <w:lang w:bidi="hi-IN"/>
    </w:rPr>
  </w:style>
  <w:style w:type="character" w:customStyle="1" w:styleId="Ttulo8Car">
    <w:name w:val="Título 8 Car"/>
    <w:rPr>
      <w:rFonts w:ascii="Calibri" w:eastAsia="Times New Roman" w:hAnsi="Calibri" w:cs="Mangal"/>
      <w:i/>
      <w:iCs/>
      <w:sz w:val="21"/>
      <w:szCs w:val="21"/>
      <w:lang w:bidi="hi-IN"/>
    </w:rPr>
  </w:style>
  <w:style w:type="character" w:customStyle="1" w:styleId="Ttulo9Car">
    <w:name w:val="Título 9 Car"/>
    <w:rPr>
      <w:rFonts w:ascii="Calibri Light" w:eastAsia="Times New Roman" w:hAnsi="Calibri Light" w:cs="Mangal"/>
      <w:sz w:val="20"/>
      <w:szCs w:val="20"/>
      <w:lang w:bidi="hi-IN"/>
    </w:rPr>
  </w:style>
  <w:style w:type="character" w:customStyle="1" w:styleId="EncabezadoCar">
    <w:name w:val="Encabezado Car"/>
    <w:rPr>
      <w:rFonts w:cs="Mangal"/>
      <w:sz w:val="21"/>
      <w:szCs w:val="21"/>
    </w:rPr>
  </w:style>
  <w:style w:type="character" w:customStyle="1" w:styleId="PiedepginaCar">
    <w:name w:val="Pie de página Car"/>
    <w:rPr>
      <w:rFonts w:cs="Mangal"/>
      <w:sz w:val="21"/>
      <w:szCs w:val="21"/>
    </w:rPr>
  </w:style>
  <w:style w:type="character" w:customStyle="1" w:styleId="Textoindependiente2Car">
    <w:name w:val="Texto independiente 2 Car"/>
    <w:rPr>
      <w:rFonts w:cs="Mangal"/>
      <w:sz w:val="21"/>
      <w:szCs w:val="21"/>
      <w:lang w:bidi="hi-IN"/>
    </w:rPr>
  </w:style>
  <w:style w:type="character" w:customStyle="1" w:styleId="Textoindependiente3Car">
    <w:name w:val="Texto independiente 3 Car"/>
    <w:rPr>
      <w:rFonts w:cs="Mangal"/>
      <w:sz w:val="14"/>
      <w:szCs w:val="14"/>
      <w:lang w:bidi="hi-IN"/>
    </w:rPr>
  </w:style>
  <w:style w:type="character" w:customStyle="1" w:styleId="TextocomentarioCar">
    <w:name w:val="Texto comentario Car"/>
    <w:rPr>
      <w:rFonts w:ascii="Arial" w:eastAsia="Arial" w:hAnsi="Arial" w:cs="Arial"/>
      <w:sz w:val="20"/>
      <w:szCs w:val="20"/>
      <w:lang w:bidi="ar-SA"/>
    </w:rPr>
  </w:style>
  <w:style w:type="character" w:customStyle="1" w:styleId="TextodegloboCar">
    <w:name w:val="Texto de globo Car"/>
    <w:rPr>
      <w:rFonts w:ascii="Tahoma" w:eastAsia="Tahoma" w:hAnsi="Tahoma" w:cs="Mangal"/>
      <w:sz w:val="14"/>
      <w:szCs w:val="14"/>
    </w:rPr>
  </w:style>
  <w:style w:type="character" w:customStyle="1" w:styleId="WW8Num1z0">
    <w:name w:val="WW8Num1z0"/>
    <w:rPr>
      <w:rFonts w:ascii="Arial" w:eastAsia="Arial" w:hAnsi="Arial" w:cs="Arial"/>
      <w:spacing w:val="6"/>
      <w:sz w:val="22"/>
    </w:rPr>
  </w:style>
  <w:style w:type="character" w:customStyle="1" w:styleId="WW8Num2z0">
    <w:name w:val="WW8Num2z0"/>
    <w:rPr>
      <w:rFonts w:ascii="Arial" w:eastAsia="Arial" w:hAnsi="Arial" w:cs="Arial"/>
      <w:sz w:val="24"/>
    </w:rPr>
  </w:style>
  <w:style w:type="character" w:customStyle="1" w:styleId="WW8Num5z0">
    <w:name w:val="WW8Num5z0"/>
  </w:style>
  <w:style w:type="character" w:customStyle="1" w:styleId="WW8Num8z0">
    <w:name w:val="WW8Num8z0"/>
    <w:rPr>
      <w:rFonts w:ascii="Arial" w:eastAsia="Arial" w:hAnsi="Arial" w:cs="Arial"/>
      <w:sz w:val="22"/>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eastAsia="Bookman Old Style" w:hAnsi="Bookman Old Style" w:cs="Bookman Old Style"/>
      <w:sz w:val="22"/>
    </w:rPr>
  </w:style>
  <w:style w:type="character" w:customStyle="1" w:styleId="CharacterStyle2">
    <w:name w:val="Character Style 2"/>
    <w:rPr>
      <w:sz w:val="26"/>
    </w:rPr>
  </w:style>
  <w:style w:type="character" w:styleId="Refdecomentario">
    <w:name w:val="annotation reference"/>
    <w:rPr>
      <w:rFonts w:cs="Times New Roman"/>
      <w:sz w:val="16"/>
      <w:szCs w:val="16"/>
    </w:rPr>
  </w:style>
  <w:style w:type="character" w:customStyle="1" w:styleId="AsuntodelcomentarioCar">
    <w:name w:val="Asunto del comentario Car"/>
    <w:rPr>
      <w:rFonts w:ascii="Arial" w:eastAsia="Arial" w:hAnsi="Arial" w:cs="Mangal"/>
      <w:b/>
      <w:bCs/>
      <w:sz w:val="18"/>
      <w:szCs w:val="18"/>
      <w:lang w:bidi="ar-SA"/>
    </w:rPr>
  </w:style>
  <w:style w:type="character" w:customStyle="1" w:styleId="StandardCar">
    <w:name w:val="Standard Car"/>
    <w:rPr>
      <w:rFonts w:ascii="Courier New" w:eastAsia="Courier New" w:hAnsi="Courier New" w:cs="Courier New"/>
      <w:sz w:val="20"/>
      <w:szCs w:val="20"/>
      <w:lang w:bidi="ar-SA"/>
    </w:rPr>
  </w:style>
  <w:style w:type="character" w:customStyle="1" w:styleId="HTMLconformatoprevioCar">
    <w:name w:val="HTML con formato previo Car"/>
    <w:basedOn w:val="Fuentedeprrafopredeter"/>
    <w:rPr>
      <w:rFonts w:ascii="Courier New" w:eastAsia="Courier New" w:hAnsi="Courier New" w:cs="Courier New"/>
    </w:rPr>
  </w:style>
  <w:style w:type="character" w:styleId="Hipervnculo">
    <w:name w:val="Hyperlink"/>
    <w:basedOn w:val="Fuentedeprrafopredeter"/>
    <w:rPr>
      <w:color w:val="0000FF"/>
      <w:u w:val="single"/>
    </w:rPr>
  </w:style>
  <w:style w:type="character" w:customStyle="1" w:styleId="TextonotaalfinalCar">
    <w:name w:val="Texto nota al final Car"/>
    <w:basedOn w:val="Fuentedeprrafopredeter"/>
    <w:rPr>
      <w:rFonts w:cs="Mangal"/>
      <w:kern w:val="3"/>
      <w:szCs w:val="18"/>
      <w:lang w:val="es-ES" w:eastAsia="zh-CN" w:bidi="hi-IN"/>
    </w:rPr>
  </w:style>
  <w:style w:type="character" w:styleId="Refdenotaalfinal">
    <w:name w:val="endnote reference"/>
    <w:basedOn w:val="Fuentedeprrafopredeter"/>
    <w:rPr>
      <w:position w:val="0"/>
      <w:vertAlign w:val="superscript"/>
    </w:rPr>
  </w:style>
  <w:style w:type="character" w:customStyle="1" w:styleId="TextonotapieCar">
    <w:name w:val="Texto nota pie Car"/>
    <w:basedOn w:val="Fuentedeprrafopredeter"/>
    <w:rPr>
      <w:rFonts w:cs="Mangal"/>
      <w:kern w:val="3"/>
      <w:szCs w:val="18"/>
      <w:lang w:val="es-ES" w:eastAsia="zh-CN" w:bidi="hi-IN"/>
    </w:rPr>
  </w:style>
  <w:style w:type="character" w:styleId="Refdenotaalpie">
    <w:name w:val="footnote reference"/>
    <w:basedOn w:val="Fuentedeprrafopredeter"/>
    <w:rPr>
      <w:position w:val="0"/>
      <w:vertAlign w:val="superscript"/>
    </w:rPr>
  </w:style>
  <w:style w:type="character" w:styleId="Textoennegrita">
    <w:name w:val="Strong"/>
    <w:basedOn w:val="Fuentedeprrafopredeter"/>
    <w:rPr>
      <w:b/>
      <w:bCs/>
    </w:rPr>
  </w:style>
  <w:style w:type="paragraph" w:styleId="Textoindependiente">
    <w:name w:val="Body Text"/>
    <w:basedOn w:val="Normal"/>
    <w:pPr>
      <w:spacing w:after="120"/>
    </w:pPr>
    <w:rPr>
      <w:rFonts w:cs="Mangal"/>
      <w:szCs w:val="21"/>
    </w:rPr>
  </w:style>
  <w:style w:type="character" w:customStyle="1" w:styleId="TextoindependienteCar">
    <w:name w:val="Texto independiente Car"/>
    <w:basedOn w:val="Fuentedeprrafopredeter"/>
    <w:rPr>
      <w:rFonts w:cs="Mangal"/>
      <w:kern w:val="3"/>
      <w:sz w:val="24"/>
      <w:szCs w:val="21"/>
      <w:lang w:val="es-ES" w:eastAsia="zh-CN" w:bidi="hi-IN"/>
    </w:rPr>
  </w:style>
  <w:style w:type="paragraph" w:customStyle="1" w:styleId="pa20">
    <w:name w:val="pa20"/>
    <w:basedOn w:val="Normal"/>
    <w:pPr>
      <w:widowControl/>
      <w:spacing w:before="100" w:after="100"/>
      <w:textAlignment w:val="auto"/>
    </w:pPr>
    <w:rPr>
      <w:rFonts w:ascii="Times New Roman" w:hAnsi="Times New Roman" w:cs="Times New Roman"/>
      <w:kern w:val="0"/>
      <w:lang w:val="es-CO" w:eastAsia="es-CO" w:bidi="ar-SA"/>
    </w:rPr>
  </w:style>
  <w:style w:type="paragraph" w:customStyle="1" w:styleId="pa6">
    <w:name w:val="pa6"/>
    <w:basedOn w:val="Normal"/>
    <w:pPr>
      <w:widowControl/>
      <w:spacing w:before="100" w:after="100"/>
      <w:textAlignment w:val="auto"/>
    </w:pPr>
    <w:rPr>
      <w:rFonts w:ascii="Times New Roman" w:hAnsi="Times New Roman" w:cs="Times New Roman"/>
      <w:kern w:val="0"/>
      <w:lang w:val="es-CO" w:eastAsia="es-CO" w:bidi="ar-SA"/>
    </w:rPr>
  </w:style>
  <w:style w:type="character" w:customStyle="1" w:styleId="grame">
    <w:name w:val="grame"/>
    <w:basedOn w:val="Fuentedeprrafopredete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 w:type="numbering" w:customStyle="1" w:styleId="WW8Num2">
    <w:name w:val="WW8Num2"/>
    <w:basedOn w:val="Sinlista"/>
    <w:pPr>
      <w:numPr>
        <w:numId w:val="1"/>
      </w:numPr>
    </w:pPr>
  </w:style>
  <w:style w:type="numbering" w:customStyle="1" w:styleId="WW8Num14">
    <w:name w:val="WW8Num14"/>
    <w:basedOn w:val="Sinlista"/>
    <w:pPr>
      <w:numPr>
        <w:numId w:val="2"/>
      </w:numPr>
    </w:pPr>
  </w:style>
  <w:style w:type="numbering" w:customStyle="1" w:styleId="WW8Num1">
    <w:name w:val="WW8Num1"/>
    <w:basedOn w:val="Sinlista"/>
    <w:pPr>
      <w:numPr>
        <w:numId w:val="3"/>
      </w:numPr>
    </w:pPr>
  </w:style>
  <w:style w:type="numbering" w:customStyle="1" w:styleId="WW8Num10">
    <w:name w:val="WW8Num10"/>
    <w:basedOn w:val="Sinlista"/>
    <w:pPr>
      <w:numPr>
        <w:numId w:val="4"/>
      </w:numPr>
    </w:pPr>
  </w:style>
  <w:style w:type="numbering" w:customStyle="1" w:styleId="WW8Num18">
    <w:name w:val="WW8Num18"/>
    <w:basedOn w:val="Sinlista"/>
    <w:pPr>
      <w:numPr>
        <w:numId w:val="5"/>
      </w:numPr>
    </w:pPr>
  </w:style>
  <w:style w:type="numbering" w:customStyle="1" w:styleId="WW8Num8">
    <w:name w:val="WW8Num8"/>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7">
    <w:name w:val="WW8Num7"/>
    <w:basedOn w:val="Sinlista"/>
    <w:pPr>
      <w:numPr>
        <w:numId w:val="9"/>
      </w:numPr>
    </w:pPr>
  </w:style>
  <w:style w:type="numbering" w:customStyle="1" w:styleId="WW8Num5">
    <w:name w:val="WW8Num5"/>
    <w:basedOn w:val="Sinlista"/>
    <w:pPr>
      <w:numPr>
        <w:numId w:val="10"/>
      </w:numPr>
    </w:pPr>
  </w:style>
  <w:style w:type="numbering" w:customStyle="1" w:styleId="WW8Num13">
    <w:name w:val="WW8Num13"/>
    <w:basedOn w:val="Sinlista"/>
    <w:pPr>
      <w:numPr>
        <w:numId w:val="11"/>
      </w:numPr>
    </w:pPr>
  </w:style>
  <w:style w:type="numbering" w:customStyle="1" w:styleId="WW8Num6">
    <w:name w:val="WW8Num6"/>
    <w:basedOn w:val="Sinlista"/>
    <w:pPr>
      <w:numPr>
        <w:numId w:val="12"/>
      </w:numPr>
    </w:pPr>
  </w:style>
  <w:style w:type="numbering" w:customStyle="1" w:styleId="WW8Num12">
    <w:name w:val="WW8Num12"/>
    <w:basedOn w:val="Sinlista"/>
    <w:pPr>
      <w:numPr>
        <w:numId w:val="13"/>
      </w:numPr>
    </w:pPr>
  </w:style>
  <w:style w:type="numbering" w:customStyle="1" w:styleId="WW8Num11">
    <w:name w:val="WW8Num11"/>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9">
    <w:name w:val="WW8Num19"/>
    <w:basedOn w:val="Sinlista"/>
    <w:pPr>
      <w:numPr>
        <w:numId w:val="17"/>
      </w:numPr>
    </w:pPr>
  </w:style>
  <w:style w:type="numbering" w:customStyle="1" w:styleId="WW8Num9">
    <w:name w:val="WW8Num9"/>
    <w:basedOn w:val="Sinlista"/>
    <w:pPr>
      <w:numPr>
        <w:numId w:val="18"/>
      </w:numPr>
    </w:pPr>
  </w:style>
  <w:style w:type="numbering" w:customStyle="1" w:styleId="WW8Num17">
    <w:name w:val="WW8Num17"/>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5828</Words>
  <Characters>32054</Characters>
  <Application>Microsoft Office Word</Application>
  <DocSecurity>0</DocSecurity>
  <Lines>267</Lines>
  <Paragraphs>75</Paragraphs>
  <ScaleCrop>false</ScaleCrop>
  <Company/>
  <LinksUpToDate>false</LinksUpToDate>
  <CharactersWithSpaces>37807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subject/>
  <dc:creator>Ministerio de Transporte</dc:creator>
  <dc:description/>
  <cp:lastModifiedBy>Microsoft Office User</cp:lastModifiedBy>
  <cp:revision>2</cp:revision>
  <cp:lastPrinted>2022-12-28T20:42:00Z</cp:lastPrinted>
  <dcterms:created xsi:type="dcterms:W3CDTF">2022-12-28T22:29:00Z</dcterms:created>
  <dcterms:modified xsi:type="dcterms:W3CDTF">2022-12-28T22:29:00Z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