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8657" w14:textId="77777777" w:rsidR="0089596F" w:rsidRDefault="00E054F8">
      <w:pPr>
        <w:pStyle w:val="Standard"/>
        <w:autoSpaceDE w:val="0"/>
        <w:jc w:val="center"/>
      </w:pPr>
      <w:r>
        <w:rPr>
          <w:rFonts w:ascii="Work Sans" w:eastAsia="DengXian Light" w:hAnsi="Work Sans" w:cs="Arial"/>
          <w:b/>
          <w:bCs/>
          <w:color w:val="000000"/>
          <w:sz w:val="20"/>
        </w:rPr>
        <w:t>LA MINISTRA DE TRANSPORTE</w:t>
      </w:r>
    </w:p>
    <w:p w14:paraId="19828708" w14:textId="77777777" w:rsidR="0089596F" w:rsidRDefault="0089596F">
      <w:pPr>
        <w:pStyle w:val="Standard"/>
        <w:autoSpaceDE w:val="0"/>
        <w:jc w:val="center"/>
        <w:rPr>
          <w:rFonts w:ascii="Work Sans" w:eastAsia="DengXian Light" w:hAnsi="Work Sans" w:cs="Arial"/>
          <w:b/>
          <w:bCs/>
          <w:color w:val="000000"/>
          <w:sz w:val="20"/>
        </w:rPr>
      </w:pPr>
    </w:p>
    <w:p w14:paraId="3F830610" w14:textId="77777777" w:rsidR="0089596F" w:rsidRDefault="0089596F">
      <w:pPr>
        <w:pStyle w:val="Standard"/>
        <w:autoSpaceDE w:val="0"/>
        <w:jc w:val="center"/>
        <w:rPr>
          <w:rFonts w:ascii="Work Sans" w:eastAsia="DengXian Light" w:hAnsi="Work Sans" w:cs="Arial"/>
          <w:b/>
          <w:bCs/>
          <w:color w:val="000000"/>
          <w:sz w:val="20"/>
        </w:rPr>
      </w:pPr>
    </w:p>
    <w:p w14:paraId="208C6A95" w14:textId="77777777" w:rsidR="0089596F" w:rsidRDefault="00E054F8">
      <w:pPr>
        <w:widowControl/>
        <w:ind w:right="40"/>
        <w:jc w:val="both"/>
        <w:textAlignment w:val="auto"/>
        <w:rPr>
          <w:rFonts w:ascii="Work Sans" w:hAnsi="Work Sans" w:cs="Arial"/>
          <w:color w:val="000000"/>
          <w:sz w:val="20"/>
          <w:szCs w:val="20"/>
          <w:lang w:bidi="ar-SA"/>
        </w:rPr>
      </w:pPr>
      <w:r>
        <w:rPr>
          <w:rFonts w:ascii="Work Sans" w:hAnsi="Work Sans" w:cs="Arial"/>
          <w:color w:val="000000"/>
          <w:sz w:val="20"/>
          <w:szCs w:val="20"/>
          <w:lang w:bidi="ar-SA"/>
        </w:rPr>
        <w:t xml:space="preserve">En ejercicio de las facultades legales y en especial las conferidas por el artículo 21 de la Ley 105 de 1993 modificado parcialmente por el artículo 1 de la Ley 787 de 2002, numerales 6.14 y 6.15 del </w:t>
      </w:r>
      <w:r>
        <w:rPr>
          <w:rFonts w:ascii="Work Sans" w:hAnsi="Work Sans" w:cs="Arial"/>
          <w:color w:val="000000"/>
          <w:sz w:val="20"/>
          <w:szCs w:val="20"/>
          <w:lang w:bidi="ar-SA"/>
        </w:rPr>
        <w:t>artículo 6 del Decreto 087 de 2011, y</w:t>
      </w:r>
    </w:p>
    <w:p w14:paraId="45E196A4" w14:textId="77777777" w:rsidR="0089596F" w:rsidRDefault="0089596F">
      <w:pPr>
        <w:pStyle w:val="Standard"/>
        <w:autoSpaceDE w:val="0"/>
        <w:jc w:val="center"/>
        <w:rPr>
          <w:rFonts w:ascii="Work Sans" w:eastAsia="DengXian Light" w:hAnsi="Work Sans" w:cs="Arial"/>
          <w:b/>
          <w:bCs/>
          <w:color w:val="000000"/>
          <w:sz w:val="20"/>
        </w:rPr>
      </w:pPr>
    </w:p>
    <w:p w14:paraId="7A5CFA79" w14:textId="77777777" w:rsidR="0089596F" w:rsidRDefault="00E054F8">
      <w:pPr>
        <w:pStyle w:val="Standard"/>
        <w:autoSpaceDE w:val="0"/>
        <w:jc w:val="center"/>
        <w:rPr>
          <w:rFonts w:ascii="Work Sans" w:eastAsia="DengXian Light" w:hAnsi="Work Sans" w:cs="Arial"/>
          <w:b/>
          <w:bCs/>
          <w:color w:val="000000"/>
          <w:sz w:val="20"/>
        </w:rPr>
      </w:pPr>
      <w:r>
        <w:rPr>
          <w:rFonts w:ascii="Work Sans" w:eastAsia="DengXian Light" w:hAnsi="Work Sans" w:cs="Arial"/>
          <w:b/>
          <w:bCs/>
          <w:color w:val="000000"/>
          <w:sz w:val="20"/>
        </w:rPr>
        <w:t>CONSIDERANDO</w:t>
      </w:r>
    </w:p>
    <w:p w14:paraId="5C01FF8C" w14:textId="77777777" w:rsidR="0089596F" w:rsidRDefault="0089596F">
      <w:pPr>
        <w:pStyle w:val="Standard"/>
        <w:autoSpaceDE w:val="0"/>
        <w:jc w:val="center"/>
        <w:rPr>
          <w:rFonts w:ascii="Work Sans" w:eastAsia="DengXian Light" w:hAnsi="Work Sans" w:cs="Arial"/>
          <w:b/>
          <w:bCs/>
          <w:color w:val="000000"/>
          <w:sz w:val="20"/>
        </w:rPr>
      </w:pPr>
    </w:p>
    <w:p w14:paraId="53B586FC" w14:textId="77777777" w:rsidR="0089596F" w:rsidRDefault="00E054F8">
      <w:pPr>
        <w:widowControl/>
        <w:tabs>
          <w:tab w:val="left" w:pos="0"/>
        </w:tabs>
        <w:jc w:val="both"/>
        <w:textAlignment w:val="auto"/>
      </w:pPr>
      <w:r>
        <w:rPr>
          <w:rFonts w:ascii="Work Sans" w:eastAsia="DengXian Light" w:hAnsi="Work Sans" w:cs="Arial"/>
          <w:color w:val="000000"/>
          <w:kern w:val="0"/>
          <w:sz w:val="20"/>
          <w:szCs w:val="20"/>
          <w:lang w:val="es" w:eastAsia="es-ES" w:bidi="ar-SA"/>
        </w:rPr>
        <w:t xml:space="preserve">Que la Ley 105 de 1993 </w:t>
      </w:r>
      <w:r>
        <w:rPr>
          <w:rFonts w:ascii="Work Sans" w:eastAsia="DengXian Light" w:hAnsi="Work Sans" w:cs="Arial"/>
          <w:i/>
          <w:color w:val="000000"/>
          <w:kern w:val="0"/>
          <w:sz w:val="20"/>
          <w:szCs w:val="20"/>
          <w:lang w:val="es" w:eastAsia="es-ES" w:bidi="ar-SA"/>
        </w:rPr>
        <w:t>"Por la cual se dictan disposiciones básicas sobre el transporte, se redistribuyen competencias y recursos entre la Nación y las Entidades Territoriales, se reglamenta la planeació</w:t>
      </w:r>
      <w:r>
        <w:rPr>
          <w:rFonts w:ascii="Work Sans" w:eastAsia="DengXian Light" w:hAnsi="Work Sans" w:cs="Arial"/>
          <w:i/>
          <w:color w:val="000000"/>
          <w:kern w:val="0"/>
          <w:sz w:val="20"/>
          <w:szCs w:val="20"/>
          <w:lang w:val="es" w:eastAsia="es-ES" w:bidi="ar-SA"/>
        </w:rPr>
        <w:t>n en el sector transporte y se dictan otras disposiciones</w:t>
      </w:r>
      <w:r>
        <w:rPr>
          <w:rFonts w:ascii="Work Sans" w:eastAsia="DengXian Light" w:hAnsi="Work Sans" w:cs="Arial"/>
          <w:color w:val="000000"/>
          <w:kern w:val="0"/>
          <w:sz w:val="20"/>
          <w:szCs w:val="20"/>
          <w:lang w:val="es" w:eastAsia="es-ES" w:bidi="ar-SA"/>
        </w:rPr>
        <w:t xml:space="preserve">" en su artículo 21 </w:t>
      </w:r>
      <w:r>
        <w:rPr>
          <w:rFonts w:ascii="Work Sans" w:hAnsi="Work Sans" w:cs="Arial"/>
          <w:color w:val="000000"/>
          <w:sz w:val="20"/>
          <w:szCs w:val="20"/>
          <w:lang w:bidi="ar-SA"/>
        </w:rPr>
        <w:t xml:space="preserve">modificado por el artículo 1° de la </w:t>
      </w:r>
      <w:hyperlink r:id="rId7" w:tooltip="Haga clic para abrir TODA la Ley 787 de 2002" w:history="1">
        <w:r>
          <w:rPr>
            <w:rFonts w:ascii="Work Sans" w:hAnsi="Work Sans" w:cs="Arial"/>
            <w:color w:val="000000"/>
            <w:sz w:val="20"/>
            <w:szCs w:val="20"/>
            <w:lang w:bidi="ar-SA"/>
          </w:rPr>
          <w:t xml:space="preserve">Ley 787 de </w:t>
        </w:r>
        <w:r>
          <w:rPr>
            <w:rFonts w:ascii="Work Sans" w:hAnsi="Work Sans" w:cs="Arial"/>
            <w:color w:val="000000"/>
            <w:sz w:val="20"/>
            <w:szCs w:val="20"/>
            <w:lang w:bidi="ar-SA"/>
          </w:rPr>
          <w:t>2002</w:t>
        </w:r>
      </w:hyperlink>
      <w:r>
        <w:rPr>
          <w:rFonts w:ascii="Work Sans" w:hAnsi="Work Sans" w:cs="Arial"/>
          <w:color w:val="000000"/>
          <w:sz w:val="20"/>
          <w:szCs w:val="20"/>
          <w:lang w:bidi="ar-SA"/>
        </w:rPr>
        <w:t xml:space="preserve">, </w:t>
      </w:r>
      <w:r>
        <w:rPr>
          <w:rFonts w:ascii="Work Sans" w:eastAsia="DengXian Light" w:hAnsi="Work Sans" w:cs="Arial"/>
          <w:color w:val="000000"/>
          <w:kern w:val="0"/>
          <w:sz w:val="20"/>
          <w:szCs w:val="20"/>
          <w:lang w:val="es" w:eastAsia="es-ES" w:bidi="ar-SA"/>
        </w:rPr>
        <w:t>establece:</w:t>
      </w:r>
    </w:p>
    <w:p w14:paraId="76084550" w14:textId="77777777" w:rsidR="0089596F" w:rsidRDefault="0089596F">
      <w:pPr>
        <w:widowControl/>
        <w:tabs>
          <w:tab w:val="left" w:pos="0"/>
        </w:tabs>
        <w:jc w:val="both"/>
        <w:textAlignment w:val="auto"/>
        <w:rPr>
          <w:rFonts w:ascii="Work Sans" w:eastAsia="DengXian Light" w:hAnsi="Work Sans" w:cs="Arial"/>
          <w:color w:val="000000"/>
          <w:kern w:val="0"/>
          <w:sz w:val="20"/>
          <w:szCs w:val="20"/>
          <w:lang w:val="es" w:eastAsia="es-ES" w:bidi="ar-SA"/>
        </w:rPr>
      </w:pPr>
    </w:p>
    <w:p w14:paraId="3658111D" w14:textId="77777777" w:rsidR="0089596F" w:rsidRDefault="00E054F8">
      <w:pPr>
        <w:tabs>
          <w:tab w:val="left" w:pos="8222"/>
        </w:tabs>
        <w:ind w:left="426" w:right="616"/>
        <w:jc w:val="both"/>
      </w:pPr>
      <w:r>
        <w:rPr>
          <w:rFonts w:ascii="Work Sans" w:eastAsia="DengXian Light" w:hAnsi="Work Sans" w:cs="Arial"/>
          <w:i/>
          <w:color w:val="000000"/>
          <w:kern w:val="0"/>
          <w:sz w:val="18"/>
          <w:szCs w:val="18"/>
          <w:lang w:val="es" w:eastAsia="es-ES" w:bidi="ar-SA"/>
        </w:rPr>
        <w:t xml:space="preserve">“Artículo 21. </w:t>
      </w:r>
      <w:r>
        <w:rPr>
          <w:rFonts w:ascii="Work Sans" w:eastAsia="DengXian Light" w:hAnsi="Work Sans" w:cs="Arial"/>
          <w:i/>
          <w:iCs/>
          <w:color w:val="000000"/>
          <w:sz w:val="18"/>
          <w:szCs w:val="18"/>
        </w:rPr>
        <w:t>Tasas, tarifas y peajes en la infraestructura de transporte a cargo de la Nación.</w:t>
      </w:r>
      <w:r>
        <w:rPr>
          <w:rFonts w:ascii="Work Sans" w:eastAsia="DengXian Light" w:hAnsi="Work Sans" w:cs="Arial"/>
          <w:i/>
          <w:color w:val="000000"/>
          <w:sz w:val="18"/>
          <w:szCs w:val="18"/>
        </w:rPr>
        <w:t xml:space="preserve"> Para la construcción y conservación de la infraestructura de transporte a cargo de la Nación, esta contará con los recursos que se </w:t>
      </w:r>
      <w:r>
        <w:rPr>
          <w:rFonts w:ascii="Work Sans" w:eastAsia="DengXian Light" w:hAnsi="Work Sans" w:cs="Arial"/>
          <w:i/>
          <w:color w:val="000000"/>
          <w:sz w:val="18"/>
          <w:szCs w:val="18"/>
        </w:rPr>
        <w:t>apropien en el Presupuesto Nacional y además cobrará el uso de las obras de infraestructura de transporte a los usuarios, buscando garantizar su adecuado mantenimiento, operación y desarrollo.</w:t>
      </w:r>
    </w:p>
    <w:p w14:paraId="6B955388" w14:textId="77777777" w:rsidR="0089596F" w:rsidRDefault="0089596F">
      <w:pPr>
        <w:tabs>
          <w:tab w:val="left" w:pos="8222"/>
        </w:tabs>
        <w:ind w:left="426" w:right="616"/>
        <w:jc w:val="both"/>
        <w:rPr>
          <w:rFonts w:ascii="Work Sans" w:eastAsia="DengXian Light" w:hAnsi="Work Sans" w:cs="Arial"/>
          <w:i/>
          <w:color w:val="000000"/>
          <w:sz w:val="18"/>
          <w:szCs w:val="18"/>
        </w:rPr>
      </w:pPr>
    </w:p>
    <w:p w14:paraId="5AB28BFB"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Para estos efectos, la Nación establecerá peajes, tarifas y ta</w:t>
      </w:r>
      <w:r>
        <w:rPr>
          <w:rFonts w:ascii="Work Sans" w:eastAsia="DengXian Light" w:hAnsi="Work Sans" w:cs="Arial"/>
          <w:i/>
          <w:color w:val="000000"/>
          <w:sz w:val="18"/>
          <w:szCs w:val="18"/>
        </w:rPr>
        <w:t>sas sobre el uso de la infraestructura nacional de transporte y los recursos provenientes de su cobro se usarán exclusivamente para ese modo de transporte.</w:t>
      </w:r>
    </w:p>
    <w:p w14:paraId="0EB0F487"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35A19870"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 xml:space="preserve">Todos los servicios que la Nación o sus entidades descentralizadas presten a los usuarios </w:t>
      </w:r>
      <w:r>
        <w:rPr>
          <w:rFonts w:ascii="Work Sans" w:eastAsia="DengXian Light" w:hAnsi="Work Sans" w:cs="Arial"/>
          <w:i/>
          <w:color w:val="000000"/>
          <w:sz w:val="18"/>
          <w:szCs w:val="18"/>
        </w:rPr>
        <w:t xml:space="preserve">accesoriamente a la utilización de la infraestructura Nacional de </w:t>
      </w:r>
      <w:proofErr w:type="gramStart"/>
      <w:r>
        <w:rPr>
          <w:rFonts w:ascii="Work Sans" w:eastAsia="DengXian Light" w:hAnsi="Work Sans" w:cs="Arial"/>
          <w:i/>
          <w:color w:val="000000"/>
          <w:sz w:val="18"/>
          <w:szCs w:val="18"/>
        </w:rPr>
        <w:t>Transporte,</w:t>
      </w:r>
      <w:proofErr w:type="gramEnd"/>
      <w:r>
        <w:rPr>
          <w:rFonts w:ascii="Work Sans" w:eastAsia="DengXian Light" w:hAnsi="Work Sans" w:cs="Arial"/>
          <w:i/>
          <w:color w:val="000000"/>
          <w:sz w:val="18"/>
          <w:szCs w:val="18"/>
        </w:rPr>
        <w:t xml:space="preserve"> estarán sujetos al cobro de tasas o tarifas.</w:t>
      </w:r>
    </w:p>
    <w:p w14:paraId="1361DFC6"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2CD275AA"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Para la fijación y cobro de tasas, tarifas y peajes, se observarán los siguientes principios:</w:t>
      </w:r>
    </w:p>
    <w:p w14:paraId="20F8C038"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01F2E66F"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 xml:space="preserve">a) Los ingresos provenientes de la </w:t>
      </w:r>
      <w:r>
        <w:rPr>
          <w:rFonts w:ascii="Work Sans" w:eastAsia="DengXian Light" w:hAnsi="Work Sans" w:cs="Arial"/>
          <w:i/>
          <w:color w:val="000000"/>
          <w:sz w:val="18"/>
          <w:szCs w:val="18"/>
        </w:rPr>
        <w:t>utilización de la infraestructura de transporte, deberán garantizar su adecuado mantenimiento, operación y desarrollo;</w:t>
      </w:r>
    </w:p>
    <w:p w14:paraId="5E7EEBBE"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4626B370" w14:textId="77777777" w:rsidR="0089596F" w:rsidRDefault="00E054F8">
      <w:pPr>
        <w:tabs>
          <w:tab w:val="left" w:pos="8222"/>
        </w:tabs>
        <w:ind w:left="426" w:right="616"/>
        <w:jc w:val="both"/>
      </w:pPr>
      <w:r>
        <w:rPr>
          <w:rFonts w:ascii="Work Sans" w:eastAsia="DengXian Light" w:hAnsi="Work Sans" w:cs="Arial"/>
          <w:i/>
          <w:color w:val="000000"/>
          <w:sz w:val="18"/>
          <w:szCs w:val="18"/>
        </w:rPr>
        <w:t>b) Deberá cobrarse a todos los usuarios, con excepción de las motocicletas y bicicletas, máquinas extintoras de incendios de los Cuerpo</w:t>
      </w:r>
      <w:r>
        <w:rPr>
          <w:rFonts w:ascii="Work Sans" w:eastAsia="DengXian Light" w:hAnsi="Work Sans" w:cs="Arial"/>
          <w:i/>
          <w:color w:val="000000"/>
          <w:sz w:val="18"/>
          <w:szCs w:val="18"/>
        </w:rPr>
        <w:t>s de Bomberos Voluntarios, Cuerpo de Bomberos Oficiales, ambulancias pertenecientes a la Cruz Roja, Defensa Civil, Hospitales Oficiales, Vehículos de las Fuerzas Militares y de la Policía Nacional, vehículos oficiales del Instituto Nacional Penitenciario y</w:t>
      </w:r>
      <w:r>
        <w:rPr>
          <w:rFonts w:ascii="Work Sans" w:eastAsia="DengXian Light" w:hAnsi="Work Sans" w:cs="Arial"/>
          <w:i/>
          <w:color w:val="000000"/>
          <w:sz w:val="18"/>
          <w:szCs w:val="18"/>
        </w:rPr>
        <w:t xml:space="preserve"> Carcelario, </w:t>
      </w:r>
      <w:proofErr w:type="spellStart"/>
      <w:r>
        <w:rPr>
          <w:rStyle w:val="spelle"/>
          <w:rFonts w:ascii="Work Sans" w:eastAsia="DengXian Light" w:hAnsi="Work Sans" w:cs="Arial"/>
          <w:i/>
          <w:color w:val="000000"/>
          <w:sz w:val="18"/>
          <w:szCs w:val="18"/>
        </w:rPr>
        <w:t>Inpec</w:t>
      </w:r>
      <w:proofErr w:type="spellEnd"/>
      <w:r>
        <w:rPr>
          <w:rFonts w:ascii="Work Sans" w:eastAsia="DengXian Light" w:hAnsi="Work Sans" w:cs="Arial"/>
          <w:i/>
          <w:color w:val="000000"/>
          <w:sz w:val="18"/>
          <w:szCs w:val="18"/>
        </w:rPr>
        <w:t xml:space="preserve">, vehículos oficiales del (DAS) Departamento Administrativo de Seguridad y de las demás instituciones que prestan funciones de Policía Judicial; </w:t>
      </w:r>
    </w:p>
    <w:p w14:paraId="55BEB13E"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0FA28466"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c) El valor de las tasas o tarifas será determinado por la autoridad competente; su recaud</w:t>
      </w:r>
      <w:r>
        <w:rPr>
          <w:rFonts w:ascii="Work Sans" w:eastAsia="DengXian Light" w:hAnsi="Work Sans" w:cs="Arial"/>
          <w:i/>
          <w:color w:val="000000"/>
          <w:sz w:val="18"/>
          <w:szCs w:val="18"/>
        </w:rPr>
        <w:t>o estará a cargo de las entidades públicas o privadas, responsables de la prestación del servicio;</w:t>
      </w:r>
    </w:p>
    <w:p w14:paraId="68BDED9B"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5951481F"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 xml:space="preserve">d) Las tasas de peaje serán diferenciales, es decir, se fijarán en proporción a las distancias recorridas, las características vehiculares y sus </w:t>
      </w:r>
      <w:r>
        <w:rPr>
          <w:rFonts w:ascii="Work Sans" w:eastAsia="DengXian Light" w:hAnsi="Work Sans" w:cs="Arial"/>
          <w:i/>
          <w:color w:val="000000"/>
          <w:sz w:val="18"/>
          <w:szCs w:val="18"/>
        </w:rPr>
        <w:t>respectivos costos de operación;</w:t>
      </w:r>
    </w:p>
    <w:p w14:paraId="1E48ADEC"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6544F659"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e) Para la determinación del valor del peaje y de las tasas de valoración en las vías nacionales, se tendrá en cuenta un criterio de equidad fiscal.</w:t>
      </w:r>
    </w:p>
    <w:p w14:paraId="21AB9657"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4EB3518F"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Parágrafo 1°. La Nación podrá en caso de necesidad y previo concepto d</w:t>
      </w:r>
      <w:r>
        <w:rPr>
          <w:rFonts w:ascii="Work Sans" w:eastAsia="DengXian Light" w:hAnsi="Work Sans" w:cs="Arial"/>
          <w:i/>
          <w:color w:val="000000"/>
          <w:sz w:val="18"/>
          <w:szCs w:val="18"/>
        </w:rPr>
        <w:t>el Ministerio de Transporte, apropiar recursos del Presupuesto Nacional para el mantenimiento, operación y desarrollo de la infraestructura de transporte.</w:t>
      </w:r>
    </w:p>
    <w:p w14:paraId="504CBF81"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2B5B8890"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Parágrafo 2°. Para tener derecho a la exención contemplada en el literal b), es de carácter obligat</w:t>
      </w:r>
      <w:r>
        <w:rPr>
          <w:rFonts w:ascii="Work Sans" w:eastAsia="DengXian Light" w:hAnsi="Work Sans" w:cs="Arial"/>
          <w:i/>
          <w:color w:val="000000"/>
          <w:sz w:val="18"/>
          <w:szCs w:val="18"/>
        </w:rPr>
        <w:t>orio que los vehículos allí relacionados, con excepción de las bicicletas y motocicletas, estén plenamente identificados con los emblemas, colores y distintivos institucionales de cada una de las entidades y organismos a los cuales pertenecen. Para efectos</w:t>
      </w:r>
      <w:r>
        <w:rPr>
          <w:rFonts w:ascii="Work Sans" w:eastAsia="DengXian Light" w:hAnsi="Work Sans" w:cs="Arial"/>
          <w:i/>
          <w:color w:val="000000"/>
          <w:sz w:val="18"/>
          <w:szCs w:val="18"/>
        </w:rPr>
        <w:t xml:space="preserve"> de control, el Ministerio de Transporte reglamentará lo pertinente.</w:t>
      </w:r>
    </w:p>
    <w:p w14:paraId="7192C7D6"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lastRenderedPageBreak/>
        <w:t> </w:t>
      </w:r>
    </w:p>
    <w:p w14:paraId="2709608B"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Parágrafo 3°. Facúltese a las Entidades Territoriales para decretar las exenciones contempladas en el literal b), del artículo 1°.</w:t>
      </w:r>
    </w:p>
    <w:p w14:paraId="2DC97B74" w14:textId="77777777" w:rsidR="0089596F" w:rsidRDefault="00E054F8">
      <w:pPr>
        <w:tabs>
          <w:tab w:val="left" w:pos="8222"/>
        </w:tabs>
        <w:ind w:left="426" w:right="616"/>
        <w:jc w:val="both"/>
      </w:pPr>
      <w:r>
        <w:rPr>
          <w:rFonts w:ascii="Work Sans" w:eastAsia="DengXian Light" w:hAnsi="Work Sans" w:cs="Arial"/>
          <w:i/>
          <w:color w:val="000000"/>
          <w:sz w:val="18"/>
          <w:szCs w:val="18"/>
          <w:lang w:val="es-MX"/>
        </w:rPr>
        <w:t> </w:t>
      </w:r>
    </w:p>
    <w:p w14:paraId="2591EB82" w14:textId="77777777" w:rsidR="0089596F" w:rsidRDefault="00E054F8">
      <w:pPr>
        <w:tabs>
          <w:tab w:val="left" w:pos="8222"/>
        </w:tabs>
        <w:ind w:left="426"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Parágrafo 4°. Se entiende también las vías “Concesio</w:t>
      </w:r>
      <w:r>
        <w:rPr>
          <w:rFonts w:ascii="Work Sans" w:eastAsia="DengXian Light" w:hAnsi="Work Sans" w:cs="Arial"/>
          <w:i/>
          <w:color w:val="000000"/>
          <w:sz w:val="18"/>
          <w:szCs w:val="18"/>
        </w:rPr>
        <w:t>nadas”.</w:t>
      </w:r>
    </w:p>
    <w:p w14:paraId="6A048FF3" w14:textId="77777777" w:rsidR="0089596F" w:rsidRDefault="0089596F">
      <w:pPr>
        <w:widowControl/>
        <w:tabs>
          <w:tab w:val="left" w:pos="0"/>
        </w:tabs>
        <w:ind w:left="709" w:right="709"/>
        <w:jc w:val="both"/>
        <w:textAlignment w:val="auto"/>
        <w:rPr>
          <w:rFonts w:ascii="Work Sans" w:eastAsia="DengXian Light" w:hAnsi="Work Sans" w:cs="Arial"/>
          <w:i/>
          <w:color w:val="000000"/>
          <w:kern w:val="0"/>
          <w:sz w:val="20"/>
          <w:szCs w:val="20"/>
          <w:lang w:eastAsia="es-ES" w:bidi="ar-SA"/>
        </w:rPr>
      </w:pPr>
    </w:p>
    <w:p w14:paraId="4C13402F" w14:textId="77777777" w:rsidR="0089596F" w:rsidRDefault="00E054F8">
      <w:pPr>
        <w:widowControl/>
        <w:tabs>
          <w:tab w:val="left" w:pos="0"/>
        </w:tabs>
        <w:ind w:right="49"/>
        <w:jc w:val="both"/>
        <w:textAlignment w:val="auto"/>
      </w:pPr>
      <w:r>
        <w:rPr>
          <w:rFonts w:ascii="Work Sans" w:eastAsia="DengXian Light" w:hAnsi="Work Sans" w:cs="Arial"/>
          <w:color w:val="000000"/>
          <w:kern w:val="0"/>
          <w:sz w:val="20"/>
          <w:szCs w:val="20"/>
          <w:lang w:val="es" w:eastAsia="es-ES" w:bidi="ar-SA"/>
        </w:rPr>
        <w:t>Que el Decreto 087 de 2011 “</w:t>
      </w:r>
      <w:r>
        <w:rPr>
          <w:rFonts w:ascii="Work Sans" w:eastAsia="DengXian Light" w:hAnsi="Work Sans" w:cs="Arial"/>
          <w:i/>
          <w:color w:val="000000"/>
          <w:kern w:val="0"/>
          <w:sz w:val="20"/>
          <w:szCs w:val="20"/>
          <w:lang w:val="es" w:eastAsia="es-ES" w:bidi="ar-SA"/>
        </w:rPr>
        <w:t>Por el cual se modifica la estructura del Ministerio de Transporte, y se determinan las funciones de sus dependencias</w:t>
      </w:r>
      <w:r>
        <w:rPr>
          <w:rFonts w:ascii="Work Sans" w:eastAsia="DengXian Light" w:hAnsi="Work Sans" w:cs="Arial"/>
          <w:color w:val="000000"/>
          <w:kern w:val="0"/>
          <w:sz w:val="20"/>
          <w:szCs w:val="20"/>
          <w:lang w:val="es" w:eastAsia="es-ES" w:bidi="ar-SA"/>
        </w:rPr>
        <w:t>” establece:</w:t>
      </w:r>
    </w:p>
    <w:p w14:paraId="19921BED" w14:textId="77777777" w:rsidR="0089596F" w:rsidRDefault="0089596F">
      <w:pPr>
        <w:widowControl/>
        <w:tabs>
          <w:tab w:val="left" w:pos="0"/>
        </w:tabs>
        <w:ind w:left="709" w:right="709"/>
        <w:jc w:val="both"/>
        <w:textAlignment w:val="auto"/>
        <w:rPr>
          <w:rFonts w:ascii="Work Sans" w:eastAsia="DengXian Light" w:hAnsi="Work Sans" w:cs="Arial"/>
          <w:i/>
          <w:color w:val="000000"/>
          <w:kern w:val="0"/>
          <w:sz w:val="18"/>
          <w:szCs w:val="18"/>
          <w:lang w:val="es" w:eastAsia="es-ES" w:bidi="ar-SA"/>
        </w:rPr>
      </w:pPr>
    </w:p>
    <w:p w14:paraId="15460634" w14:textId="77777777" w:rsidR="0089596F" w:rsidRDefault="00E054F8">
      <w:pPr>
        <w:ind w:left="426" w:right="474"/>
        <w:jc w:val="both"/>
        <w:rPr>
          <w:rFonts w:ascii="Work Sans" w:eastAsia="DengXian Light" w:hAnsi="Work Sans" w:cs="Arial"/>
          <w:i/>
          <w:color w:val="000000"/>
          <w:kern w:val="0"/>
          <w:sz w:val="18"/>
          <w:szCs w:val="18"/>
          <w:lang w:val="es" w:eastAsia="es-ES" w:bidi="ar-SA"/>
        </w:rPr>
      </w:pPr>
      <w:r>
        <w:rPr>
          <w:rFonts w:ascii="Work Sans" w:eastAsia="DengXian Light" w:hAnsi="Work Sans" w:cs="Arial"/>
          <w:i/>
          <w:color w:val="000000"/>
          <w:kern w:val="0"/>
          <w:sz w:val="18"/>
          <w:szCs w:val="18"/>
          <w:lang w:val="es" w:eastAsia="es-ES" w:bidi="ar-SA"/>
        </w:rPr>
        <w:t xml:space="preserve">“Artículo 6°. Funciones del Despacho del </w:t>
      </w:r>
      <w:proofErr w:type="gramStart"/>
      <w:r>
        <w:rPr>
          <w:rFonts w:ascii="Work Sans" w:eastAsia="DengXian Light" w:hAnsi="Work Sans" w:cs="Arial"/>
          <w:i/>
          <w:color w:val="000000"/>
          <w:kern w:val="0"/>
          <w:sz w:val="18"/>
          <w:szCs w:val="18"/>
          <w:lang w:val="es" w:eastAsia="es-ES" w:bidi="ar-SA"/>
        </w:rPr>
        <w:t>Ministro</w:t>
      </w:r>
      <w:proofErr w:type="gramEnd"/>
      <w:r>
        <w:rPr>
          <w:rFonts w:ascii="Work Sans" w:eastAsia="DengXian Light" w:hAnsi="Work Sans" w:cs="Arial"/>
          <w:i/>
          <w:color w:val="000000"/>
          <w:kern w:val="0"/>
          <w:sz w:val="18"/>
          <w:szCs w:val="18"/>
          <w:lang w:val="es" w:eastAsia="es-ES" w:bidi="ar-SA"/>
        </w:rPr>
        <w:t xml:space="preserve"> de Transporte. Son funciones del </w:t>
      </w:r>
      <w:r>
        <w:rPr>
          <w:rFonts w:ascii="Work Sans" w:eastAsia="DengXian Light" w:hAnsi="Work Sans" w:cs="Arial"/>
          <w:i/>
          <w:color w:val="000000"/>
          <w:kern w:val="0"/>
          <w:sz w:val="18"/>
          <w:szCs w:val="18"/>
          <w:lang w:val="es" w:eastAsia="es-ES" w:bidi="ar-SA"/>
        </w:rPr>
        <w:t xml:space="preserve">Despacho del </w:t>
      </w:r>
      <w:proofErr w:type="gramStart"/>
      <w:r>
        <w:rPr>
          <w:rFonts w:ascii="Work Sans" w:eastAsia="DengXian Light" w:hAnsi="Work Sans" w:cs="Arial"/>
          <w:i/>
          <w:color w:val="000000"/>
          <w:kern w:val="0"/>
          <w:sz w:val="18"/>
          <w:szCs w:val="18"/>
          <w:lang w:val="es" w:eastAsia="es-ES" w:bidi="ar-SA"/>
        </w:rPr>
        <w:t>Ministro</w:t>
      </w:r>
      <w:proofErr w:type="gramEnd"/>
      <w:r>
        <w:rPr>
          <w:rFonts w:ascii="Work Sans" w:eastAsia="DengXian Light" w:hAnsi="Work Sans" w:cs="Arial"/>
          <w:i/>
          <w:color w:val="000000"/>
          <w:kern w:val="0"/>
          <w:sz w:val="18"/>
          <w:szCs w:val="18"/>
          <w:lang w:val="es" w:eastAsia="es-ES" w:bidi="ar-SA"/>
        </w:rPr>
        <w:t xml:space="preserve"> de Transporte, además de las señaladas por la Constitución Política y la ley, las siguientes:</w:t>
      </w:r>
    </w:p>
    <w:p w14:paraId="3A68A7B9" w14:textId="77777777" w:rsidR="0089596F" w:rsidRDefault="00E054F8">
      <w:pPr>
        <w:widowControl/>
        <w:tabs>
          <w:tab w:val="left" w:pos="0"/>
        </w:tabs>
        <w:ind w:left="709" w:right="709"/>
        <w:jc w:val="both"/>
        <w:textAlignment w:val="auto"/>
        <w:rPr>
          <w:rFonts w:ascii="Work Sans" w:eastAsia="DengXian Light" w:hAnsi="Work Sans" w:cs="Arial"/>
          <w:i/>
          <w:color w:val="000000"/>
          <w:kern w:val="0"/>
          <w:sz w:val="18"/>
          <w:szCs w:val="18"/>
          <w:lang w:val="es" w:eastAsia="es-ES" w:bidi="ar-SA"/>
        </w:rPr>
      </w:pPr>
      <w:r>
        <w:rPr>
          <w:rFonts w:ascii="Work Sans" w:eastAsia="DengXian Light" w:hAnsi="Work Sans" w:cs="Arial"/>
          <w:i/>
          <w:color w:val="000000"/>
          <w:kern w:val="0"/>
          <w:sz w:val="18"/>
          <w:szCs w:val="18"/>
          <w:lang w:val="es" w:eastAsia="es-ES" w:bidi="ar-SA"/>
        </w:rPr>
        <w:t xml:space="preserve"> </w:t>
      </w:r>
    </w:p>
    <w:p w14:paraId="5BF72BD6" w14:textId="77777777" w:rsidR="0089596F" w:rsidRDefault="00E054F8">
      <w:pPr>
        <w:widowControl/>
        <w:ind w:left="567" w:right="709"/>
        <w:jc w:val="both"/>
        <w:textAlignment w:val="auto"/>
        <w:rPr>
          <w:rFonts w:ascii="Work Sans" w:eastAsia="DengXian Light" w:hAnsi="Work Sans" w:cs="Arial"/>
          <w:i/>
          <w:color w:val="000000"/>
          <w:kern w:val="0"/>
          <w:sz w:val="18"/>
          <w:szCs w:val="18"/>
          <w:lang w:val="es" w:eastAsia="es-ES" w:bidi="ar-SA"/>
        </w:rPr>
      </w:pPr>
      <w:r>
        <w:rPr>
          <w:rFonts w:ascii="Work Sans" w:eastAsia="DengXian Light" w:hAnsi="Work Sans" w:cs="Arial"/>
          <w:i/>
          <w:color w:val="000000"/>
          <w:kern w:val="0"/>
          <w:sz w:val="18"/>
          <w:szCs w:val="18"/>
          <w:lang w:val="es" w:eastAsia="es-ES" w:bidi="ar-SA"/>
        </w:rPr>
        <w:t>6.15. Establecer los peajes, tarifas, tasas y derechos a cobrar por el uso de la infraestructura de los modos de transporte, excepto el aé</w:t>
      </w:r>
      <w:r>
        <w:rPr>
          <w:rFonts w:ascii="Work Sans" w:eastAsia="DengXian Light" w:hAnsi="Work Sans" w:cs="Arial"/>
          <w:i/>
          <w:color w:val="000000"/>
          <w:kern w:val="0"/>
          <w:sz w:val="18"/>
          <w:szCs w:val="18"/>
          <w:lang w:val="es" w:eastAsia="es-ES" w:bidi="ar-SA"/>
        </w:rPr>
        <w:t>reo. (…)”</w:t>
      </w:r>
    </w:p>
    <w:p w14:paraId="3459A375" w14:textId="77777777" w:rsidR="0089596F" w:rsidRDefault="0089596F">
      <w:pPr>
        <w:tabs>
          <w:tab w:val="left" w:pos="1134"/>
        </w:tabs>
        <w:jc w:val="both"/>
        <w:rPr>
          <w:rFonts w:ascii="Work Sans" w:eastAsia="DengXian Light" w:hAnsi="Work Sans" w:cs="Arial"/>
          <w:color w:val="000000"/>
          <w:sz w:val="20"/>
          <w:szCs w:val="20"/>
          <w:lang w:val="es" w:eastAsia="es-ES"/>
        </w:rPr>
      </w:pPr>
    </w:p>
    <w:p w14:paraId="6DE09CDD" w14:textId="77777777" w:rsidR="0089596F" w:rsidRDefault="00E054F8">
      <w:pPr>
        <w:tabs>
          <w:tab w:val="left" w:pos="1134"/>
        </w:tabs>
        <w:jc w:val="both"/>
        <w:rPr>
          <w:rFonts w:ascii="Work Sans" w:eastAsia="Work Sans" w:hAnsi="Work Sans" w:cs="Arial"/>
          <w:color w:val="000000"/>
          <w:sz w:val="20"/>
          <w:szCs w:val="20"/>
          <w:lang w:val="es"/>
        </w:rPr>
      </w:pPr>
      <w:r>
        <w:rPr>
          <w:rFonts w:ascii="Work Sans" w:eastAsia="Work Sans" w:hAnsi="Work Sans" w:cs="Arial"/>
          <w:color w:val="000000"/>
          <w:sz w:val="20"/>
          <w:szCs w:val="20"/>
          <w:lang w:val="es"/>
        </w:rPr>
        <w:t>Que el Decreto 4165 del 03 de noviembre de 2011, cambió la naturaleza jurídica y denominación del Instituto Nacional de Concesiones (INCO) de establecimiento público a Agencia Nacional Estatal de Naturaleza Especial, del sector descentralizado d</w:t>
      </w:r>
      <w:r>
        <w:rPr>
          <w:rFonts w:ascii="Work Sans" w:eastAsia="Work Sans" w:hAnsi="Work Sans" w:cs="Arial"/>
          <w:color w:val="000000"/>
          <w:sz w:val="20"/>
          <w:szCs w:val="20"/>
          <w:lang w:val="es"/>
        </w:rPr>
        <w:t>e la Rama Ejecutiva del Orden Nacional, con personería jurídica, patrimonio propio y autonomía administrativa, financiera y técnica, que se denominará Agencia Nacional de Infraestructura, adscrita al Ministerio de Transporte.</w:t>
      </w:r>
    </w:p>
    <w:p w14:paraId="5CEEB090" w14:textId="77777777" w:rsidR="0089596F" w:rsidRDefault="0089596F">
      <w:pPr>
        <w:tabs>
          <w:tab w:val="left" w:pos="1134"/>
        </w:tabs>
        <w:jc w:val="both"/>
        <w:rPr>
          <w:rFonts w:ascii="Work Sans" w:eastAsia="DengXian Light" w:hAnsi="Work Sans" w:cs="Arial"/>
          <w:color w:val="000000"/>
          <w:sz w:val="20"/>
          <w:szCs w:val="20"/>
          <w:lang w:val="es" w:eastAsia="es-ES"/>
        </w:rPr>
      </w:pPr>
    </w:p>
    <w:p w14:paraId="4BF85BE7" w14:textId="77777777" w:rsidR="0089596F" w:rsidRDefault="00E054F8">
      <w:pPr>
        <w:widowControl/>
        <w:jc w:val="both"/>
        <w:textAlignment w:val="auto"/>
        <w:rPr>
          <w:rFonts w:ascii="Work Sans" w:eastAsia="DengXian Light" w:hAnsi="Work Sans" w:cs="Arial"/>
          <w:color w:val="000000"/>
          <w:kern w:val="0"/>
          <w:sz w:val="20"/>
          <w:szCs w:val="20"/>
          <w:lang w:val="es" w:eastAsia="es-ES" w:bidi="ar-SA"/>
        </w:rPr>
      </w:pPr>
      <w:r>
        <w:rPr>
          <w:rFonts w:ascii="Work Sans" w:eastAsia="DengXian Light" w:hAnsi="Work Sans" w:cs="Arial"/>
          <w:color w:val="000000"/>
          <w:kern w:val="0"/>
          <w:sz w:val="20"/>
          <w:szCs w:val="20"/>
          <w:lang w:val="es" w:eastAsia="es-ES" w:bidi="ar-SA"/>
        </w:rPr>
        <w:t>Que los numerales 1° y 5° del</w:t>
      </w:r>
      <w:r>
        <w:rPr>
          <w:rFonts w:ascii="Work Sans" w:eastAsia="DengXian Light" w:hAnsi="Work Sans" w:cs="Arial"/>
          <w:color w:val="000000"/>
          <w:kern w:val="0"/>
          <w:sz w:val="20"/>
          <w:szCs w:val="20"/>
          <w:lang w:val="es" w:eastAsia="es-ES" w:bidi="ar-SA"/>
        </w:rPr>
        <w:t xml:space="preserve"> artículo 4° del Decreto 4165 de 2011, establecen que le corresponde a la Agencia Nacional de Infraestructura, identificar, evaluar la viabilidad, y proponer iniciativas de concesión u otras formas de Asociación Público Privada para el desarrollo de la inf</w:t>
      </w:r>
      <w:r>
        <w:rPr>
          <w:rFonts w:ascii="Work Sans" w:eastAsia="DengXian Light" w:hAnsi="Work Sans" w:cs="Arial"/>
          <w:color w:val="000000"/>
          <w:kern w:val="0"/>
          <w:sz w:val="20"/>
          <w:szCs w:val="20"/>
          <w:lang w:val="es" w:eastAsia="es-ES" w:bidi="ar-SA"/>
        </w:rPr>
        <w:t>raestructura de transporte y de los servicios conexos y relacionados, así como elaborar los estudios para definir los peajes, tasas, tarifas, contribución de valorización y otras modalidades de retribución por el diseño, construcción, operación, explotació</w:t>
      </w:r>
      <w:r>
        <w:rPr>
          <w:rFonts w:ascii="Work Sans" w:eastAsia="DengXian Light" w:hAnsi="Work Sans" w:cs="Arial"/>
          <w:color w:val="000000"/>
          <w:kern w:val="0"/>
          <w:sz w:val="20"/>
          <w:szCs w:val="20"/>
          <w:lang w:val="es" w:eastAsia="es-ES" w:bidi="ar-SA"/>
        </w:rPr>
        <w:t>n, mantenimiento o rehabilitación de la infraestructura relacionada con los proyectos de concesión u otras formas de Asociación Público Privada a su cargo.</w:t>
      </w:r>
    </w:p>
    <w:p w14:paraId="11EA93B9" w14:textId="77777777" w:rsidR="0089596F" w:rsidRDefault="0089596F">
      <w:pPr>
        <w:widowControl/>
        <w:jc w:val="both"/>
        <w:textAlignment w:val="auto"/>
        <w:rPr>
          <w:rFonts w:ascii="Work Sans" w:eastAsia="DengXian Light" w:hAnsi="Work Sans" w:cs="Arial"/>
          <w:color w:val="000000"/>
          <w:kern w:val="0"/>
          <w:sz w:val="20"/>
          <w:szCs w:val="20"/>
          <w:lang w:val="es" w:eastAsia="es-ES" w:bidi="ar-SA"/>
        </w:rPr>
      </w:pPr>
    </w:p>
    <w:p w14:paraId="6F31DBC6" w14:textId="77777777" w:rsidR="0089596F" w:rsidRDefault="00E054F8">
      <w:pPr>
        <w:ind w:right="49"/>
        <w:jc w:val="both"/>
      </w:pPr>
      <w:r>
        <w:rPr>
          <w:rFonts w:ascii="Work Sans" w:eastAsia="DengXian Light" w:hAnsi="Work Sans" w:cs="Arial"/>
          <w:color w:val="000000"/>
          <w:sz w:val="20"/>
          <w:szCs w:val="20"/>
          <w:lang w:val="es" w:eastAsia="es-ES"/>
        </w:rPr>
        <w:t xml:space="preserve">Que igualmente el numeral 34 del artículo 5 del Decreto 746 del 2022 </w:t>
      </w:r>
      <w:r>
        <w:rPr>
          <w:rFonts w:ascii="Work Sans" w:eastAsia="DengXian Light" w:hAnsi="Work Sans" w:cs="Arial"/>
          <w:i/>
          <w:iCs/>
          <w:color w:val="000000"/>
          <w:sz w:val="20"/>
          <w:szCs w:val="20"/>
          <w:lang w:val="es" w:eastAsia="es-ES"/>
        </w:rPr>
        <w:t>“Por el cual se modifica la es</w:t>
      </w:r>
      <w:r>
        <w:rPr>
          <w:rFonts w:ascii="Work Sans" w:eastAsia="DengXian Light" w:hAnsi="Work Sans" w:cs="Arial"/>
          <w:i/>
          <w:iCs/>
          <w:color w:val="000000"/>
          <w:sz w:val="20"/>
          <w:szCs w:val="20"/>
          <w:lang w:val="es" w:eastAsia="es-ES"/>
        </w:rPr>
        <w:t>tructura de la Agencia Nacional de Infraestructura y se determinan las funciones de sus dependencias”</w:t>
      </w:r>
      <w:r>
        <w:rPr>
          <w:rFonts w:ascii="Work Sans" w:eastAsia="DengXian Light" w:hAnsi="Work Sans" w:cs="Arial"/>
          <w:i/>
          <w:color w:val="000000"/>
          <w:sz w:val="20"/>
          <w:szCs w:val="20"/>
          <w:lang w:val="es" w:eastAsia="es-ES"/>
        </w:rPr>
        <w:t xml:space="preserve"> </w:t>
      </w:r>
      <w:r>
        <w:rPr>
          <w:rFonts w:ascii="Work Sans" w:eastAsia="DengXian Light" w:hAnsi="Work Sans" w:cs="Arial"/>
          <w:color w:val="000000"/>
          <w:sz w:val="20"/>
          <w:szCs w:val="20"/>
          <w:lang w:val="es" w:eastAsia="es-ES"/>
        </w:rPr>
        <w:t>establece como función del presidente de la Agencia Nacional de Infraestructura la siguiente:</w:t>
      </w:r>
    </w:p>
    <w:p w14:paraId="66C92447" w14:textId="77777777" w:rsidR="0089596F" w:rsidRDefault="0089596F">
      <w:pPr>
        <w:ind w:right="49"/>
        <w:jc w:val="both"/>
        <w:rPr>
          <w:rFonts w:ascii="Work Sans" w:eastAsia="DengXian Light" w:hAnsi="Work Sans" w:cs="Arial"/>
          <w:color w:val="000000"/>
          <w:sz w:val="20"/>
          <w:szCs w:val="20"/>
          <w:shd w:val="clear" w:color="auto" w:fill="FFFF00"/>
        </w:rPr>
      </w:pPr>
    </w:p>
    <w:p w14:paraId="4D81A09E" w14:textId="77777777" w:rsidR="0089596F" w:rsidRDefault="00E054F8">
      <w:pPr>
        <w:ind w:left="567" w:right="616"/>
        <w:jc w:val="both"/>
        <w:rPr>
          <w:rFonts w:ascii="Work Sans" w:eastAsia="DengXian Light" w:hAnsi="Work Sans" w:cs="Arial"/>
          <w:i/>
          <w:color w:val="000000"/>
          <w:sz w:val="18"/>
          <w:szCs w:val="18"/>
        </w:rPr>
      </w:pPr>
      <w:r>
        <w:rPr>
          <w:rFonts w:ascii="Work Sans" w:eastAsia="DengXian Light" w:hAnsi="Work Sans" w:cs="Arial"/>
          <w:i/>
          <w:color w:val="000000"/>
          <w:sz w:val="18"/>
          <w:szCs w:val="18"/>
        </w:rPr>
        <w:t xml:space="preserve">“34. Proponer al Ministerio de Transporte o a las </w:t>
      </w:r>
      <w:r>
        <w:rPr>
          <w:rFonts w:ascii="Work Sans" w:eastAsia="DengXian Light" w:hAnsi="Work Sans" w:cs="Arial"/>
          <w:i/>
          <w:color w:val="000000"/>
          <w:sz w:val="18"/>
          <w:szCs w:val="18"/>
        </w:rPr>
        <w:t xml:space="preserve">entidades competentes, las tarifas de peajes y tasas a cobrar por el uso de las áreas e infraestructura de transporte que haga parte de proyectos a cargo de la Agencia, de acuerdo con las políticas del Ministerio de Transporte”. </w:t>
      </w:r>
    </w:p>
    <w:p w14:paraId="00FBABAA" w14:textId="77777777" w:rsidR="0089596F" w:rsidRDefault="0089596F">
      <w:pPr>
        <w:tabs>
          <w:tab w:val="left" w:pos="1134"/>
        </w:tabs>
        <w:jc w:val="both"/>
        <w:rPr>
          <w:rFonts w:ascii="Work Sans" w:eastAsia="DengXian Light" w:hAnsi="Work Sans" w:cs="Arial"/>
          <w:color w:val="000000"/>
          <w:sz w:val="18"/>
          <w:szCs w:val="18"/>
          <w:lang w:val="es" w:eastAsia="es-ES"/>
        </w:rPr>
      </w:pPr>
    </w:p>
    <w:p w14:paraId="51F53933" w14:textId="77777777" w:rsidR="0089596F" w:rsidRDefault="00E054F8">
      <w:pPr>
        <w:widowControl/>
        <w:autoSpaceDE w:val="0"/>
        <w:jc w:val="both"/>
        <w:textAlignment w:val="auto"/>
      </w:pPr>
      <w:r>
        <w:rPr>
          <w:rFonts w:ascii="Work Sans" w:hAnsi="Work Sans" w:cs="Arial"/>
          <w:sz w:val="20"/>
          <w:szCs w:val="20"/>
        </w:rPr>
        <w:t>Que el Ministerio de Tran</w:t>
      </w:r>
      <w:r>
        <w:rPr>
          <w:rFonts w:ascii="Work Sans" w:hAnsi="Work Sans" w:cs="Arial"/>
          <w:sz w:val="20"/>
          <w:szCs w:val="20"/>
        </w:rPr>
        <w:t xml:space="preserve">sporte mediante Resolución 20213040028355 del 07 de julio de 2021 </w:t>
      </w:r>
      <w:r>
        <w:rPr>
          <w:rFonts w:ascii="Work Sans" w:eastAsia="DengXian Light" w:hAnsi="Work Sans" w:cs="Arial"/>
          <w:i/>
          <w:color w:val="000000"/>
          <w:sz w:val="20"/>
          <w:szCs w:val="20"/>
        </w:rPr>
        <w:t xml:space="preserve">“Por la cual se emite </w:t>
      </w:r>
      <w:r>
        <w:rPr>
          <w:rFonts w:ascii="Work Sans" w:hAnsi="Work Sans" w:cs="Arial"/>
          <w:i/>
          <w:sz w:val="20"/>
          <w:szCs w:val="20"/>
        </w:rPr>
        <w:t>concepto vinculante previo al establecimiento de una estación de peaje denominada Arroyo de Piedra, se establecen: tarifas a cobrar en la estación de peaje Arroyo de Pi</w:t>
      </w:r>
      <w:r>
        <w:rPr>
          <w:rFonts w:ascii="Work Sans" w:hAnsi="Work Sans" w:cs="Arial"/>
          <w:i/>
          <w:sz w:val="20"/>
          <w:szCs w:val="20"/>
        </w:rPr>
        <w:t>edra, tarifas para las categorías IV y V en la estación de peaje Turbaco, tarifas diferenciales en las estaciones de peaje Turbaco, Galapa y Arroyo de Piedra, incremento de las tarifas en las estaciones de peajes denominadas Gambote, Turbaco, Pasacaballos,</w:t>
      </w:r>
      <w:r>
        <w:rPr>
          <w:rFonts w:ascii="Work Sans" w:hAnsi="Work Sans" w:cs="Arial"/>
          <w:i/>
          <w:sz w:val="20"/>
          <w:szCs w:val="20"/>
        </w:rPr>
        <w:t xml:space="preserve"> Bayunca, Galapa y Sabanagrande, pertenecientes al Proyecto de Asociación Público Privada de iniciativa privada denominada </w:t>
      </w:r>
      <w:r>
        <w:rPr>
          <w:rFonts w:ascii="Work Sans" w:eastAsia="DengXian Light" w:hAnsi="Work Sans" w:cs="Arial"/>
          <w:i/>
          <w:color w:val="000000"/>
          <w:sz w:val="20"/>
          <w:szCs w:val="20"/>
        </w:rPr>
        <w:t xml:space="preserve">“Autopistas del Caribe Corredor de Carga Cartagena – Barranquilla” y se dictan otras disposiciones”, </w:t>
      </w:r>
      <w:r>
        <w:rPr>
          <w:rFonts w:ascii="Work Sans" w:hAnsi="Work Sans" w:cs="Arial"/>
          <w:sz w:val="20"/>
          <w:szCs w:val="20"/>
          <w:lang w:val="es-CO" w:eastAsia="ar-SA"/>
        </w:rPr>
        <w:t>estableció las tarifas aplicable</w:t>
      </w:r>
      <w:r>
        <w:rPr>
          <w:rFonts w:ascii="Work Sans" w:hAnsi="Work Sans" w:cs="Arial"/>
          <w:sz w:val="20"/>
          <w:szCs w:val="20"/>
          <w:lang w:val="es-CO" w:eastAsia="ar-SA"/>
        </w:rPr>
        <w:t>s al proyecto de Concesión Vial Autopistas del Caribe Corredor de Carga Cartagena – Barranquilla, aplicables a partir del 10 de enero de 2022 en el Proyecto Autopistas del Caribe.</w:t>
      </w:r>
    </w:p>
    <w:p w14:paraId="47A04C52" w14:textId="77777777" w:rsidR="0089596F" w:rsidRDefault="00E054F8">
      <w:pPr>
        <w:widowControl/>
        <w:autoSpaceDE w:val="0"/>
        <w:jc w:val="both"/>
        <w:textAlignment w:val="auto"/>
      </w:pPr>
      <w:r>
        <w:rPr>
          <w:rFonts w:ascii="Work Sans" w:hAnsi="Work Sans" w:cs="Arial"/>
          <w:sz w:val="20"/>
          <w:szCs w:val="20"/>
          <w:lang w:val="es-CO" w:eastAsia="ar-SA"/>
        </w:rPr>
        <w:t xml:space="preserve"> </w:t>
      </w:r>
      <w:r>
        <w:rPr>
          <w:rFonts w:ascii="Work Sans" w:eastAsia="DengXian Light" w:hAnsi="Work Sans" w:cs="Arial"/>
          <w:i/>
          <w:color w:val="000000"/>
          <w:sz w:val="20"/>
          <w:szCs w:val="20"/>
        </w:rPr>
        <w:t xml:space="preserve"> </w:t>
      </w:r>
    </w:p>
    <w:p w14:paraId="6B9CAF37" w14:textId="77777777" w:rsidR="0089596F" w:rsidRDefault="00E054F8">
      <w:pPr>
        <w:jc w:val="both"/>
      </w:pPr>
      <w:r>
        <w:rPr>
          <w:rFonts w:ascii="Work Sans" w:hAnsi="Work Sans" w:cs="Arial"/>
          <w:sz w:val="20"/>
          <w:szCs w:val="20"/>
        </w:rPr>
        <w:t xml:space="preserve">Que la Agencia Nacional de Infraestructura suscribió con la </w:t>
      </w:r>
      <w:r>
        <w:rPr>
          <w:rFonts w:ascii="Work Sans" w:hAnsi="Work Sans" w:cs="Arial"/>
          <w:sz w:val="20"/>
          <w:szCs w:val="20"/>
        </w:rPr>
        <w:t xml:space="preserve">Concesión Autopistas del Caribe S.A.S., el Contrato de Concesión 002 de 2021, cuyo objeto es el otorgamiento de una concesión para que, de conformidad con lo previsto en este Contrato, el </w:t>
      </w:r>
      <w:r>
        <w:rPr>
          <w:rFonts w:ascii="Work Sans" w:hAnsi="Work Sans" w:cs="Arial"/>
          <w:sz w:val="20"/>
          <w:szCs w:val="20"/>
        </w:rPr>
        <w:lastRenderedPageBreak/>
        <w:t xml:space="preserve">Concesionario, por su cuenta y riesgo, lleve a cabo el Proyecto. El </w:t>
      </w:r>
      <w:r>
        <w:rPr>
          <w:rFonts w:ascii="Work Sans" w:hAnsi="Work Sans" w:cs="Arial"/>
          <w:sz w:val="20"/>
          <w:szCs w:val="20"/>
        </w:rPr>
        <w:t>alcance físico del Proyecto se describe en la Parte Especial y en el Apéndice Técnico 1</w:t>
      </w:r>
      <w:r>
        <w:rPr>
          <w:rFonts w:ascii="Work Sans" w:eastAsia="Calibri" w:hAnsi="Work Sans" w:cs="Arial"/>
          <w:kern w:val="0"/>
          <w:sz w:val="20"/>
          <w:szCs w:val="20"/>
          <w:lang w:val="es-CO" w:eastAsia="en-US" w:bidi="ar-SA"/>
        </w:rPr>
        <w:t>.</w:t>
      </w:r>
    </w:p>
    <w:p w14:paraId="74FAD17B" w14:textId="77777777" w:rsidR="0089596F" w:rsidRDefault="0089596F">
      <w:pPr>
        <w:jc w:val="both"/>
        <w:rPr>
          <w:rFonts w:ascii="Work Sans" w:eastAsia="Calibri" w:hAnsi="Work Sans" w:cs="Arial"/>
          <w:kern w:val="0"/>
          <w:sz w:val="20"/>
          <w:szCs w:val="20"/>
          <w:lang w:val="es-CO" w:eastAsia="en-US" w:bidi="ar-SA"/>
        </w:rPr>
      </w:pPr>
    </w:p>
    <w:p w14:paraId="5543494D" w14:textId="77777777" w:rsidR="0089596F" w:rsidRDefault="00E054F8">
      <w:pPr>
        <w:ind w:right="49"/>
        <w:jc w:val="both"/>
      </w:pPr>
      <w:r>
        <w:rPr>
          <w:rFonts w:ascii="Work Sans" w:eastAsia="Segoe UI" w:hAnsi="Work Sans" w:cs="Arial"/>
          <w:sz w:val="20"/>
          <w:szCs w:val="20"/>
        </w:rPr>
        <w:t>Que la Agencia Nacional de Infraestructura, mediante oficio con número de radicado 20223031056742 del 1 de junio de 2022, solicito a esta Cartera Ministerial el otorg</w:t>
      </w:r>
      <w:r>
        <w:rPr>
          <w:rFonts w:ascii="Work Sans" w:eastAsia="Segoe UI" w:hAnsi="Work Sans" w:cs="Arial"/>
          <w:sz w:val="20"/>
          <w:szCs w:val="20"/>
        </w:rPr>
        <w:t xml:space="preserve">amiento de </w:t>
      </w:r>
      <w:bookmarkStart w:id="0" w:name="_Hlk105431433"/>
      <w:r>
        <w:rPr>
          <w:rFonts w:ascii="Work Sans" w:eastAsia="Segoe UI" w:hAnsi="Work Sans" w:cs="Arial"/>
          <w:sz w:val="20"/>
          <w:szCs w:val="20"/>
        </w:rPr>
        <w:t xml:space="preserve">tarifas diferenciales </w:t>
      </w:r>
      <w:bookmarkStart w:id="1" w:name="_Hlk76545635"/>
      <w:r>
        <w:rPr>
          <w:rFonts w:ascii="Work Sans" w:hAnsi="Work Sans" w:cs="Arial"/>
          <w:sz w:val="20"/>
          <w:szCs w:val="20"/>
        </w:rPr>
        <w:t xml:space="preserve">en las categorías I y II en la estación de peaje denominada Bayunca </w:t>
      </w:r>
      <w:bookmarkEnd w:id="0"/>
      <w:r>
        <w:rPr>
          <w:rFonts w:ascii="Work Sans" w:hAnsi="Work Sans" w:cs="Arial"/>
          <w:sz w:val="20"/>
          <w:szCs w:val="20"/>
        </w:rPr>
        <w:t xml:space="preserve">del </w:t>
      </w:r>
      <w:r>
        <w:rPr>
          <w:rFonts w:ascii="Work Sans" w:eastAsia="Segoe UI" w:hAnsi="Work Sans" w:cs="Arial"/>
          <w:sz w:val="20"/>
          <w:szCs w:val="20"/>
        </w:rPr>
        <w:t xml:space="preserve">Proyecto Vial Autopistas del Caribe, corredor de carga Cartagena - Barranquilla, </w:t>
      </w:r>
      <w:r>
        <w:rPr>
          <w:rFonts w:ascii="Work Sans" w:hAnsi="Work Sans" w:cs="Arial"/>
          <w:sz w:val="20"/>
          <w:szCs w:val="20"/>
        </w:rPr>
        <w:t xml:space="preserve">para vehículos de servicio particular y público de los habitantes y </w:t>
      </w:r>
      <w:r>
        <w:rPr>
          <w:rFonts w:ascii="Work Sans" w:eastAsia="Work Sans" w:hAnsi="Work Sans" w:cs="Work Sans"/>
          <w:sz w:val="20"/>
          <w:szCs w:val="20"/>
        </w:rPr>
        <w:t>us</w:t>
      </w:r>
      <w:r>
        <w:rPr>
          <w:rFonts w:ascii="Work Sans" w:eastAsia="Work Sans" w:hAnsi="Work Sans" w:cs="Work Sans"/>
          <w:sz w:val="20"/>
          <w:szCs w:val="20"/>
        </w:rPr>
        <w:t>uarios que laboren, estudien o que tengan relación con los municipios</w:t>
      </w:r>
      <w:r>
        <w:rPr>
          <w:rFonts w:ascii="Work Sans" w:hAnsi="Work Sans" w:cs="Arial"/>
          <w:sz w:val="20"/>
          <w:szCs w:val="20"/>
        </w:rPr>
        <w:t xml:space="preserve"> de Santa Catalina, Bayunca y Clemencia, con fundamento en lo siguiente:</w:t>
      </w:r>
    </w:p>
    <w:p w14:paraId="1160054A" w14:textId="77777777" w:rsidR="0089596F" w:rsidRDefault="00E054F8">
      <w:pPr>
        <w:widowControl/>
        <w:ind w:right="-1"/>
        <w:jc w:val="both"/>
      </w:pPr>
      <w:r>
        <w:rPr>
          <w:rFonts w:ascii="Work Sans" w:eastAsia="Segoe UI" w:hAnsi="Work Sans" w:cs="Arial"/>
          <w:sz w:val="20"/>
          <w:szCs w:val="20"/>
        </w:rPr>
        <w:t xml:space="preserve"> </w:t>
      </w:r>
      <w:bookmarkStart w:id="2" w:name="_Hlk499629612"/>
      <w:bookmarkEnd w:id="1"/>
    </w:p>
    <w:p w14:paraId="2BB79418" w14:textId="77777777" w:rsidR="0089596F" w:rsidRDefault="00E054F8">
      <w:pPr>
        <w:ind w:left="720" w:right="481"/>
        <w:jc w:val="both"/>
        <w:rPr>
          <w:rFonts w:ascii="Work Sans" w:hAnsi="Work Sans" w:cs="Arial"/>
          <w:i/>
          <w:iCs/>
          <w:sz w:val="18"/>
          <w:szCs w:val="18"/>
        </w:rPr>
      </w:pPr>
      <w:r>
        <w:rPr>
          <w:rFonts w:ascii="Work Sans" w:hAnsi="Work Sans" w:cs="Arial"/>
          <w:i/>
          <w:iCs/>
          <w:sz w:val="18"/>
          <w:szCs w:val="18"/>
        </w:rPr>
        <w:t xml:space="preserve">“El 5 de junio de 2014, los integrantes de la ESTRUCTURA PLURAL conformada por KMA Construcciones S.A., </w:t>
      </w:r>
      <w:proofErr w:type="spellStart"/>
      <w:r>
        <w:rPr>
          <w:rFonts w:ascii="Work Sans" w:hAnsi="Work Sans" w:cs="Arial"/>
          <w:i/>
          <w:iCs/>
          <w:sz w:val="18"/>
          <w:szCs w:val="18"/>
        </w:rPr>
        <w:t>Obresca</w:t>
      </w:r>
      <w:proofErr w:type="spellEnd"/>
      <w:r>
        <w:rPr>
          <w:rFonts w:ascii="Work Sans" w:hAnsi="Work Sans" w:cs="Arial"/>
          <w:i/>
          <w:iCs/>
          <w:sz w:val="18"/>
          <w:szCs w:val="18"/>
        </w:rPr>
        <w:t xml:space="preserve"> </w:t>
      </w:r>
      <w:r>
        <w:rPr>
          <w:rFonts w:ascii="Work Sans" w:hAnsi="Work Sans" w:cs="Arial"/>
          <w:i/>
          <w:iCs/>
          <w:sz w:val="18"/>
          <w:szCs w:val="18"/>
        </w:rPr>
        <w:t xml:space="preserve">S.A.S (hoy H+ERA S.A.S.) y Ortiz Construcciones y Proyectos S.A. Sucursal Colombia presentaron para evaluación de la ANI un proyecto de Asociación Público Privada de Iniciativa Privada (APP-IP) en etapa de </w:t>
      </w:r>
      <w:proofErr w:type="spellStart"/>
      <w:r>
        <w:rPr>
          <w:rFonts w:ascii="Work Sans" w:hAnsi="Work Sans" w:cs="Arial"/>
          <w:i/>
          <w:iCs/>
          <w:sz w:val="18"/>
          <w:szCs w:val="18"/>
        </w:rPr>
        <w:t>pre-factibilidad</w:t>
      </w:r>
      <w:proofErr w:type="spellEnd"/>
      <w:r>
        <w:rPr>
          <w:rFonts w:ascii="Work Sans" w:hAnsi="Work Sans" w:cs="Arial"/>
          <w:i/>
          <w:iCs/>
          <w:sz w:val="18"/>
          <w:szCs w:val="18"/>
        </w:rPr>
        <w:t>, para desarrollar los estudios, d</w:t>
      </w:r>
      <w:r>
        <w:rPr>
          <w:rFonts w:ascii="Work Sans" w:hAnsi="Work Sans" w:cs="Arial"/>
          <w:i/>
          <w:iCs/>
          <w:sz w:val="18"/>
          <w:szCs w:val="18"/>
        </w:rPr>
        <w:t>iseños, construcción, operación, mantenimiento, gestión social, predial y ambiental del proyecto de concesión vial, correspondiente al proyecto de Concesión Vial Autopistas del Caribe, Corredor de Carga Cartagena-Barranquilla.</w:t>
      </w:r>
    </w:p>
    <w:p w14:paraId="3CB916A4" w14:textId="77777777" w:rsidR="0089596F" w:rsidRDefault="0089596F">
      <w:pPr>
        <w:pStyle w:val="Prrafodelista"/>
        <w:ind w:left="1287" w:right="481" w:hanging="283"/>
        <w:rPr>
          <w:rFonts w:ascii="Work Sans" w:eastAsia="DejaVu Sans" w:hAnsi="Work Sans" w:cs="Arial"/>
          <w:i/>
          <w:iCs/>
          <w:sz w:val="18"/>
          <w:szCs w:val="18"/>
          <w:lang w:bidi="hi-IN"/>
        </w:rPr>
      </w:pPr>
    </w:p>
    <w:p w14:paraId="23A654B7" w14:textId="77777777" w:rsidR="0089596F" w:rsidRDefault="00E054F8">
      <w:pPr>
        <w:ind w:left="720" w:right="481"/>
        <w:jc w:val="both"/>
        <w:rPr>
          <w:rFonts w:ascii="Work Sans" w:hAnsi="Work Sans" w:cs="Arial"/>
          <w:i/>
          <w:iCs/>
          <w:sz w:val="18"/>
          <w:szCs w:val="18"/>
        </w:rPr>
      </w:pPr>
      <w:r>
        <w:rPr>
          <w:rFonts w:ascii="Work Sans" w:hAnsi="Work Sans" w:cs="Arial"/>
          <w:i/>
          <w:iCs/>
          <w:sz w:val="18"/>
          <w:szCs w:val="18"/>
        </w:rPr>
        <w:t>Mediante Resolución No. 2021</w:t>
      </w:r>
      <w:r>
        <w:rPr>
          <w:rFonts w:ascii="Work Sans" w:hAnsi="Work Sans" w:cs="Arial"/>
          <w:i/>
          <w:iCs/>
          <w:sz w:val="18"/>
          <w:szCs w:val="18"/>
        </w:rPr>
        <w:t>7030012385 de fecha 23 de julio de 2021, la Agencia Nacional de Infraestructura dispuso: “ARTÍCULO SEGUNDO. Adjudicar el Contrato de Concesión bajo el esquema de Asociación Público Privada de Iniciativa Privada para la ejecución del proyecto cuyo objeto es</w:t>
      </w:r>
      <w:r>
        <w:rPr>
          <w:rFonts w:ascii="Work Sans" w:hAnsi="Work Sans" w:cs="Arial"/>
          <w:i/>
          <w:iCs/>
          <w:sz w:val="18"/>
          <w:szCs w:val="18"/>
        </w:rPr>
        <w:t>: “Desarrollar los estudios, diseños, construcción, operación, mantenimiento, gestión social, predial y ambiental del proyecto de Concesión Vial Autopistas del Caribe, Corredor de Carga Cartagena-Barranquilla, de acuerdo con el Contrato de concesión, Apénd</w:t>
      </w:r>
      <w:r>
        <w:rPr>
          <w:rFonts w:ascii="Work Sans" w:hAnsi="Work Sans" w:cs="Arial"/>
          <w:i/>
          <w:iCs/>
          <w:sz w:val="18"/>
          <w:szCs w:val="18"/>
        </w:rPr>
        <w:t>ice Técnico 1 y demás apéndices del Contrato” al originador ESTRUCTURA PLURAL AUTOPISTAS DEL CARIBE”.</w:t>
      </w:r>
    </w:p>
    <w:p w14:paraId="3F0CC0BB" w14:textId="77777777" w:rsidR="0089596F" w:rsidRDefault="0089596F">
      <w:pPr>
        <w:pStyle w:val="Prrafodelista"/>
        <w:ind w:left="1287" w:right="481" w:hanging="283"/>
        <w:jc w:val="both"/>
        <w:rPr>
          <w:rFonts w:ascii="Work Sans" w:eastAsia="DejaVu Sans" w:hAnsi="Work Sans" w:cs="Arial"/>
          <w:i/>
          <w:iCs/>
          <w:sz w:val="18"/>
          <w:szCs w:val="18"/>
          <w:lang w:bidi="hi-IN"/>
        </w:rPr>
      </w:pPr>
    </w:p>
    <w:p w14:paraId="674A8E03" w14:textId="77777777" w:rsidR="0089596F" w:rsidRDefault="00E054F8">
      <w:pPr>
        <w:ind w:left="720" w:right="481"/>
        <w:jc w:val="both"/>
      </w:pPr>
      <w:bookmarkStart w:id="3" w:name="_Hlk104559359"/>
      <w:r>
        <w:rPr>
          <w:rFonts w:ascii="Work Sans" w:hAnsi="Work Sans" w:cs="Arial"/>
          <w:i/>
          <w:iCs/>
          <w:sz w:val="18"/>
          <w:szCs w:val="18"/>
        </w:rPr>
        <w:t>Dentro del alcance del objeto contractual adjudicado por la ANI a través de la Resolución No. 20217030012385 de fecha 23 de julio de 2021 se encuentran l</w:t>
      </w:r>
      <w:r>
        <w:rPr>
          <w:rFonts w:ascii="Work Sans" w:hAnsi="Work Sans" w:cs="Arial"/>
          <w:i/>
          <w:iCs/>
          <w:sz w:val="18"/>
          <w:szCs w:val="18"/>
        </w:rPr>
        <w:t>os tramos o trayectos que integraban el proyecto “Ruta Caribe” a cargo de Autopistas del Sol S.A.S., el cual ha obtenido el Ingreso Esperado</w:t>
      </w:r>
      <w:bookmarkEnd w:id="3"/>
      <w:r>
        <w:rPr>
          <w:rFonts w:ascii="Work Sans" w:hAnsi="Work Sans" w:cs="Arial"/>
          <w:i/>
          <w:iCs/>
          <w:sz w:val="18"/>
          <w:szCs w:val="18"/>
        </w:rPr>
        <w:t>.</w:t>
      </w:r>
    </w:p>
    <w:p w14:paraId="3236FF41" w14:textId="77777777" w:rsidR="0089596F" w:rsidRDefault="0089596F">
      <w:pPr>
        <w:ind w:left="1146" w:right="481"/>
        <w:jc w:val="both"/>
        <w:rPr>
          <w:rFonts w:ascii="Work Sans" w:hAnsi="Work Sans" w:cs="Arial"/>
          <w:i/>
          <w:iCs/>
          <w:sz w:val="18"/>
          <w:szCs w:val="18"/>
        </w:rPr>
      </w:pPr>
    </w:p>
    <w:p w14:paraId="02EB2540" w14:textId="77777777" w:rsidR="0089596F" w:rsidRDefault="00E054F8">
      <w:pPr>
        <w:ind w:left="720" w:right="481"/>
        <w:jc w:val="both"/>
      </w:pPr>
      <w:r>
        <w:rPr>
          <w:rFonts w:ascii="Work Sans" w:hAnsi="Work Sans" w:cs="Arial"/>
          <w:i/>
          <w:iCs/>
          <w:sz w:val="18"/>
          <w:szCs w:val="18"/>
        </w:rPr>
        <w:t xml:space="preserve">El 07 de julio de 2021 el Ministerio de Transporte expidió la </w:t>
      </w:r>
      <w:r>
        <w:rPr>
          <w:rFonts w:ascii="Work Sans" w:hAnsi="Work Sans"/>
          <w:i/>
          <w:iCs/>
          <w:sz w:val="18"/>
          <w:szCs w:val="18"/>
        </w:rPr>
        <w:t xml:space="preserve">Resolución 20213040028355 “Por la cual se </w:t>
      </w:r>
      <w:r>
        <w:rPr>
          <w:rFonts w:ascii="Work Sans" w:hAnsi="Work Sans"/>
          <w:i/>
          <w:iCs/>
          <w:sz w:val="18"/>
          <w:szCs w:val="18"/>
        </w:rPr>
        <w:t>emite concepto vinculante previo al establecimiento de una estación de peaje denominada Arroyo de Piedra, se establecen: tarifas a cobrar en la estación de peaje Arroyo de Piedra, tarifas para las categorías IV y  V en la estación de peaje Turbaco, tarifas</w:t>
      </w:r>
      <w:r>
        <w:rPr>
          <w:rFonts w:ascii="Work Sans" w:hAnsi="Work Sans"/>
          <w:i/>
          <w:iCs/>
          <w:sz w:val="18"/>
          <w:szCs w:val="18"/>
        </w:rPr>
        <w:t xml:space="preserve"> diferenciales en las estaciones de peaje Turbaco, Galapa y Arroyo de Piedra, incremento de las tarifas en las estaciones de peajes denominadas Gambote, Turbaco, Pasacaballos, Bayunca, Galapa y Sabanagrande, pertenecientes al Proyecto de Asociación Público</w:t>
      </w:r>
      <w:r>
        <w:rPr>
          <w:rFonts w:ascii="Work Sans" w:hAnsi="Work Sans"/>
          <w:i/>
          <w:iCs/>
          <w:sz w:val="18"/>
          <w:szCs w:val="18"/>
        </w:rPr>
        <w:t xml:space="preserve"> Privada de iniciativa privada denominada “Autopistas del Caribe Corredor de Carga Cartagena – Barranquilla” y se dictan otras disposiciones”</w:t>
      </w:r>
      <w:r>
        <w:rPr>
          <w:rFonts w:ascii="Work Sans" w:eastAsia="DengXian Light" w:hAnsi="Work Sans"/>
          <w:i/>
          <w:iCs/>
          <w:color w:val="000000"/>
          <w:sz w:val="18"/>
          <w:szCs w:val="18"/>
        </w:rPr>
        <w:t xml:space="preserve">, cuyo artículo 6 estableció un incremento para las tarifas de las estaciones de peaje, entre esos Bayunca, así: </w:t>
      </w:r>
    </w:p>
    <w:p w14:paraId="1200CA6A" w14:textId="77777777" w:rsidR="0089596F" w:rsidRDefault="0089596F">
      <w:pPr>
        <w:autoSpaceDE w:val="0"/>
        <w:ind w:left="720"/>
        <w:jc w:val="both"/>
        <w:rPr>
          <w:rFonts w:ascii="Work Sans" w:eastAsia="DengXian Light" w:hAnsi="Work Sans" w:cs="Arial"/>
          <w:i/>
          <w:iCs/>
          <w:color w:val="000000"/>
          <w:sz w:val="12"/>
          <w:szCs w:val="12"/>
        </w:rPr>
      </w:pPr>
    </w:p>
    <w:tbl>
      <w:tblPr>
        <w:tblW w:w="7622" w:type="dxa"/>
        <w:jc w:val="center"/>
        <w:tblCellMar>
          <w:left w:w="10" w:type="dxa"/>
          <w:right w:w="10" w:type="dxa"/>
        </w:tblCellMar>
        <w:tblLook w:val="0000" w:firstRow="0" w:lastRow="0" w:firstColumn="0" w:lastColumn="0" w:noHBand="0" w:noVBand="0"/>
      </w:tblPr>
      <w:tblGrid>
        <w:gridCol w:w="2195"/>
        <w:gridCol w:w="1382"/>
        <w:gridCol w:w="1341"/>
        <w:gridCol w:w="1223"/>
        <w:gridCol w:w="1441"/>
        <w:gridCol w:w="40"/>
      </w:tblGrid>
      <w:tr w:rsidR="0089596F" w14:paraId="3F081646" w14:textId="77777777">
        <w:tblPrEx>
          <w:tblCellMar>
            <w:top w:w="0" w:type="dxa"/>
            <w:bottom w:w="0" w:type="dxa"/>
          </w:tblCellMar>
        </w:tblPrEx>
        <w:trPr>
          <w:trHeight w:val="300"/>
          <w:jc w:val="center"/>
        </w:trPr>
        <w:tc>
          <w:tcPr>
            <w:tcW w:w="7582" w:type="dxa"/>
            <w:gridSpan w:val="5"/>
            <w:tcBorders>
              <w:top w:val="single" w:sz="4" w:space="0" w:color="000000"/>
              <w:left w:val="single" w:sz="4" w:space="0" w:color="000000"/>
              <w:bottom w:val="single" w:sz="4" w:space="0" w:color="000000"/>
              <w:right w:val="single" w:sz="4" w:space="0" w:color="000000"/>
            </w:tcBorders>
            <w:shd w:val="clear" w:color="auto" w:fill="0070C0"/>
            <w:tcMar>
              <w:top w:w="0" w:type="dxa"/>
              <w:left w:w="70" w:type="dxa"/>
              <w:bottom w:w="0" w:type="dxa"/>
              <w:right w:w="70" w:type="dxa"/>
            </w:tcMar>
            <w:vAlign w:val="center"/>
          </w:tcPr>
          <w:p w14:paraId="436206E6" w14:textId="77777777" w:rsidR="0089596F" w:rsidRDefault="00E054F8">
            <w:pPr>
              <w:jc w:val="center"/>
              <w:rPr>
                <w:rFonts w:ascii="Work Sans" w:hAnsi="Work Sans" w:cs="Calibri"/>
                <w:b/>
                <w:bCs/>
                <w:i/>
                <w:iCs/>
                <w:color w:val="FFFFFF"/>
                <w:sz w:val="12"/>
                <w:szCs w:val="12"/>
                <w:lang w:val="es-CO" w:eastAsia="es-CO"/>
              </w:rPr>
            </w:pPr>
            <w:r>
              <w:rPr>
                <w:rFonts w:ascii="Work Sans" w:hAnsi="Work Sans" w:cs="Calibri"/>
                <w:b/>
                <w:bCs/>
                <w:i/>
                <w:iCs/>
                <w:color w:val="FFFFFF"/>
                <w:sz w:val="12"/>
                <w:szCs w:val="12"/>
                <w:lang w:val="es-CO" w:eastAsia="es-CO"/>
              </w:rPr>
              <w:t xml:space="preserve">ESTACIÓN DE PEAJE BAYUNCA </w:t>
            </w:r>
          </w:p>
        </w:tc>
        <w:tc>
          <w:tcPr>
            <w:tcW w:w="40" w:type="dxa"/>
          </w:tcPr>
          <w:p w14:paraId="22AF6D7D" w14:textId="77777777" w:rsidR="0089596F" w:rsidRDefault="0089596F">
            <w:pPr>
              <w:jc w:val="center"/>
              <w:rPr>
                <w:rFonts w:ascii="Work Sans" w:hAnsi="Work Sans" w:cs="Calibri"/>
                <w:b/>
                <w:bCs/>
                <w:i/>
                <w:iCs/>
                <w:color w:val="FFFFFF"/>
                <w:sz w:val="12"/>
                <w:szCs w:val="12"/>
                <w:lang w:val="es-CO" w:eastAsia="es-CO"/>
              </w:rPr>
            </w:pPr>
          </w:p>
        </w:tc>
      </w:tr>
      <w:tr w:rsidR="0089596F" w14:paraId="0692DB07" w14:textId="77777777">
        <w:tblPrEx>
          <w:tblCellMar>
            <w:top w:w="0" w:type="dxa"/>
            <w:bottom w:w="0" w:type="dxa"/>
          </w:tblCellMar>
        </w:tblPrEx>
        <w:trPr>
          <w:trHeight w:val="600"/>
          <w:jc w:val="center"/>
        </w:trPr>
        <w:tc>
          <w:tcPr>
            <w:tcW w:w="2195" w:type="dxa"/>
            <w:tcBorders>
              <w:left w:val="single" w:sz="4" w:space="0" w:color="000000"/>
              <w:bottom w:val="single" w:sz="4" w:space="0" w:color="000000"/>
              <w:right w:val="single" w:sz="4" w:space="0" w:color="000000"/>
            </w:tcBorders>
            <w:shd w:val="clear" w:color="auto" w:fill="0070C0"/>
            <w:noWrap/>
            <w:tcMar>
              <w:top w:w="0" w:type="dxa"/>
              <w:left w:w="70" w:type="dxa"/>
              <w:bottom w:w="0" w:type="dxa"/>
              <w:right w:w="70" w:type="dxa"/>
            </w:tcMar>
            <w:vAlign w:val="center"/>
          </w:tcPr>
          <w:p w14:paraId="344B484F" w14:textId="77777777" w:rsidR="0089596F" w:rsidRDefault="00E054F8">
            <w:pPr>
              <w:jc w:val="center"/>
              <w:rPr>
                <w:rFonts w:ascii="Work Sans" w:hAnsi="Work Sans" w:cs="Calibri"/>
                <w:b/>
                <w:bCs/>
                <w:i/>
                <w:iCs/>
                <w:color w:val="FFFFFF"/>
                <w:sz w:val="12"/>
                <w:szCs w:val="12"/>
                <w:lang w:val="es-CO" w:eastAsia="es-CO"/>
              </w:rPr>
            </w:pPr>
            <w:r>
              <w:rPr>
                <w:rFonts w:ascii="Work Sans" w:hAnsi="Work Sans" w:cs="Calibri"/>
                <w:b/>
                <w:bCs/>
                <w:i/>
                <w:iCs/>
                <w:color w:val="FFFFFF"/>
                <w:sz w:val="12"/>
                <w:szCs w:val="12"/>
                <w:lang w:val="es-CO" w:eastAsia="es-CO"/>
              </w:rPr>
              <w:t xml:space="preserve">DESCRIPCIÓN CATEGORIA </w:t>
            </w:r>
          </w:p>
        </w:tc>
        <w:tc>
          <w:tcPr>
            <w:tcW w:w="1382" w:type="dxa"/>
            <w:tcBorders>
              <w:bottom w:val="single" w:sz="4" w:space="0" w:color="000000"/>
              <w:right w:val="single" w:sz="4" w:space="0" w:color="000000"/>
            </w:tcBorders>
            <w:shd w:val="clear" w:color="auto" w:fill="0070C0"/>
            <w:tcMar>
              <w:top w:w="0" w:type="dxa"/>
              <w:left w:w="70" w:type="dxa"/>
              <w:bottom w:w="0" w:type="dxa"/>
              <w:right w:w="70" w:type="dxa"/>
            </w:tcMar>
            <w:vAlign w:val="center"/>
          </w:tcPr>
          <w:p w14:paraId="4721C01D" w14:textId="77777777" w:rsidR="0089596F" w:rsidRDefault="00E054F8">
            <w:pPr>
              <w:jc w:val="center"/>
              <w:rPr>
                <w:rFonts w:ascii="Work Sans" w:hAnsi="Work Sans" w:cs="Calibri"/>
                <w:b/>
                <w:bCs/>
                <w:i/>
                <w:iCs/>
                <w:color w:val="FFFFFF"/>
                <w:sz w:val="12"/>
                <w:szCs w:val="12"/>
                <w:lang w:val="es-CO" w:eastAsia="es-CO"/>
              </w:rPr>
            </w:pPr>
            <w:r>
              <w:rPr>
                <w:rFonts w:ascii="Work Sans" w:hAnsi="Work Sans" w:cs="Calibri"/>
                <w:b/>
                <w:bCs/>
                <w:i/>
                <w:iCs/>
                <w:color w:val="FFFFFF"/>
                <w:sz w:val="12"/>
                <w:szCs w:val="12"/>
                <w:lang w:val="es-CO" w:eastAsia="es-CO"/>
              </w:rPr>
              <w:t>Año</w:t>
            </w:r>
            <w:r>
              <w:rPr>
                <w:rFonts w:ascii="Work Sans" w:hAnsi="Work Sans" w:cs="Calibri"/>
                <w:b/>
                <w:bCs/>
                <w:i/>
                <w:iCs/>
                <w:color w:val="FFFFFF"/>
                <w:sz w:val="12"/>
                <w:szCs w:val="12"/>
                <w:lang w:val="es-CO" w:eastAsia="es-CO"/>
              </w:rPr>
              <w:br/>
            </w:r>
            <w:r>
              <w:rPr>
                <w:rFonts w:ascii="Work Sans" w:hAnsi="Work Sans" w:cs="Calibri"/>
                <w:b/>
                <w:bCs/>
                <w:i/>
                <w:iCs/>
                <w:color w:val="FFFFFF"/>
                <w:sz w:val="12"/>
                <w:szCs w:val="12"/>
                <w:lang w:val="es-CO" w:eastAsia="es-CO"/>
              </w:rPr>
              <w:t>2022</w:t>
            </w:r>
          </w:p>
        </w:tc>
        <w:tc>
          <w:tcPr>
            <w:tcW w:w="1341" w:type="dxa"/>
            <w:tcBorders>
              <w:bottom w:val="single" w:sz="4" w:space="0" w:color="000000"/>
              <w:right w:val="single" w:sz="4" w:space="0" w:color="000000"/>
            </w:tcBorders>
            <w:shd w:val="clear" w:color="auto" w:fill="0070C0"/>
            <w:tcMar>
              <w:top w:w="0" w:type="dxa"/>
              <w:left w:w="70" w:type="dxa"/>
              <w:bottom w:w="0" w:type="dxa"/>
              <w:right w:w="70" w:type="dxa"/>
            </w:tcMar>
            <w:vAlign w:val="center"/>
          </w:tcPr>
          <w:p w14:paraId="74D3E1F6" w14:textId="77777777" w:rsidR="0089596F" w:rsidRDefault="00E054F8">
            <w:pPr>
              <w:jc w:val="center"/>
              <w:rPr>
                <w:rFonts w:ascii="Work Sans" w:hAnsi="Work Sans" w:cs="Calibri"/>
                <w:b/>
                <w:bCs/>
                <w:i/>
                <w:iCs/>
                <w:color w:val="FFFFFF"/>
                <w:sz w:val="12"/>
                <w:szCs w:val="12"/>
                <w:lang w:val="es-CO" w:eastAsia="es-CO"/>
              </w:rPr>
            </w:pPr>
            <w:r>
              <w:rPr>
                <w:rFonts w:ascii="Work Sans" w:hAnsi="Work Sans" w:cs="Calibri"/>
                <w:b/>
                <w:bCs/>
                <w:i/>
                <w:iCs/>
                <w:color w:val="FFFFFF"/>
                <w:sz w:val="12"/>
                <w:szCs w:val="12"/>
                <w:lang w:val="es-CO" w:eastAsia="es-CO"/>
              </w:rPr>
              <w:t>Año</w:t>
            </w:r>
            <w:r>
              <w:rPr>
                <w:rFonts w:ascii="Work Sans" w:hAnsi="Work Sans" w:cs="Calibri"/>
                <w:b/>
                <w:bCs/>
                <w:i/>
                <w:iCs/>
                <w:color w:val="FFFFFF"/>
                <w:sz w:val="12"/>
                <w:szCs w:val="12"/>
                <w:lang w:val="es-CO" w:eastAsia="es-CO"/>
              </w:rPr>
              <w:br/>
            </w:r>
            <w:r>
              <w:rPr>
                <w:rFonts w:ascii="Work Sans" w:hAnsi="Work Sans" w:cs="Calibri"/>
                <w:b/>
                <w:bCs/>
                <w:i/>
                <w:iCs/>
                <w:color w:val="FFFFFF"/>
                <w:sz w:val="12"/>
                <w:szCs w:val="12"/>
                <w:lang w:val="es-CO" w:eastAsia="es-CO"/>
              </w:rPr>
              <w:t>2023</w:t>
            </w:r>
          </w:p>
        </w:tc>
        <w:tc>
          <w:tcPr>
            <w:tcW w:w="1223" w:type="dxa"/>
            <w:tcBorders>
              <w:bottom w:val="single" w:sz="4" w:space="0" w:color="000000"/>
              <w:right w:val="single" w:sz="4" w:space="0" w:color="000000"/>
            </w:tcBorders>
            <w:shd w:val="clear" w:color="auto" w:fill="0070C0"/>
            <w:tcMar>
              <w:top w:w="0" w:type="dxa"/>
              <w:left w:w="70" w:type="dxa"/>
              <w:bottom w:w="0" w:type="dxa"/>
              <w:right w:w="70" w:type="dxa"/>
            </w:tcMar>
            <w:vAlign w:val="center"/>
          </w:tcPr>
          <w:p w14:paraId="7F909ADE" w14:textId="77777777" w:rsidR="0089596F" w:rsidRDefault="00E054F8">
            <w:pPr>
              <w:jc w:val="center"/>
              <w:rPr>
                <w:rFonts w:ascii="Work Sans" w:hAnsi="Work Sans" w:cs="Calibri"/>
                <w:b/>
                <w:bCs/>
                <w:i/>
                <w:iCs/>
                <w:color w:val="FFFFFF"/>
                <w:sz w:val="12"/>
                <w:szCs w:val="12"/>
                <w:lang w:val="es-CO" w:eastAsia="es-CO"/>
              </w:rPr>
            </w:pPr>
            <w:r>
              <w:rPr>
                <w:rFonts w:ascii="Work Sans" w:hAnsi="Work Sans" w:cs="Calibri"/>
                <w:b/>
                <w:bCs/>
                <w:i/>
                <w:iCs/>
                <w:color w:val="FFFFFF"/>
                <w:sz w:val="12"/>
                <w:szCs w:val="12"/>
                <w:lang w:val="es-CO" w:eastAsia="es-CO"/>
              </w:rPr>
              <w:t>Año</w:t>
            </w:r>
            <w:r>
              <w:rPr>
                <w:rFonts w:ascii="Work Sans" w:hAnsi="Work Sans" w:cs="Calibri"/>
                <w:b/>
                <w:bCs/>
                <w:i/>
                <w:iCs/>
                <w:color w:val="FFFFFF"/>
                <w:sz w:val="12"/>
                <w:szCs w:val="12"/>
                <w:lang w:val="es-CO" w:eastAsia="es-CO"/>
              </w:rPr>
              <w:br/>
            </w:r>
            <w:r>
              <w:rPr>
                <w:rFonts w:ascii="Work Sans" w:hAnsi="Work Sans" w:cs="Calibri"/>
                <w:b/>
                <w:bCs/>
                <w:i/>
                <w:iCs/>
                <w:color w:val="FFFFFF"/>
                <w:sz w:val="12"/>
                <w:szCs w:val="12"/>
                <w:lang w:val="es-CO" w:eastAsia="es-CO"/>
              </w:rPr>
              <w:t>2024</w:t>
            </w:r>
          </w:p>
        </w:tc>
        <w:tc>
          <w:tcPr>
            <w:tcW w:w="1441" w:type="dxa"/>
            <w:tcBorders>
              <w:bottom w:val="single" w:sz="4" w:space="0" w:color="000000"/>
              <w:right w:val="single" w:sz="4" w:space="0" w:color="000000"/>
            </w:tcBorders>
            <w:shd w:val="clear" w:color="auto" w:fill="0070C0"/>
            <w:tcMar>
              <w:top w:w="0" w:type="dxa"/>
              <w:left w:w="70" w:type="dxa"/>
              <w:bottom w:w="0" w:type="dxa"/>
              <w:right w:w="70" w:type="dxa"/>
            </w:tcMar>
            <w:vAlign w:val="center"/>
          </w:tcPr>
          <w:p w14:paraId="69922444" w14:textId="77777777" w:rsidR="0089596F" w:rsidRDefault="00E054F8">
            <w:pPr>
              <w:jc w:val="center"/>
              <w:rPr>
                <w:rFonts w:ascii="Work Sans" w:hAnsi="Work Sans" w:cs="Calibri"/>
                <w:b/>
                <w:bCs/>
                <w:i/>
                <w:iCs/>
                <w:color w:val="FFFFFF"/>
                <w:sz w:val="12"/>
                <w:szCs w:val="12"/>
                <w:lang w:val="es-CO" w:eastAsia="es-CO"/>
              </w:rPr>
            </w:pPr>
            <w:r>
              <w:rPr>
                <w:rFonts w:ascii="Work Sans" w:hAnsi="Work Sans" w:cs="Calibri"/>
                <w:b/>
                <w:bCs/>
                <w:i/>
                <w:iCs/>
                <w:color w:val="FFFFFF"/>
                <w:sz w:val="12"/>
                <w:szCs w:val="12"/>
                <w:lang w:val="es-CO" w:eastAsia="es-CO"/>
              </w:rPr>
              <w:t>Año</w:t>
            </w:r>
            <w:r>
              <w:rPr>
                <w:rFonts w:ascii="Work Sans" w:hAnsi="Work Sans" w:cs="Calibri"/>
                <w:b/>
                <w:bCs/>
                <w:i/>
                <w:iCs/>
                <w:color w:val="FFFFFF"/>
                <w:sz w:val="12"/>
                <w:szCs w:val="12"/>
                <w:lang w:val="es-CO" w:eastAsia="es-CO"/>
              </w:rPr>
              <w:br/>
            </w:r>
            <w:r>
              <w:rPr>
                <w:rFonts w:ascii="Work Sans" w:hAnsi="Work Sans" w:cs="Calibri"/>
                <w:b/>
                <w:bCs/>
                <w:i/>
                <w:iCs/>
                <w:color w:val="FFFFFF"/>
                <w:sz w:val="12"/>
                <w:szCs w:val="12"/>
                <w:lang w:val="es-CO" w:eastAsia="es-CO"/>
              </w:rPr>
              <w:t>2025</w:t>
            </w:r>
          </w:p>
        </w:tc>
        <w:tc>
          <w:tcPr>
            <w:tcW w:w="40" w:type="dxa"/>
            <w:shd w:val="clear" w:color="auto" w:fill="auto"/>
            <w:tcMar>
              <w:top w:w="0" w:type="dxa"/>
              <w:left w:w="10" w:type="dxa"/>
              <w:bottom w:w="0" w:type="dxa"/>
              <w:right w:w="10" w:type="dxa"/>
            </w:tcMar>
          </w:tcPr>
          <w:p w14:paraId="26863B04" w14:textId="77777777" w:rsidR="0089596F" w:rsidRDefault="0089596F">
            <w:pPr>
              <w:jc w:val="center"/>
              <w:rPr>
                <w:rFonts w:ascii="Work Sans" w:hAnsi="Work Sans" w:cs="Calibri"/>
                <w:b/>
                <w:bCs/>
                <w:i/>
                <w:iCs/>
                <w:color w:val="FFFFFF"/>
                <w:sz w:val="12"/>
                <w:szCs w:val="12"/>
                <w:lang w:val="es-CO" w:eastAsia="es-CO"/>
              </w:rPr>
            </w:pPr>
          </w:p>
        </w:tc>
      </w:tr>
      <w:tr w:rsidR="0089596F" w14:paraId="60F4171C" w14:textId="77777777">
        <w:tblPrEx>
          <w:tblCellMar>
            <w:top w:w="0" w:type="dxa"/>
            <w:bottom w:w="0" w:type="dxa"/>
          </w:tblCellMar>
        </w:tblPrEx>
        <w:trPr>
          <w:trHeight w:val="900"/>
          <w:jc w:val="center"/>
        </w:trPr>
        <w:tc>
          <w:tcPr>
            <w:tcW w:w="2195"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4AE95576" w14:textId="77777777" w:rsidR="0089596F" w:rsidRDefault="00E054F8">
            <w:pPr>
              <w:rPr>
                <w:rFonts w:ascii="Work Sans" w:hAnsi="Work Sans" w:cs="Calibri"/>
                <w:i/>
                <w:iCs/>
                <w:color w:val="000000"/>
                <w:sz w:val="12"/>
                <w:szCs w:val="12"/>
                <w:lang w:val="es-CO" w:eastAsia="es-CO"/>
              </w:rPr>
            </w:pPr>
            <w:r>
              <w:rPr>
                <w:rFonts w:ascii="Work Sans" w:hAnsi="Work Sans" w:cs="Calibri"/>
                <w:i/>
                <w:iCs/>
                <w:color w:val="000000"/>
                <w:sz w:val="12"/>
                <w:szCs w:val="12"/>
                <w:lang w:val="es-CO" w:eastAsia="es-CO"/>
              </w:rPr>
              <w:t>Categoría I Automóviles,</w:t>
            </w:r>
            <w:r>
              <w:rPr>
                <w:rFonts w:ascii="Work Sans" w:hAnsi="Work Sans" w:cs="Calibri"/>
                <w:i/>
                <w:iCs/>
                <w:color w:val="000000"/>
                <w:sz w:val="12"/>
                <w:szCs w:val="12"/>
                <w:lang w:val="es-CO" w:eastAsia="es-CO"/>
              </w:rPr>
              <w:br/>
            </w:r>
            <w:r>
              <w:rPr>
                <w:rFonts w:ascii="Work Sans" w:hAnsi="Work Sans" w:cs="Calibri"/>
                <w:i/>
                <w:iCs/>
                <w:color w:val="000000"/>
                <w:sz w:val="12"/>
                <w:szCs w:val="12"/>
                <w:lang w:val="es-CO" w:eastAsia="es-CO"/>
              </w:rPr>
              <w:t>camperos, camionetas y microbuses</w:t>
            </w:r>
            <w:r>
              <w:rPr>
                <w:rFonts w:ascii="Work Sans" w:hAnsi="Work Sans" w:cs="Calibri"/>
                <w:i/>
                <w:iCs/>
                <w:color w:val="000000"/>
                <w:sz w:val="12"/>
                <w:szCs w:val="12"/>
                <w:lang w:val="es-CO" w:eastAsia="es-CO"/>
              </w:rPr>
              <w:br/>
            </w:r>
            <w:r>
              <w:rPr>
                <w:rFonts w:ascii="Work Sans" w:hAnsi="Work Sans" w:cs="Calibri"/>
                <w:i/>
                <w:iCs/>
                <w:color w:val="000000"/>
                <w:sz w:val="12"/>
                <w:szCs w:val="12"/>
                <w:lang w:val="es-CO" w:eastAsia="es-CO"/>
              </w:rPr>
              <w:t>con ejes de llanta sencilla</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80795D" w14:textId="77777777" w:rsidR="0089596F" w:rsidRDefault="00E054F8">
            <w:pPr>
              <w:jc w:val="right"/>
            </w:pPr>
            <w:r>
              <w:rPr>
                <w:rFonts w:ascii="Work Sans" w:hAnsi="Work Sans" w:cs="Calibri"/>
                <w:i/>
                <w:iCs/>
                <w:color w:val="000000"/>
                <w:sz w:val="12"/>
                <w:szCs w:val="12"/>
                <w:lang w:val="es-CO" w:eastAsia="es-CO"/>
              </w:rPr>
              <w:t xml:space="preserve"> $          8.035 </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BCDB65" w14:textId="77777777" w:rsidR="0089596F" w:rsidRDefault="00E054F8">
            <w:pPr>
              <w:jc w:val="right"/>
            </w:pPr>
            <w:r>
              <w:rPr>
                <w:rFonts w:ascii="Work Sans" w:hAnsi="Work Sans" w:cs="Calibri"/>
                <w:i/>
                <w:iCs/>
                <w:color w:val="000000"/>
                <w:sz w:val="12"/>
                <w:szCs w:val="12"/>
                <w:lang w:val="es-CO" w:eastAsia="es-CO"/>
              </w:rPr>
              <w:t xml:space="preserve"> $          8.678 </w:t>
            </w:r>
          </w:p>
        </w:tc>
        <w:tc>
          <w:tcPr>
            <w:tcW w:w="12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39A037" w14:textId="77777777" w:rsidR="0089596F" w:rsidRDefault="00E054F8">
            <w:pPr>
              <w:jc w:val="right"/>
            </w:pPr>
            <w:r>
              <w:rPr>
                <w:rFonts w:ascii="Work Sans" w:hAnsi="Work Sans" w:cs="Calibri"/>
                <w:i/>
                <w:iCs/>
                <w:color w:val="000000"/>
                <w:sz w:val="12"/>
                <w:szCs w:val="12"/>
                <w:lang w:val="es-CO" w:eastAsia="es-CO"/>
              </w:rPr>
              <w:t xml:space="preserve"> $          9.276 </w:t>
            </w:r>
          </w:p>
        </w:tc>
        <w:tc>
          <w:tcPr>
            <w:tcW w:w="14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C40E76" w14:textId="77777777" w:rsidR="0089596F" w:rsidRDefault="00E054F8">
            <w:pPr>
              <w:jc w:val="right"/>
            </w:pPr>
            <w:r>
              <w:rPr>
                <w:rFonts w:ascii="Work Sans" w:hAnsi="Work Sans" w:cs="Calibri"/>
                <w:i/>
                <w:iCs/>
                <w:color w:val="000000"/>
                <w:sz w:val="12"/>
                <w:szCs w:val="12"/>
                <w:lang w:val="es-CO" w:eastAsia="es-CO"/>
              </w:rPr>
              <w:t xml:space="preserve"> $          9.750 </w:t>
            </w:r>
          </w:p>
        </w:tc>
        <w:tc>
          <w:tcPr>
            <w:tcW w:w="40" w:type="dxa"/>
            <w:shd w:val="clear" w:color="auto" w:fill="auto"/>
            <w:tcMar>
              <w:top w:w="0" w:type="dxa"/>
              <w:left w:w="10" w:type="dxa"/>
              <w:bottom w:w="0" w:type="dxa"/>
              <w:right w:w="10" w:type="dxa"/>
            </w:tcMar>
          </w:tcPr>
          <w:p w14:paraId="486B8C59" w14:textId="77777777" w:rsidR="0089596F" w:rsidRDefault="0089596F">
            <w:pPr>
              <w:jc w:val="right"/>
            </w:pPr>
          </w:p>
        </w:tc>
      </w:tr>
      <w:tr w:rsidR="0089596F" w14:paraId="1545BFF0" w14:textId="77777777">
        <w:tblPrEx>
          <w:tblCellMar>
            <w:top w:w="0" w:type="dxa"/>
            <w:bottom w:w="0" w:type="dxa"/>
          </w:tblCellMar>
        </w:tblPrEx>
        <w:trPr>
          <w:trHeight w:val="1200"/>
          <w:jc w:val="center"/>
        </w:trPr>
        <w:tc>
          <w:tcPr>
            <w:tcW w:w="219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F2772C7" w14:textId="77777777" w:rsidR="0089596F" w:rsidRDefault="00E054F8">
            <w:pPr>
              <w:rPr>
                <w:rFonts w:ascii="Work Sans" w:hAnsi="Work Sans" w:cs="Calibri"/>
                <w:i/>
                <w:iCs/>
                <w:color w:val="000000"/>
                <w:sz w:val="12"/>
                <w:szCs w:val="12"/>
                <w:lang w:val="es-CO" w:eastAsia="es-CO"/>
              </w:rPr>
            </w:pPr>
            <w:r>
              <w:rPr>
                <w:rFonts w:ascii="Work Sans" w:hAnsi="Work Sans" w:cs="Calibri"/>
                <w:i/>
                <w:iCs/>
                <w:color w:val="000000"/>
                <w:sz w:val="12"/>
                <w:szCs w:val="12"/>
                <w:lang w:val="es-CO" w:eastAsia="es-CO"/>
              </w:rPr>
              <w:t>Categoría II Buses, busetas,</w:t>
            </w:r>
            <w:r>
              <w:rPr>
                <w:rFonts w:ascii="Work Sans" w:hAnsi="Work Sans" w:cs="Calibri"/>
                <w:i/>
                <w:iCs/>
                <w:color w:val="000000"/>
                <w:sz w:val="12"/>
                <w:szCs w:val="12"/>
                <w:lang w:val="es-CO" w:eastAsia="es-CO"/>
              </w:rPr>
              <w:br/>
            </w:r>
            <w:r>
              <w:rPr>
                <w:rFonts w:ascii="Work Sans" w:hAnsi="Work Sans" w:cs="Calibri"/>
                <w:i/>
                <w:iCs/>
                <w:color w:val="000000"/>
                <w:sz w:val="12"/>
                <w:szCs w:val="12"/>
                <w:lang w:val="es-CO" w:eastAsia="es-CO"/>
              </w:rPr>
              <w:t>microbuses con eje trasero de</w:t>
            </w:r>
            <w:r>
              <w:rPr>
                <w:rFonts w:ascii="Work Sans" w:hAnsi="Work Sans" w:cs="Calibri"/>
                <w:i/>
                <w:iCs/>
                <w:color w:val="000000"/>
                <w:sz w:val="12"/>
                <w:szCs w:val="12"/>
                <w:lang w:val="es-CO" w:eastAsia="es-CO"/>
              </w:rPr>
              <w:br/>
            </w:r>
            <w:r>
              <w:rPr>
                <w:rFonts w:ascii="Work Sans" w:hAnsi="Work Sans" w:cs="Calibri"/>
                <w:i/>
                <w:iCs/>
                <w:color w:val="000000"/>
                <w:sz w:val="12"/>
                <w:szCs w:val="12"/>
                <w:lang w:val="es-CO" w:eastAsia="es-CO"/>
              </w:rPr>
              <w:t>doble llanta camiones de dos</w:t>
            </w:r>
            <w:r>
              <w:rPr>
                <w:rFonts w:ascii="Work Sans" w:hAnsi="Work Sans" w:cs="Calibri"/>
                <w:i/>
                <w:iCs/>
                <w:color w:val="000000"/>
                <w:sz w:val="12"/>
                <w:szCs w:val="12"/>
                <w:lang w:val="es-CO" w:eastAsia="es-CO"/>
              </w:rPr>
              <w:br/>
            </w:r>
            <w:r>
              <w:rPr>
                <w:rFonts w:ascii="Work Sans" w:hAnsi="Work Sans" w:cs="Calibri"/>
                <w:i/>
                <w:iCs/>
                <w:color w:val="000000"/>
                <w:sz w:val="12"/>
                <w:szCs w:val="12"/>
                <w:lang w:val="es-CO" w:eastAsia="es-CO"/>
              </w:rPr>
              <w:t>ejes.</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6AFB74" w14:textId="77777777" w:rsidR="0089596F" w:rsidRDefault="00E054F8">
            <w:pPr>
              <w:jc w:val="right"/>
            </w:pPr>
            <w:r>
              <w:rPr>
                <w:rFonts w:ascii="Work Sans" w:hAnsi="Work Sans" w:cs="Calibri"/>
                <w:i/>
                <w:iCs/>
                <w:color w:val="000000"/>
                <w:sz w:val="12"/>
                <w:szCs w:val="12"/>
                <w:lang w:val="es-CO" w:eastAsia="es-CO"/>
              </w:rPr>
              <w:t xml:space="preserve"> $          9.661 </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3D9610" w14:textId="77777777" w:rsidR="0089596F" w:rsidRDefault="00E054F8">
            <w:pPr>
              <w:jc w:val="right"/>
            </w:pPr>
            <w:r>
              <w:rPr>
                <w:rFonts w:ascii="Work Sans" w:hAnsi="Work Sans" w:cs="Calibri"/>
                <w:i/>
                <w:iCs/>
                <w:color w:val="000000"/>
                <w:sz w:val="12"/>
                <w:szCs w:val="12"/>
                <w:lang w:val="es-CO" w:eastAsia="es-CO"/>
              </w:rPr>
              <w:t xml:space="preserve"> $       10.694 </w:t>
            </w:r>
          </w:p>
        </w:tc>
        <w:tc>
          <w:tcPr>
            <w:tcW w:w="12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B2C6A4" w14:textId="77777777" w:rsidR="0089596F" w:rsidRDefault="00E054F8">
            <w:pPr>
              <w:jc w:val="right"/>
            </w:pPr>
            <w:r>
              <w:rPr>
                <w:rFonts w:ascii="Work Sans" w:hAnsi="Work Sans" w:cs="Calibri"/>
                <w:i/>
                <w:iCs/>
                <w:color w:val="000000"/>
                <w:sz w:val="12"/>
                <w:szCs w:val="12"/>
                <w:lang w:val="es-CO" w:eastAsia="es-CO"/>
              </w:rPr>
              <w:t xml:space="preserve"> $       11.659 </w:t>
            </w:r>
          </w:p>
        </w:tc>
        <w:tc>
          <w:tcPr>
            <w:tcW w:w="14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7B71D3" w14:textId="77777777" w:rsidR="0089596F" w:rsidRDefault="00E054F8">
            <w:pPr>
              <w:jc w:val="right"/>
            </w:pPr>
            <w:r>
              <w:rPr>
                <w:rFonts w:ascii="Work Sans" w:hAnsi="Work Sans" w:cs="Calibri"/>
                <w:i/>
                <w:iCs/>
                <w:color w:val="000000"/>
                <w:sz w:val="12"/>
                <w:szCs w:val="12"/>
                <w:lang w:val="es-CO" w:eastAsia="es-CO"/>
              </w:rPr>
              <w:t xml:space="preserve"> $       12.559 </w:t>
            </w:r>
          </w:p>
        </w:tc>
        <w:tc>
          <w:tcPr>
            <w:tcW w:w="40" w:type="dxa"/>
            <w:shd w:val="clear" w:color="auto" w:fill="auto"/>
            <w:tcMar>
              <w:top w:w="0" w:type="dxa"/>
              <w:left w:w="10" w:type="dxa"/>
              <w:bottom w:w="0" w:type="dxa"/>
              <w:right w:w="10" w:type="dxa"/>
            </w:tcMar>
          </w:tcPr>
          <w:p w14:paraId="5ECA6306" w14:textId="77777777" w:rsidR="0089596F" w:rsidRDefault="0089596F">
            <w:pPr>
              <w:jc w:val="right"/>
            </w:pPr>
          </w:p>
        </w:tc>
      </w:tr>
      <w:tr w:rsidR="0089596F" w14:paraId="4FEEFD89" w14:textId="77777777">
        <w:tblPrEx>
          <w:tblCellMar>
            <w:top w:w="0" w:type="dxa"/>
            <w:bottom w:w="0" w:type="dxa"/>
          </w:tblCellMar>
        </w:tblPrEx>
        <w:trPr>
          <w:trHeight w:val="900"/>
          <w:jc w:val="center"/>
        </w:trPr>
        <w:tc>
          <w:tcPr>
            <w:tcW w:w="219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FE11D1A" w14:textId="77777777" w:rsidR="0089596F" w:rsidRDefault="00E054F8">
            <w:pPr>
              <w:rPr>
                <w:rFonts w:ascii="Work Sans" w:hAnsi="Work Sans" w:cs="Calibri"/>
                <w:i/>
                <w:iCs/>
                <w:color w:val="000000"/>
                <w:sz w:val="12"/>
                <w:szCs w:val="12"/>
                <w:lang w:val="es-CO" w:eastAsia="es-CO"/>
              </w:rPr>
            </w:pPr>
            <w:r>
              <w:rPr>
                <w:rFonts w:ascii="Work Sans" w:hAnsi="Work Sans" w:cs="Calibri"/>
                <w:i/>
                <w:iCs/>
                <w:color w:val="000000"/>
                <w:sz w:val="12"/>
                <w:szCs w:val="12"/>
                <w:lang w:val="es-CO" w:eastAsia="es-CO"/>
              </w:rPr>
              <w:lastRenderedPageBreak/>
              <w:t>Categoría III Vehículos de</w:t>
            </w:r>
            <w:r>
              <w:rPr>
                <w:rFonts w:ascii="Work Sans" w:hAnsi="Work Sans" w:cs="Calibri"/>
                <w:i/>
                <w:iCs/>
                <w:color w:val="000000"/>
                <w:sz w:val="12"/>
                <w:szCs w:val="12"/>
                <w:lang w:val="es-CO" w:eastAsia="es-CO"/>
              </w:rPr>
              <w:br/>
            </w:r>
            <w:r>
              <w:rPr>
                <w:rFonts w:ascii="Work Sans" w:hAnsi="Work Sans" w:cs="Calibri"/>
                <w:i/>
                <w:iCs/>
                <w:color w:val="000000"/>
                <w:sz w:val="12"/>
                <w:szCs w:val="12"/>
                <w:lang w:val="es-CO" w:eastAsia="es-CO"/>
              </w:rPr>
              <w:t>pasajeros y de carga de tres y</w:t>
            </w:r>
            <w:r>
              <w:rPr>
                <w:rFonts w:ascii="Work Sans" w:hAnsi="Work Sans" w:cs="Calibri"/>
                <w:i/>
                <w:iCs/>
                <w:color w:val="000000"/>
                <w:sz w:val="12"/>
                <w:szCs w:val="12"/>
                <w:lang w:val="es-CO" w:eastAsia="es-CO"/>
              </w:rPr>
              <w:br/>
            </w:r>
            <w:r>
              <w:rPr>
                <w:rFonts w:ascii="Work Sans" w:hAnsi="Work Sans" w:cs="Calibri"/>
                <w:i/>
                <w:iCs/>
                <w:color w:val="000000"/>
                <w:sz w:val="12"/>
                <w:szCs w:val="12"/>
                <w:lang w:val="es-CO" w:eastAsia="es-CO"/>
              </w:rPr>
              <w:t>cuatro ejes.</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2629C9" w14:textId="77777777" w:rsidR="0089596F" w:rsidRDefault="00E054F8">
            <w:pPr>
              <w:jc w:val="right"/>
            </w:pPr>
            <w:r>
              <w:rPr>
                <w:rFonts w:ascii="Work Sans" w:hAnsi="Work Sans" w:cs="Calibri"/>
                <w:i/>
                <w:iCs/>
                <w:color w:val="000000"/>
                <w:sz w:val="12"/>
                <w:szCs w:val="12"/>
                <w:lang w:val="es-CO" w:eastAsia="es-CO"/>
              </w:rPr>
              <w:t xml:space="preserve"> $       </w:t>
            </w:r>
            <w:r>
              <w:rPr>
                <w:rFonts w:ascii="Work Sans" w:hAnsi="Work Sans" w:cs="Calibri"/>
                <w:i/>
                <w:iCs/>
                <w:color w:val="000000"/>
                <w:sz w:val="12"/>
                <w:szCs w:val="12"/>
                <w:lang w:val="es-CO" w:eastAsia="es-CO"/>
              </w:rPr>
              <w:t xml:space="preserve">18.689 </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1DFED3" w14:textId="77777777" w:rsidR="0089596F" w:rsidRDefault="00E054F8">
            <w:pPr>
              <w:jc w:val="right"/>
            </w:pPr>
            <w:r>
              <w:rPr>
                <w:rFonts w:ascii="Work Sans" w:hAnsi="Work Sans" w:cs="Calibri"/>
                <w:i/>
                <w:iCs/>
                <w:color w:val="000000"/>
                <w:sz w:val="12"/>
                <w:szCs w:val="12"/>
                <w:lang w:val="es-CO" w:eastAsia="es-CO"/>
              </w:rPr>
              <w:t xml:space="preserve"> $       19.635 </w:t>
            </w:r>
          </w:p>
        </w:tc>
        <w:tc>
          <w:tcPr>
            <w:tcW w:w="12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C5D9B0" w14:textId="77777777" w:rsidR="0089596F" w:rsidRDefault="00E054F8">
            <w:pPr>
              <w:jc w:val="right"/>
            </w:pPr>
            <w:r>
              <w:rPr>
                <w:rFonts w:ascii="Work Sans" w:hAnsi="Work Sans" w:cs="Calibri"/>
                <w:i/>
                <w:iCs/>
                <w:color w:val="000000"/>
                <w:sz w:val="12"/>
                <w:szCs w:val="12"/>
                <w:lang w:val="es-CO" w:eastAsia="es-CO"/>
              </w:rPr>
              <w:t xml:space="preserve"> $       20.510 </w:t>
            </w:r>
          </w:p>
        </w:tc>
        <w:tc>
          <w:tcPr>
            <w:tcW w:w="14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3D2A81" w14:textId="77777777" w:rsidR="0089596F" w:rsidRDefault="00E054F8">
            <w:pPr>
              <w:jc w:val="right"/>
            </w:pPr>
            <w:r>
              <w:rPr>
                <w:rFonts w:ascii="Work Sans" w:hAnsi="Work Sans" w:cs="Calibri"/>
                <w:i/>
                <w:iCs/>
                <w:color w:val="000000"/>
                <w:sz w:val="12"/>
                <w:szCs w:val="12"/>
                <w:lang w:val="es-CO" w:eastAsia="es-CO"/>
              </w:rPr>
              <w:t xml:space="preserve"> $       21.317 </w:t>
            </w:r>
          </w:p>
        </w:tc>
        <w:tc>
          <w:tcPr>
            <w:tcW w:w="40" w:type="dxa"/>
            <w:shd w:val="clear" w:color="auto" w:fill="auto"/>
            <w:tcMar>
              <w:top w:w="0" w:type="dxa"/>
              <w:left w:w="10" w:type="dxa"/>
              <w:bottom w:w="0" w:type="dxa"/>
              <w:right w:w="10" w:type="dxa"/>
            </w:tcMar>
          </w:tcPr>
          <w:p w14:paraId="2C944A31" w14:textId="77777777" w:rsidR="0089596F" w:rsidRDefault="0089596F">
            <w:pPr>
              <w:jc w:val="right"/>
            </w:pPr>
          </w:p>
        </w:tc>
      </w:tr>
      <w:tr w:rsidR="0089596F" w14:paraId="468C21B1" w14:textId="77777777">
        <w:tblPrEx>
          <w:tblCellMar>
            <w:top w:w="0" w:type="dxa"/>
            <w:bottom w:w="0" w:type="dxa"/>
          </w:tblCellMar>
        </w:tblPrEx>
        <w:trPr>
          <w:trHeight w:val="600"/>
          <w:jc w:val="center"/>
        </w:trPr>
        <w:tc>
          <w:tcPr>
            <w:tcW w:w="219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E815267" w14:textId="77777777" w:rsidR="0089596F" w:rsidRDefault="00E054F8">
            <w:pPr>
              <w:rPr>
                <w:rFonts w:ascii="Work Sans" w:hAnsi="Work Sans" w:cs="Calibri"/>
                <w:i/>
                <w:iCs/>
                <w:color w:val="000000"/>
                <w:sz w:val="12"/>
                <w:szCs w:val="12"/>
                <w:lang w:val="es-CO" w:eastAsia="es-CO"/>
              </w:rPr>
            </w:pPr>
            <w:r>
              <w:rPr>
                <w:rFonts w:ascii="Work Sans" w:hAnsi="Work Sans" w:cs="Calibri"/>
                <w:i/>
                <w:iCs/>
                <w:color w:val="000000"/>
                <w:sz w:val="12"/>
                <w:szCs w:val="12"/>
                <w:lang w:val="es-CO" w:eastAsia="es-CO"/>
              </w:rPr>
              <w:t>Categoría IV Vehículos de cinco</w:t>
            </w:r>
            <w:r>
              <w:rPr>
                <w:rFonts w:ascii="Work Sans" w:hAnsi="Work Sans" w:cs="Calibri"/>
                <w:i/>
                <w:iCs/>
                <w:color w:val="000000"/>
                <w:sz w:val="12"/>
                <w:szCs w:val="12"/>
                <w:lang w:val="es-CO" w:eastAsia="es-CO"/>
              </w:rPr>
              <w:br/>
            </w:r>
            <w:r>
              <w:rPr>
                <w:rFonts w:ascii="Work Sans" w:hAnsi="Work Sans" w:cs="Calibri"/>
                <w:i/>
                <w:iCs/>
                <w:color w:val="000000"/>
                <w:sz w:val="12"/>
                <w:szCs w:val="12"/>
                <w:lang w:val="es-CO" w:eastAsia="es-CO"/>
              </w:rPr>
              <w:t>ejes.</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4306E4" w14:textId="77777777" w:rsidR="0089596F" w:rsidRDefault="00E054F8">
            <w:pPr>
              <w:jc w:val="right"/>
            </w:pPr>
            <w:r>
              <w:rPr>
                <w:rFonts w:ascii="Work Sans" w:hAnsi="Work Sans" w:cs="Calibri"/>
                <w:i/>
                <w:iCs/>
                <w:color w:val="000000"/>
                <w:sz w:val="12"/>
                <w:szCs w:val="12"/>
                <w:lang w:val="es-CO" w:eastAsia="es-CO"/>
              </w:rPr>
              <w:t xml:space="preserve"> $       26.995 </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6C51FD" w14:textId="77777777" w:rsidR="0089596F" w:rsidRDefault="00E054F8">
            <w:pPr>
              <w:jc w:val="right"/>
            </w:pPr>
            <w:r>
              <w:rPr>
                <w:rFonts w:ascii="Work Sans" w:hAnsi="Work Sans" w:cs="Calibri"/>
                <w:i/>
                <w:iCs/>
                <w:color w:val="000000"/>
                <w:sz w:val="12"/>
                <w:szCs w:val="12"/>
                <w:lang w:val="es-CO" w:eastAsia="es-CO"/>
              </w:rPr>
              <w:t xml:space="preserve"> $       29.189 </w:t>
            </w:r>
          </w:p>
        </w:tc>
        <w:tc>
          <w:tcPr>
            <w:tcW w:w="12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9225BD" w14:textId="77777777" w:rsidR="0089596F" w:rsidRDefault="00E054F8">
            <w:pPr>
              <w:jc w:val="right"/>
            </w:pPr>
            <w:r>
              <w:rPr>
                <w:rFonts w:ascii="Work Sans" w:hAnsi="Work Sans" w:cs="Calibri"/>
                <w:i/>
                <w:iCs/>
                <w:color w:val="000000"/>
                <w:sz w:val="12"/>
                <w:szCs w:val="12"/>
                <w:lang w:val="es-CO" w:eastAsia="es-CO"/>
              </w:rPr>
              <w:t xml:space="preserve"> $       31.233 </w:t>
            </w:r>
          </w:p>
        </w:tc>
        <w:tc>
          <w:tcPr>
            <w:tcW w:w="14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BE7A6E" w14:textId="77777777" w:rsidR="0089596F" w:rsidRDefault="00E054F8">
            <w:pPr>
              <w:jc w:val="right"/>
            </w:pPr>
            <w:r>
              <w:rPr>
                <w:rFonts w:ascii="Work Sans" w:hAnsi="Work Sans" w:cs="Calibri"/>
                <w:i/>
                <w:iCs/>
                <w:color w:val="000000"/>
                <w:sz w:val="12"/>
                <w:szCs w:val="12"/>
                <w:lang w:val="es-CO" w:eastAsia="es-CO"/>
              </w:rPr>
              <w:t xml:space="preserve"> $       32.802 </w:t>
            </w:r>
          </w:p>
        </w:tc>
        <w:tc>
          <w:tcPr>
            <w:tcW w:w="40" w:type="dxa"/>
            <w:shd w:val="clear" w:color="auto" w:fill="auto"/>
            <w:tcMar>
              <w:top w:w="0" w:type="dxa"/>
              <w:left w:w="10" w:type="dxa"/>
              <w:bottom w:w="0" w:type="dxa"/>
              <w:right w:w="10" w:type="dxa"/>
            </w:tcMar>
          </w:tcPr>
          <w:p w14:paraId="496BC5B2" w14:textId="77777777" w:rsidR="0089596F" w:rsidRDefault="0089596F">
            <w:pPr>
              <w:jc w:val="right"/>
            </w:pPr>
          </w:p>
        </w:tc>
      </w:tr>
      <w:tr w:rsidR="0089596F" w14:paraId="2882C788" w14:textId="77777777">
        <w:tblPrEx>
          <w:tblCellMar>
            <w:top w:w="0" w:type="dxa"/>
            <w:bottom w:w="0" w:type="dxa"/>
          </w:tblCellMar>
        </w:tblPrEx>
        <w:trPr>
          <w:trHeight w:val="600"/>
          <w:jc w:val="center"/>
        </w:trPr>
        <w:tc>
          <w:tcPr>
            <w:tcW w:w="219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8F56FF3" w14:textId="77777777" w:rsidR="0089596F" w:rsidRDefault="00E054F8">
            <w:pPr>
              <w:rPr>
                <w:rFonts w:ascii="Work Sans" w:hAnsi="Work Sans" w:cs="Calibri"/>
                <w:i/>
                <w:iCs/>
                <w:color w:val="000000"/>
                <w:sz w:val="12"/>
                <w:szCs w:val="12"/>
                <w:lang w:val="es-CO" w:eastAsia="es-CO"/>
              </w:rPr>
            </w:pPr>
            <w:r>
              <w:rPr>
                <w:rFonts w:ascii="Work Sans" w:hAnsi="Work Sans" w:cs="Calibri"/>
                <w:i/>
                <w:iCs/>
                <w:color w:val="000000"/>
                <w:sz w:val="12"/>
                <w:szCs w:val="12"/>
                <w:lang w:val="es-CO" w:eastAsia="es-CO"/>
              </w:rPr>
              <w:t>Categoría V Vehículos de seis</w:t>
            </w:r>
            <w:r>
              <w:rPr>
                <w:rFonts w:ascii="Work Sans" w:hAnsi="Work Sans" w:cs="Calibri"/>
                <w:i/>
                <w:iCs/>
                <w:color w:val="000000"/>
                <w:sz w:val="12"/>
                <w:szCs w:val="12"/>
                <w:lang w:val="es-CO" w:eastAsia="es-CO"/>
              </w:rPr>
              <w:br/>
            </w:r>
            <w:r>
              <w:rPr>
                <w:rFonts w:ascii="Work Sans" w:hAnsi="Work Sans" w:cs="Calibri"/>
                <w:i/>
                <w:iCs/>
                <w:color w:val="000000"/>
                <w:sz w:val="12"/>
                <w:szCs w:val="12"/>
                <w:lang w:val="es-CO" w:eastAsia="es-CO"/>
              </w:rPr>
              <w:t>ejes.</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D47F4A" w14:textId="77777777" w:rsidR="0089596F" w:rsidRDefault="00E054F8">
            <w:pPr>
              <w:jc w:val="right"/>
            </w:pPr>
            <w:r>
              <w:rPr>
                <w:rFonts w:ascii="Work Sans" w:hAnsi="Work Sans" w:cs="Calibri"/>
                <w:i/>
                <w:iCs/>
                <w:color w:val="000000"/>
                <w:sz w:val="12"/>
                <w:szCs w:val="12"/>
                <w:lang w:val="es-CO" w:eastAsia="es-CO"/>
              </w:rPr>
              <w:t xml:space="preserve"> $       33.135 </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2414B2" w14:textId="77777777" w:rsidR="0089596F" w:rsidRDefault="00E054F8">
            <w:pPr>
              <w:jc w:val="right"/>
            </w:pPr>
            <w:r>
              <w:rPr>
                <w:rFonts w:ascii="Work Sans" w:hAnsi="Work Sans" w:cs="Calibri"/>
                <w:i/>
                <w:iCs/>
                <w:color w:val="000000"/>
                <w:sz w:val="12"/>
                <w:szCs w:val="12"/>
                <w:lang w:val="es-CO" w:eastAsia="es-CO"/>
              </w:rPr>
              <w:t xml:space="preserve"> $       36.640 </w:t>
            </w:r>
          </w:p>
        </w:tc>
        <w:tc>
          <w:tcPr>
            <w:tcW w:w="12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3AD032" w14:textId="77777777" w:rsidR="0089596F" w:rsidRDefault="00E054F8">
            <w:pPr>
              <w:jc w:val="right"/>
            </w:pPr>
            <w:r>
              <w:rPr>
                <w:rFonts w:ascii="Work Sans" w:hAnsi="Work Sans" w:cs="Calibri"/>
                <w:i/>
                <w:iCs/>
                <w:color w:val="000000"/>
                <w:sz w:val="12"/>
                <w:szCs w:val="12"/>
                <w:lang w:val="es-CO" w:eastAsia="es-CO"/>
              </w:rPr>
              <w:t xml:space="preserve"> $       </w:t>
            </w:r>
            <w:r>
              <w:rPr>
                <w:rFonts w:ascii="Work Sans" w:hAnsi="Work Sans" w:cs="Calibri"/>
                <w:i/>
                <w:iCs/>
                <w:color w:val="000000"/>
                <w:sz w:val="12"/>
                <w:szCs w:val="12"/>
                <w:lang w:val="es-CO" w:eastAsia="es-CO"/>
              </w:rPr>
              <w:t xml:space="preserve">39.913 </w:t>
            </w:r>
          </w:p>
        </w:tc>
        <w:tc>
          <w:tcPr>
            <w:tcW w:w="14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51FEB5" w14:textId="77777777" w:rsidR="0089596F" w:rsidRDefault="00E054F8">
            <w:pPr>
              <w:jc w:val="right"/>
            </w:pPr>
            <w:r>
              <w:rPr>
                <w:rFonts w:ascii="Work Sans" w:hAnsi="Work Sans" w:cs="Calibri"/>
                <w:i/>
                <w:iCs/>
                <w:color w:val="000000"/>
                <w:sz w:val="12"/>
                <w:szCs w:val="12"/>
                <w:lang w:val="es-CO" w:eastAsia="es-CO"/>
              </w:rPr>
              <w:t xml:space="preserve"> $       42.882 </w:t>
            </w:r>
          </w:p>
        </w:tc>
        <w:tc>
          <w:tcPr>
            <w:tcW w:w="40" w:type="dxa"/>
            <w:shd w:val="clear" w:color="auto" w:fill="auto"/>
            <w:tcMar>
              <w:top w:w="0" w:type="dxa"/>
              <w:left w:w="10" w:type="dxa"/>
              <w:bottom w:w="0" w:type="dxa"/>
              <w:right w:w="10" w:type="dxa"/>
            </w:tcMar>
          </w:tcPr>
          <w:p w14:paraId="47A538D9" w14:textId="77777777" w:rsidR="0089596F" w:rsidRDefault="0089596F">
            <w:pPr>
              <w:jc w:val="right"/>
            </w:pPr>
          </w:p>
        </w:tc>
      </w:tr>
      <w:tr w:rsidR="0089596F" w14:paraId="5DCF3936" w14:textId="77777777">
        <w:tblPrEx>
          <w:tblCellMar>
            <w:top w:w="0" w:type="dxa"/>
            <w:bottom w:w="0" w:type="dxa"/>
          </w:tblCellMar>
        </w:tblPrEx>
        <w:trPr>
          <w:trHeight w:val="300"/>
          <w:jc w:val="center"/>
        </w:trPr>
        <w:tc>
          <w:tcPr>
            <w:tcW w:w="2195"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3C2D790F" w14:textId="77777777" w:rsidR="0089596F" w:rsidRDefault="00E054F8">
            <w:pPr>
              <w:rPr>
                <w:rFonts w:ascii="Work Sans" w:hAnsi="Work Sans" w:cs="Calibri"/>
                <w:i/>
                <w:iCs/>
                <w:color w:val="000000"/>
                <w:sz w:val="12"/>
                <w:szCs w:val="12"/>
                <w:lang w:val="es-CO" w:eastAsia="es-CO"/>
              </w:rPr>
            </w:pPr>
            <w:r>
              <w:rPr>
                <w:rFonts w:ascii="Work Sans" w:hAnsi="Work Sans" w:cs="Calibri"/>
                <w:i/>
                <w:iCs/>
                <w:color w:val="000000"/>
                <w:sz w:val="12"/>
                <w:szCs w:val="12"/>
                <w:lang w:val="es-CO" w:eastAsia="es-CO"/>
              </w:rPr>
              <w:t>Eje Adicional</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8A0752" w14:textId="77777777" w:rsidR="0089596F" w:rsidRDefault="00E054F8">
            <w:pPr>
              <w:jc w:val="right"/>
            </w:pPr>
            <w:r>
              <w:rPr>
                <w:rFonts w:ascii="Work Sans" w:hAnsi="Work Sans" w:cs="Calibri"/>
                <w:i/>
                <w:iCs/>
                <w:color w:val="000000"/>
                <w:sz w:val="12"/>
                <w:szCs w:val="12"/>
                <w:lang w:val="es-CO" w:eastAsia="es-CO"/>
              </w:rPr>
              <w:t xml:space="preserve"> $          7.674 </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47AA95" w14:textId="77777777" w:rsidR="0089596F" w:rsidRDefault="00E054F8">
            <w:pPr>
              <w:jc w:val="right"/>
            </w:pPr>
            <w:r>
              <w:rPr>
                <w:rFonts w:ascii="Work Sans" w:hAnsi="Work Sans" w:cs="Calibri"/>
                <w:i/>
                <w:iCs/>
                <w:color w:val="000000"/>
                <w:sz w:val="12"/>
                <w:szCs w:val="12"/>
                <w:lang w:val="es-CO" w:eastAsia="es-CO"/>
              </w:rPr>
              <w:t xml:space="preserve"> $          7.714 </w:t>
            </w:r>
          </w:p>
        </w:tc>
        <w:tc>
          <w:tcPr>
            <w:tcW w:w="12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67EF24" w14:textId="77777777" w:rsidR="0089596F" w:rsidRDefault="00E054F8">
            <w:pPr>
              <w:jc w:val="right"/>
            </w:pPr>
            <w:r>
              <w:rPr>
                <w:rFonts w:ascii="Work Sans" w:hAnsi="Work Sans" w:cs="Calibri"/>
                <w:i/>
                <w:iCs/>
                <w:color w:val="000000"/>
                <w:sz w:val="12"/>
                <w:szCs w:val="12"/>
                <w:lang w:val="es-CO" w:eastAsia="es-CO"/>
              </w:rPr>
              <w:t xml:space="preserve"> $          7.744 </w:t>
            </w:r>
          </w:p>
        </w:tc>
        <w:tc>
          <w:tcPr>
            <w:tcW w:w="14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4E3030" w14:textId="77777777" w:rsidR="0089596F" w:rsidRDefault="00E054F8">
            <w:pPr>
              <w:jc w:val="right"/>
            </w:pPr>
            <w:r>
              <w:rPr>
                <w:rFonts w:ascii="Work Sans" w:hAnsi="Work Sans" w:cs="Calibri"/>
                <w:i/>
                <w:iCs/>
                <w:color w:val="000000"/>
                <w:sz w:val="12"/>
                <w:szCs w:val="12"/>
                <w:lang w:val="es-CO" w:eastAsia="es-CO"/>
              </w:rPr>
              <w:t xml:space="preserve"> $          7.767 </w:t>
            </w:r>
          </w:p>
        </w:tc>
        <w:tc>
          <w:tcPr>
            <w:tcW w:w="40" w:type="dxa"/>
            <w:shd w:val="clear" w:color="auto" w:fill="auto"/>
            <w:tcMar>
              <w:top w:w="0" w:type="dxa"/>
              <w:left w:w="10" w:type="dxa"/>
              <w:bottom w:w="0" w:type="dxa"/>
              <w:right w:w="10" w:type="dxa"/>
            </w:tcMar>
          </w:tcPr>
          <w:p w14:paraId="799B81CB" w14:textId="77777777" w:rsidR="0089596F" w:rsidRDefault="0089596F">
            <w:pPr>
              <w:jc w:val="right"/>
            </w:pPr>
          </w:p>
        </w:tc>
      </w:tr>
      <w:tr w:rsidR="0089596F" w14:paraId="502D0CA4" w14:textId="77777777">
        <w:tblPrEx>
          <w:tblCellMar>
            <w:top w:w="0" w:type="dxa"/>
            <w:bottom w:w="0" w:type="dxa"/>
          </w:tblCellMar>
        </w:tblPrEx>
        <w:trPr>
          <w:trHeight w:val="300"/>
          <w:jc w:val="center"/>
        </w:trPr>
        <w:tc>
          <w:tcPr>
            <w:tcW w:w="2195"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71D2BF2E" w14:textId="77777777" w:rsidR="0089596F" w:rsidRDefault="00E054F8">
            <w:pPr>
              <w:rPr>
                <w:rFonts w:ascii="Work Sans" w:hAnsi="Work Sans" w:cs="Calibri"/>
                <w:i/>
                <w:iCs/>
                <w:color w:val="000000"/>
                <w:sz w:val="12"/>
                <w:szCs w:val="12"/>
                <w:lang w:val="es-CO" w:eastAsia="es-CO"/>
              </w:rPr>
            </w:pPr>
            <w:r>
              <w:rPr>
                <w:rFonts w:ascii="Work Sans" w:hAnsi="Work Sans" w:cs="Calibri"/>
                <w:i/>
                <w:iCs/>
                <w:color w:val="000000"/>
                <w:sz w:val="12"/>
                <w:szCs w:val="12"/>
                <w:lang w:val="es-CO" w:eastAsia="es-CO"/>
              </w:rPr>
              <w:t>Eje Remolque</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FD3D80" w14:textId="77777777" w:rsidR="0089596F" w:rsidRDefault="00E054F8">
            <w:pPr>
              <w:jc w:val="right"/>
            </w:pPr>
            <w:r>
              <w:rPr>
                <w:rFonts w:ascii="Work Sans" w:hAnsi="Work Sans" w:cs="Calibri"/>
                <w:i/>
                <w:iCs/>
                <w:color w:val="000000"/>
                <w:sz w:val="12"/>
                <w:szCs w:val="12"/>
                <w:lang w:val="es-CO" w:eastAsia="es-CO"/>
              </w:rPr>
              <w:t xml:space="preserve"> $          7.403 </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2D1FA8" w14:textId="77777777" w:rsidR="0089596F" w:rsidRDefault="00E054F8">
            <w:pPr>
              <w:jc w:val="right"/>
            </w:pPr>
            <w:r>
              <w:rPr>
                <w:rFonts w:ascii="Work Sans" w:hAnsi="Work Sans" w:cs="Calibri"/>
                <w:i/>
                <w:iCs/>
                <w:color w:val="000000"/>
                <w:sz w:val="12"/>
                <w:szCs w:val="12"/>
                <w:lang w:val="es-CO" w:eastAsia="es-CO"/>
              </w:rPr>
              <w:t xml:space="preserve"> $          7.363 </w:t>
            </w:r>
          </w:p>
        </w:tc>
        <w:tc>
          <w:tcPr>
            <w:tcW w:w="12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2446CD" w14:textId="77777777" w:rsidR="0089596F" w:rsidRDefault="00E054F8">
            <w:pPr>
              <w:jc w:val="right"/>
            </w:pPr>
            <w:r>
              <w:rPr>
                <w:rFonts w:ascii="Work Sans" w:hAnsi="Work Sans" w:cs="Calibri"/>
                <w:i/>
                <w:iCs/>
                <w:color w:val="000000"/>
                <w:sz w:val="12"/>
                <w:szCs w:val="12"/>
                <w:lang w:val="es-CO" w:eastAsia="es-CO"/>
              </w:rPr>
              <w:t xml:space="preserve"> $          7.404 </w:t>
            </w:r>
          </w:p>
        </w:tc>
        <w:tc>
          <w:tcPr>
            <w:tcW w:w="14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BCE6FC" w14:textId="77777777" w:rsidR="0089596F" w:rsidRDefault="00E054F8">
            <w:pPr>
              <w:jc w:val="right"/>
            </w:pPr>
            <w:r>
              <w:rPr>
                <w:rFonts w:ascii="Work Sans" w:hAnsi="Work Sans" w:cs="Calibri"/>
                <w:i/>
                <w:iCs/>
                <w:color w:val="000000"/>
                <w:sz w:val="12"/>
                <w:szCs w:val="12"/>
                <w:lang w:val="es-CO" w:eastAsia="es-CO"/>
              </w:rPr>
              <w:t xml:space="preserve"> $          7.436 </w:t>
            </w:r>
          </w:p>
        </w:tc>
        <w:tc>
          <w:tcPr>
            <w:tcW w:w="40" w:type="dxa"/>
            <w:shd w:val="clear" w:color="auto" w:fill="auto"/>
            <w:tcMar>
              <w:top w:w="0" w:type="dxa"/>
              <w:left w:w="10" w:type="dxa"/>
              <w:bottom w:w="0" w:type="dxa"/>
              <w:right w:w="10" w:type="dxa"/>
            </w:tcMar>
          </w:tcPr>
          <w:p w14:paraId="1BF63A73" w14:textId="77777777" w:rsidR="0089596F" w:rsidRDefault="0089596F">
            <w:pPr>
              <w:jc w:val="right"/>
            </w:pPr>
          </w:p>
        </w:tc>
      </w:tr>
      <w:tr w:rsidR="0089596F" w14:paraId="7273E5E1" w14:textId="77777777">
        <w:tblPrEx>
          <w:tblCellMar>
            <w:top w:w="0" w:type="dxa"/>
            <w:bottom w:w="0" w:type="dxa"/>
          </w:tblCellMar>
        </w:tblPrEx>
        <w:trPr>
          <w:trHeight w:val="3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4AD8A0" w14:textId="77777777" w:rsidR="0089596F" w:rsidRDefault="00E054F8">
            <w:pPr>
              <w:rPr>
                <w:rFonts w:ascii="Work Sans" w:hAnsi="Work Sans" w:cs="Calibri"/>
                <w:i/>
                <w:iCs/>
                <w:color w:val="000000"/>
                <w:sz w:val="12"/>
                <w:szCs w:val="12"/>
                <w:lang w:val="es-CO" w:eastAsia="es-CO"/>
              </w:rPr>
            </w:pPr>
            <w:r>
              <w:rPr>
                <w:rFonts w:ascii="Work Sans" w:hAnsi="Work Sans" w:cs="Calibri"/>
                <w:i/>
                <w:iCs/>
                <w:color w:val="000000"/>
                <w:sz w:val="12"/>
                <w:szCs w:val="12"/>
                <w:lang w:val="es-CO" w:eastAsia="es-CO"/>
              </w:rPr>
              <w:t>Eje Grúa</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65654A" w14:textId="77777777" w:rsidR="0089596F" w:rsidRDefault="00E054F8">
            <w:pPr>
              <w:jc w:val="right"/>
            </w:pPr>
            <w:r>
              <w:rPr>
                <w:rFonts w:ascii="Work Sans" w:hAnsi="Work Sans" w:cs="Calibri"/>
                <w:i/>
                <w:iCs/>
                <w:color w:val="000000"/>
                <w:sz w:val="12"/>
                <w:szCs w:val="12"/>
                <w:lang w:val="es-CO" w:eastAsia="es-CO"/>
              </w:rPr>
              <w:t xml:space="preserve"> $          5.237 </w:t>
            </w:r>
          </w:p>
        </w:tc>
        <w:tc>
          <w:tcPr>
            <w:tcW w:w="13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EBA8C5" w14:textId="77777777" w:rsidR="0089596F" w:rsidRDefault="00E054F8">
            <w:pPr>
              <w:jc w:val="right"/>
            </w:pPr>
            <w:r>
              <w:rPr>
                <w:rFonts w:ascii="Work Sans" w:hAnsi="Work Sans" w:cs="Calibri"/>
                <w:i/>
                <w:iCs/>
                <w:color w:val="000000"/>
                <w:sz w:val="12"/>
                <w:szCs w:val="12"/>
                <w:lang w:val="es-CO" w:eastAsia="es-CO"/>
              </w:rPr>
              <w:t xml:space="preserve"> $ </w:t>
            </w:r>
            <w:r>
              <w:rPr>
                <w:rFonts w:ascii="Work Sans" w:hAnsi="Work Sans" w:cs="Calibri"/>
                <w:i/>
                <w:iCs/>
                <w:color w:val="000000"/>
                <w:sz w:val="12"/>
                <w:szCs w:val="12"/>
                <w:lang w:val="es-CO" w:eastAsia="es-CO"/>
              </w:rPr>
              <w:t xml:space="preserve">         5.259 </w:t>
            </w:r>
          </w:p>
        </w:tc>
        <w:tc>
          <w:tcPr>
            <w:tcW w:w="12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B63BBA" w14:textId="77777777" w:rsidR="0089596F" w:rsidRDefault="00E054F8">
            <w:pPr>
              <w:jc w:val="right"/>
            </w:pPr>
            <w:r>
              <w:rPr>
                <w:rFonts w:ascii="Work Sans" w:hAnsi="Work Sans" w:cs="Calibri"/>
                <w:i/>
                <w:iCs/>
                <w:color w:val="000000"/>
                <w:sz w:val="12"/>
                <w:szCs w:val="12"/>
                <w:lang w:val="es-CO" w:eastAsia="es-CO"/>
              </w:rPr>
              <w:t xml:space="preserve"> $          5.276 </w:t>
            </w:r>
          </w:p>
        </w:tc>
        <w:tc>
          <w:tcPr>
            <w:tcW w:w="14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1DFDD9" w14:textId="77777777" w:rsidR="0089596F" w:rsidRDefault="00E054F8">
            <w:pPr>
              <w:jc w:val="right"/>
            </w:pPr>
            <w:r>
              <w:rPr>
                <w:rFonts w:ascii="Work Sans" w:hAnsi="Work Sans" w:cs="Calibri"/>
                <w:i/>
                <w:iCs/>
                <w:color w:val="000000"/>
                <w:sz w:val="12"/>
                <w:szCs w:val="12"/>
                <w:lang w:val="es-CO" w:eastAsia="es-CO"/>
              </w:rPr>
              <w:t xml:space="preserve"> $          5.288 </w:t>
            </w:r>
          </w:p>
        </w:tc>
        <w:tc>
          <w:tcPr>
            <w:tcW w:w="40" w:type="dxa"/>
            <w:shd w:val="clear" w:color="auto" w:fill="auto"/>
            <w:tcMar>
              <w:top w:w="0" w:type="dxa"/>
              <w:left w:w="10" w:type="dxa"/>
              <w:bottom w:w="0" w:type="dxa"/>
              <w:right w:w="10" w:type="dxa"/>
            </w:tcMar>
          </w:tcPr>
          <w:p w14:paraId="1BA05F47" w14:textId="77777777" w:rsidR="0089596F" w:rsidRDefault="0089596F">
            <w:pPr>
              <w:jc w:val="right"/>
            </w:pPr>
          </w:p>
        </w:tc>
      </w:tr>
    </w:tbl>
    <w:p w14:paraId="6346E6B1" w14:textId="77777777" w:rsidR="0089596F" w:rsidRDefault="00E054F8">
      <w:pPr>
        <w:pStyle w:val="Prrafodelista"/>
        <w:tabs>
          <w:tab w:val="left" w:pos="0"/>
          <w:tab w:val="left" w:pos="426"/>
        </w:tabs>
        <w:autoSpaceDE w:val="0"/>
        <w:ind w:left="1428"/>
        <w:jc w:val="both"/>
      </w:pPr>
      <w:r>
        <w:rPr>
          <w:rFonts w:ascii="Work Sans" w:hAnsi="Work Sans" w:cs="Arial"/>
          <w:i/>
          <w:iCs/>
          <w:sz w:val="16"/>
          <w:szCs w:val="16"/>
          <w:lang w:bidi="hi-IN"/>
        </w:rPr>
        <w:t>Las tarifas no incluyen FOSEVI y corresponde a los precios constantes de</w:t>
      </w:r>
      <w:r>
        <w:rPr>
          <w:rFonts w:ascii="Work Sans" w:hAnsi="Work Sans" w:cs="Arial"/>
          <w:i/>
          <w:iCs/>
          <w:sz w:val="16"/>
          <w:szCs w:val="16"/>
        </w:rPr>
        <w:t xml:space="preserve"> </w:t>
      </w:r>
      <w:r>
        <w:rPr>
          <w:rFonts w:ascii="Work Sans" w:hAnsi="Work Sans" w:cs="Arial"/>
          <w:i/>
          <w:iCs/>
          <w:sz w:val="16"/>
          <w:szCs w:val="16"/>
          <w:lang w:bidi="hi-IN"/>
        </w:rPr>
        <w:t>diciembre del 2015.</w:t>
      </w:r>
    </w:p>
    <w:p w14:paraId="320CFB2E" w14:textId="77777777" w:rsidR="0089596F" w:rsidRDefault="0089596F">
      <w:pPr>
        <w:tabs>
          <w:tab w:val="left" w:pos="0"/>
          <w:tab w:val="left" w:pos="426"/>
        </w:tabs>
        <w:autoSpaceDE w:val="0"/>
        <w:ind w:left="720"/>
        <w:jc w:val="both"/>
        <w:rPr>
          <w:rFonts w:ascii="Work Sans" w:hAnsi="Work Sans" w:cs="Arial"/>
          <w:i/>
          <w:iCs/>
          <w:sz w:val="18"/>
          <w:szCs w:val="18"/>
        </w:rPr>
      </w:pPr>
    </w:p>
    <w:p w14:paraId="370CD640" w14:textId="77777777" w:rsidR="0089596F" w:rsidRDefault="00E054F8">
      <w:pPr>
        <w:tabs>
          <w:tab w:val="left" w:pos="0"/>
        </w:tabs>
        <w:autoSpaceDE w:val="0"/>
        <w:ind w:left="720" w:right="481"/>
        <w:jc w:val="both"/>
      </w:pPr>
      <w:r>
        <w:rPr>
          <w:rFonts w:ascii="Work Sans" w:hAnsi="Work Sans"/>
          <w:i/>
          <w:iCs/>
          <w:sz w:val="18"/>
          <w:szCs w:val="18"/>
        </w:rPr>
        <w:t xml:space="preserve">El 06 de septiembre de 2021 se suscribió entre la AGENCIA NACIONAL DE INFRAESTRUCTURA y la </w:t>
      </w:r>
      <w:r>
        <w:rPr>
          <w:rFonts w:ascii="Work Sans" w:hAnsi="Work Sans"/>
          <w:i/>
          <w:iCs/>
          <w:sz w:val="18"/>
          <w:szCs w:val="18"/>
        </w:rPr>
        <w:t xml:space="preserve">Concesión Autopistas del Caribe S.A.S, el Contrato de Concesión No. 002 de 2021, con el siguiente objeto: “(…) el otorgamiento de una concesión para </w:t>
      </w:r>
      <w:proofErr w:type="gramStart"/>
      <w:r>
        <w:rPr>
          <w:rFonts w:ascii="Work Sans" w:hAnsi="Work Sans"/>
          <w:i/>
          <w:iCs/>
          <w:sz w:val="18"/>
          <w:szCs w:val="18"/>
        </w:rPr>
        <w:t>que</w:t>
      </w:r>
      <w:proofErr w:type="gramEnd"/>
      <w:r>
        <w:rPr>
          <w:rFonts w:ascii="Work Sans" w:hAnsi="Work Sans"/>
          <w:i/>
          <w:iCs/>
          <w:sz w:val="18"/>
          <w:szCs w:val="18"/>
        </w:rPr>
        <w:t xml:space="preserve"> de conformidad con lo previsto en este Contrato, el Concesionario, por su cuenta y riesgo, lleve a cabo</w:t>
      </w:r>
      <w:r>
        <w:rPr>
          <w:rFonts w:ascii="Work Sans" w:hAnsi="Work Sans"/>
          <w:i/>
          <w:iCs/>
          <w:sz w:val="18"/>
          <w:szCs w:val="18"/>
        </w:rPr>
        <w:t xml:space="preserve"> el Proyecto. El alcance físico del Proyecto se describe en la Parte Especial y en el Apéndice Técnico 1”.</w:t>
      </w:r>
    </w:p>
    <w:p w14:paraId="0284141E" w14:textId="77777777" w:rsidR="0089596F" w:rsidRDefault="0089596F">
      <w:pPr>
        <w:tabs>
          <w:tab w:val="left" w:pos="0"/>
        </w:tabs>
        <w:autoSpaceDE w:val="0"/>
        <w:ind w:left="720" w:right="481"/>
        <w:jc w:val="both"/>
        <w:rPr>
          <w:rFonts w:ascii="Work Sans" w:hAnsi="Work Sans" w:cs="Arial"/>
          <w:i/>
          <w:iCs/>
          <w:sz w:val="18"/>
          <w:szCs w:val="18"/>
          <w:lang w:val="es-CO" w:eastAsia="ar-SA"/>
        </w:rPr>
      </w:pPr>
    </w:p>
    <w:p w14:paraId="20048596" w14:textId="77777777" w:rsidR="0089596F" w:rsidRDefault="00E054F8">
      <w:pPr>
        <w:tabs>
          <w:tab w:val="left" w:pos="426"/>
        </w:tabs>
        <w:autoSpaceDE w:val="0"/>
        <w:ind w:left="720" w:right="481"/>
        <w:jc w:val="both"/>
        <w:rPr>
          <w:rFonts w:ascii="Work Sans" w:hAnsi="Work Sans" w:cs="Arial"/>
          <w:i/>
          <w:iCs/>
          <w:sz w:val="18"/>
          <w:szCs w:val="18"/>
        </w:rPr>
      </w:pPr>
      <w:r>
        <w:rPr>
          <w:rFonts w:ascii="Work Sans" w:hAnsi="Work Sans" w:cs="Arial"/>
          <w:i/>
          <w:iCs/>
          <w:sz w:val="18"/>
          <w:szCs w:val="18"/>
        </w:rPr>
        <w:t xml:space="preserve">El 19 de octubre de 2021 las partes suscribieron el Acta de Inicio del Contrato de Concesión No. 002 de 2021 y en ese sentido, su ejecución </w:t>
      </w:r>
      <w:r>
        <w:rPr>
          <w:rFonts w:ascii="Work Sans" w:hAnsi="Work Sans" w:cs="Arial"/>
          <w:i/>
          <w:iCs/>
          <w:sz w:val="18"/>
          <w:szCs w:val="18"/>
        </w:rPr>
        <w:t>inició el 20 de octubre de 2021.</w:t>
      </w:r>
    </w:p>
    <w:p w14:paraId="6885984B" w14:textId="77777777" w:rsidR="0089596F" w:rsidRDefault="0089596F">
      <w:pPr>
        <w:ind w:left="720" w:right="481"/>
        <w:jc w:val="both"/>
        <w:rPr>
          <w:rFonts w:ascii="Work Sans" w:hAnsi="Work Sans"/>
          <w:i/>
          <w:iCs/>
          <w:sz w:val="18"/>
          <w:szCs w:val="18"/>
        </w:rPr>
      </w:pPr>
    </w:p>
    <w:p w14:paraId="68306D0E" w14:textId="77777777" w:rsidR="0089596F" w:rsidRDefault="00E054F8">
      <w:pPr>
        <w:ind w:left="720" w:right="481"/>
        <w:jc w:val="both"/>
        <w:rPr>
          <w:rFonts w:ascii="Work Sans" w:hAnsi="Work Sans"/>
          <w:i/>
          <w:iCs/>
          <w:sz w:val="18"/>
          <w:szCs w:val="18"/>
        </w:rPr>
      </w:pPr>
      <w:bookmarkStart w:id="4" w:name="_Hlk104559560"/>
      <w:r>
        <w:rPr>
          <w:rFonts w:ascii="Work Sans" w:hAnsi="Work Sans"/>
          <w:i/>
          <w:iCs/>
          <w:sz w:val="18"/>
          <w:szCs w:val="18"/>
        </w:rPr>
        <w:t xml:space="preserve">El Contrato de Concesión en la Parte Especial en el capítulo III, Sección 3.6 Estaciones de peaje indica: </w:t>
      </w:r>
    </w:p>
    <w:p w14:paraId="24D49CF0" w14:textId="77777777" w:rsidR="0089596F" w:rsidRDefault="0089596F">
      <w:pPr>
        <w:ind w:left="1080"/>
        <w:jc w:val="both"/>
        <w:rPr>
          <w:rFonts w:ascii="Work Sans" w:hAnsi="Work Sans" w:cs="Arial"/>
          <w:i/>
          <w:iCs/>
          <w:sz w:val="16"/>
          <w:szCs w:val="16"/>
        </w:rPr>
      </w:pPr>
    </w:p>
    <w:p w14:paraId="0B95576B" w14:textId="77777777" w:rsidR="0089596F" w:rsidRDefault="00E054F8">
      <w:pPr>
        <w:pStyle w:val="Prrafodelista"/>
        <w:ind w:left="1428"/>
        <w:jc w:val="both"/>
        <w:rPr>
          <w:rFonts w:ascii="Work Sans" w:eastAsia="DejaVu Sans" w:hAnsi="Work Sans" w:cs="Arial"/>
          <w:i/>
          <w:iCs/>
          <w:sz w:val="16"/>
          <w:szCs w:val="16"/>
          <w:lang w:bidi="hi-IN"/>
        </w:rPr>
      </w:pPr>
      <w:r>
        <w:rPr>
          <w:rFonts w:ascii="Work Sans" w:eastAsia="DejaVu Sans" w:hAnsi="Work Sans" w:cs="Arial"/>
          <w:i/>
          <w:iCs/>
          <w:sz w:val="16"/>
          <w:szCs w:val="16"/>
          <w:lang w:bidi="hi-IN"/>
        </w:rPr>
        <w:t xml:space="preserve">“(…) </w:t>
      </w:r>
    </w:p>
    <w:p w14:paraId="7B474822" w14:textId="77777777" w:rsidR="0089596F" w:rsidRDefault="00E054F8">
      <w:pPr>
        <w:pStyle w:val="Prrafodelista"/>
        <w:numPr>
          <w:ilvl w:val="0"/>
          <w:numId w:val="20"/>
        </w:numPr>
        <w:ind w:left="1800"/>
        <w:jc w:val="both"/>
        <w:textAlignment w:val="auto"/>
        <w:rPr>
          <w:rFonts w:ascii="Work Sans" w:eastAsia="DejaVu Sans" w:hAnsi="Work Sans" w:cs="Arial"/>
          <w:i/>
          <w:iCs/>
          <w:sz w:val="16"/>
          <w:szCs w:val="16"/>
          <w:lang w:bidi="hi-IN"/>
        </w:rPr>
      </w:pPr>
      <w:r>
        <w:rPr>
          <w:rFonts w:ascii="Work Sans" w:eastAsia="DejaVu Sans" w:hAnsi="Work Sans" w:cs="Arial"/>
          <w:i/>
          <w:iCs/>
          <w:sz w:val="16"/>
          <w:szCs w:val="16"/>
          <w:lang w:bidi="hi-IN"/>
        </w:rPr>
        <w:t xml:space="preserve">Las estaciones de Peaje </w:t>
      </w:r>
      <w:proofErr w:type="gramStart"/>
      <w:r>
        <w:rPr>
          <w:rFonts w:ascii="Work Sans" w:eastAsia="DejaVu Sans" w:hAnsi="Work Sans" w:cs="Arial"/>
          <w:i/>
          <w:iCs/>
          <w:sz w:val="16"/>
          <w:szCs w:val="16"/>
          <w:lang w:bidi="hi-IN"/>
        </w:rPr>
        <w:t>existentes,</w:t>
      </w:r>
      <w:proofErr w:type="gramEnd"/>
      <w:r>
        <w:rPr>
          <w:rFonts w:ascii="Work Sans" w:eastAsia="DejaVu Sans" w:hAnsi="Work Sans" w:cs="Arial"/>
          <w:i/>
          <w:iCs/>
          <w:sz w:val="16"/>
          <w:szCs w:val="16"/>
          <w:lang w:bidi="hi-IN"/>
        </w:rPr>
        <w:t xml:space="preserve"> son las que se relacionan a continuación: </w:t>
      </w:r>
    </w:p>
    <w:tbl>
      <w:tblPr>
        <w:tblW w:w="7654" w:type="dxa"/>
        <w:tblInd w:w="534" w:type="dxa"/>
        <w:tblCellMar>
          <w:left w:w="10" w:type="dxa"/>
          <w:right w:w="10" w:type="dxa"/>
        </w:tblCellMar>
        <w:tblLook w:val="0000" w:firstRow="0" w:lastRow="0" w:firstColumn="0" w:lastColumn="0" w:noHBand="0" w:noVBand="0"/>
      </w:tblPr>
      <w:tblGrid>
        <w:gridCol w:w="1673"/>
        <w:gridCol w:w="2721"/>
        <w:gridCol w:w="3260"/>
      </w:tblGrid>
      <w:tr w:rsidR="0089596F" w14:paraId="1615EF37" w14:textId="77777777">
        <w:tblPrEx>
          <w:tblCellMar>
            <w:top w:w="0" w:type="dxa"/>
            <w:bottom w:w="0" w:type="dxa"/>
          </w:tblCellMar>
        </w:tblPrEx>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3D41"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Nombre</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DF06"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Tramo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9BF20"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Sentido de </w:t>
            </w:r>
            <w:r>
              <w:rPr>
                <w:rFonts w:ascii="Work Sans" w:eastAsia="DejaVu Sans" w:hAnsi="Work Sans" w:cs="Arial"/>
                <w:i/>
                <w:iCs/>
                <w:sz w:val="16"/>
                <w:szCs w:val="16"/>
              </w:rPr>
              <w:t xml:space="preserve">Cobro </w:t>
            </w:r>
          </w:p>
        </w:tc>
      </w:tr>
      <w:tr w:rsidR="0089596F" w14:paraId="3E5D9580" w14:textId="77777777">
        <w:tblPrEx>
          <w:tblCellMar>
            <w:top w:w="0" w:type="dxa"/>
            <w:bottom w:w="0" w:type="dxa"/>
          </w:tblCellMar>
        </w:tblPrEx>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DA7C"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Gambote</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8A827"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Cruz del Viso – Arjona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C998"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Bidireccional </w:t>
            </w:r>
          </w:p>
        </w:tc>
      </w:tr>
      <w:tr w:rsidR="0089596F" w14:paraId="311EFD79" w14:textId="77777777">
        <w:tblPrEx>
          <w:tblCellMar>
            <w:top w:w="0" w:type="dxa"/>
            <w:bottom w:w="0" w:type="dxa"/>
          </w:tblCellMar>
        </w:tblPrEx>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D1BB4"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Bayunca</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C97D0"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Bayunca – Clemencia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F514"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Bidireccional </w:t>
            </w:r>
          </w:p>
        </w:tc>
      </w:tr>
      <w:tr w:rsidR="0089596F" w14:paraId="38FEA21C" w14:textId="77777777">
        <w:tblPrEx>
          <w:tblCellMar>
            <w:top w:w="0" w:type="dxa"/>
            <w:bottom w:w="0" w:type="dxa"/>
          </w:tblCellMar>
        </w:tblPrEx>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D284" w14:textId="77777777" w:rsidR="0089596F" w:rsidRDefault="00E054F8">
            <w:pPr>
              <w:jc w:val="center"/>
              <w:textAlignment w:val="auto"/>
              <w:rPr>
                <w:rFonts w:ascii="Work Sans" w:eastAsia="DejaVu Sans" w:hAnsi="Work Sans" w:cs="Arial"/>
                <w:i/>
                <w:iCs/>
                <w:sz w:val="16"/>
                <w:szCs w:val="16"/>
              </w:rPr>
            </w:pPr>
            <w:proofErr w:type="spellStart"/>
            <w:r>
              <w:rPr>
                <w:rFonts w:ascii="Work Sans" w:eastAsia="DejaVu Sans" w:hAnsi="Work Sans" w:cs="Arial"/>
                <w:i/>
                <w:iCs/>
                <w:sz w:val="16"/>
                <w:szCs w:val="16"/>
              </w:rPr>
              <w:t>SabanaGrande</w:t>
            </w:r>
            <w:proofErr w:type="spellEnd"/>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ED756"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Malambo – Palmar de Varela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DFB9" w14:textId="77777777" w:rsidR="0089596F" w:rsidRDefault="00E054F8">
            <w:pPr>
              <w:jc w:val="center"/>
              <w:textAlignment w:val="auto"/>
              <w:rPr>
                <w:rFonts w:ascii="Work Sans" w:eastAsia="DejaVu Sans" w:hAnsi="Work Sans" w:cs="Arial"/>
                <w:i/>
                <w:iCs/>
                <w:sz w:val="16"/>
                <w:szCs w:val="16"/>
              </w:rPr>
            </w:pPr>
            <w:proofErr w:type="spellStart"/>
            <w:r>
              <w:rPr>
                <w:rFonts w:ascii="Work Sans" w:eastAsia="DejaVu Sans" w:hAnsi="Work Sans" w:cs="Arial"/>
                <w:i/>
                <w:iCs/>
                <w:sz w:val="16"/>
                <w:szCs w:val="16"/>
              </w:rPr>
              <w:t>Bidieccional</w:t>
            </w:r>
            <w:proofErr w:type="spellEnd"/>
            <w:r>
              <w:rPr>
                <w:rFonts w:ascii="Work Sans" w:eastAsia="DejaVu Sans" w:hAnsi="Work Sans" w:cs="Arial"/>
                <w:i/>
                <w:iCs/>
                <w:sz w:val="16"/>
                <w:szCs w:val="16"/>
              </w:rPr>
              <w:t xml:space="preserve"> </w:t>
            </w:r>
          </w:p>
        </w:tc>
      </w:tr>
      <w:tr w:rsidR="0089596F" w14:paraId="293314E8" w14:textId="77777777">
        <w:tblPrEx>
          <w:tblCellMar>
            <w:top w:w="0" w:type="dxa"/>
            <w:bottom w:w="0" w:type="dxa"/>
          </w:tblCellMar>
        </w:tblPrEx>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E736"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Galapa</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D0B2"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Cruce </w:t>
            </w:r>
            <w:proofErr w:type="spellStart"/>
            <w:r>
              <w:rPr>
                <w:rFonts w:ascii="Work Sans" w:eastAsia="DejaVu Sans" w:hAnsi="Work Sans" w:cs="Arial"/>
                <w:i/>
                <w:iCs/>
                <w:sz w:val="16"/>
                <w:szCs w:val="16"/>
              </w:rPr>
              <w:t>Caracoli</w:t>
            </w:r>
            <w:proofErr w:type="spellEnd"/>
            <w:r>
              <w:rPr>
                <w:rFonts w:ascii="Work Sans" w:eastAsia="DejaVu Sans" w:hAnsi="Work Sans" w:cs="Arial"/>
                <w:i/>
                <w:iCs/>
                <w:sz w:val="16"/>
                <w:szCs w:val="16"/>
              </w:rPr>
              <w:t xml:space="preserve"> – Barranquilla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A7B"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Bidireccional</w:t>
            </w:r>
          </w:p>
        </w:tc>
      </w:tr>
      <w:tr w:rsidR="0089596F" w14:paraId="0559C76E" w14:textId="77777777">
        <w:tblPrEx>
          <w:tblCellMar>
            <w:top w:w="0" w:type="dxa"/>
            <w:bottom w:w="0" w:type="dxa"/>
          </w:tblCellMar>
        </w:tblPrEx>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C20E"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Turbaco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484A"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Cartagena – Turbaco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BF103"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Bidireccional </w:t>
            </w:r>
          </w:p>
        </w:tc>
      </w:tr>
      <w:tr w:rsidR="0089596F" w14:paraId="39725E1C" w14:textId="77777777">
        <w:tblPrEx>
          <w:tblCellMar>
            <w:top w:w="0" w:type="dxa"/>
            <w:bottom w:w="0" w:type="dxa"/>
          </w:tblCellMar>
        </w:tblPrEx>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6814"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Pasacaballos</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9AC0B"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Variante Mamonal Gambote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0798" w14:textId="77777777" w:rsidR="0089596F" w:rsidRDefault="00E054F8">
            <w:pPr>
              <w:jc w:val="center"/>
              <w:textAlignment w:val="auto"/>
              <w:rPr>
                <w:rFonts w:ascii="Work Sans" w:eastAsia="DejaVu Sans" w:hAnsi="Work Sans" w:cs="Arial"/>
                <w:i/>
                <w:iCs/>
                <w:sz w:val="16"/>
                <w:szCs w:val="16"/>
              </w:rPr>
            </w:pPr>
            <w:r>
              <w:rPr>
                <w:rFonts w:ascii="Work Sans" w:eastAsia="DejaVu Sans" w:hAnsi="Work Sans" w:cs="Arial"/>
                <w:i/>
                <w:iCs/>
                <w:sz w:val="16"/>
                <w:szCs w:val="16"/>
              </w:rPr>
              <w:t xml:space="preserve">Bidireccional </w:t>
            </w:r>
          </w:p>
        </w:tc>
      </w:tr>
    </w:tbl>
    <w:p w14:paraId="739136CE" w14:textId="77777777" w:rsidR="0089596F" w:rsidRDefault="0089596F">
      <w:pPr>
        <w:ind w:left="720"/>
        <w:jc w:val="both"/>
        <w:rPr>
          <w:rFonts w:ascii="Work Sans" w:hAnsi="Work Sans" w:cs="Arial"/>
          <w:i/>
          <w:iCs/>
          <w:sz w:val="16"/>
          <w:szCs w:val="16"/>
        </w:rPr>
      </w:pPr>
    </w:p>
    <w:p w14:paraId="24F0667D" w14:textId="77777777" w:rsidR="0089596F" w:rsidRDefault="00E054F8">
      <w:pPr>
        <w:pStyle w:val="Contents3"/>
        <w:ind w:left="1440" w:firstLine="0"/>
        <w:jc w:val="both"/>
        <w:rPr>
          <w:rFonts w:ascii="Work Sans" w:eastAsia="DejaVu Sans" w:hAnsi="Work Sans" w:cs="Arial"/>
          <w:i/>
          <w:iCs/>
          <w:sz w:val="16"/>
          <w:szCs w:val="16"/>
          <w:lang w:bidi="hi-IN"/>
        </w:rPr>
      </w:pPr>
      <w:r>
        <w:rPr>
          <w:rFonts w:ascii="Work Sans" w:eastAsia="DejaVu Sans" w:hAnsi="Work Sans" w:cs="Arial"/>
          <w:i/>
          <w:iCs/>
          <w:sz w:val="16"/>
          <w:szCs w:val="16"/>
          <w:lang w:bidi="hi-IN"/>
        </w:rPr>
        <w:t>(…)”</w:t>
      </w:r>
    </w:p>
    <w:p w14:paraId="35988162" w14:textId="77777777" w:rsidR="0089596F" w:rsidRDefault="0089596F">
      <w:pPr>
        <w:ind w:left="720"/>
        <w:rPr>
          <w:rFonts w:ascii="Work Sans" w:hAnsi="Work Sans" w:cs="Times New Roman"/>
          <w:i/>
          <w:iCs/>
          <w:kern w:val="0"/>
          <w:sz w:val="16"/>
          <w:szCs w:val="16"/>
          <w:lang w:eastAsia="es-ES"/>
        </w:rPr>
      </w:pPr>
    </w:p>
    <w:p w14:paraId="36A85A61" w14:textId="77777777" w:rsidR="0089596F" w:rsidRDefault="0089596F">
      <w:pPr>
        <w:pStyle w:val="Contents3"/>
        <w:ind w:left="720" w:right="49" w:firstLine="0"/>
        <w:jc w:val="both"/>
        <w:rPr>
          <w:rFonts w:ascii="Work Sans" w:eastAsia="DejaVu Sans" w:hAnsi="Work Sans" w:cs="Arial"/>
          <w:i/>
          <w:iCs/>
          <w:sz w:val="16"/>
          <w:szCs w:val="16"/>
          <w:lang w:val="es-CO" w:bidi="hi-IN"/>
        </w:rPr>
      </w:pPr>
    </w:p>
    <w:p w14:paraId="73A0038B" w14:textId="77777777" w:rsidR="0089596F" w:rsidRDefault="00E054F8">
      <w:pPr>
        <w:pStyle w:val="Contents3"/>
        <w:ind w:left="720" w:right="49" w:firstLine="0"/>
        <w:jc w:val="both"/>
        <w:rPr>
          <w:rFonts w:ascii="Work Sans" w:eastAsia="DejaVu Sans" w:hAnsi="Work Sans" w:cs="Arial"/>
          <w:i/>
          <w:iCs/>
          <w:sz w:val="18"/>
          <w:szCs w:val="18"/>
          <w:lang w:val="es-CO" w:bidi="hi-IN"/>
        </w:rPr>
      </w:pPr>
      <w:r>
        <w:rPr>
          <w:rFonts w:ascii="Work Sans" w:eastAsia="DejaVu Sans" w:hAnsi="Work Sans" w:cs="Arial"/>
          <w:i/>
          <w:iCs/>
          <w:sz w:val="18"/>
          <w:szCs w:val="18"/>
          <w:lang w:val="es-CO" w:bidi="hi-IN"/>
        </w:rPr>
        <w:t>El Contrato de Concesión en la Parte Especial en el capítulo IV, Sección 4.2 Estructura Tarifaria indica:</w:t>
      </w:r>
    </w:p>
    <w:p w14:paraId="5CB4D033" w14:textId="77777777" w:rsidR="0089596F" w:rsidRDefault="0089596F">
      <w:pPr>
        <w:pStyle w:val="Standard"/>
        <w:rPr>
          <w:rFonts w:eastAsia="DejaVu Sans"/>
          <w:sz w:val="18"/>
          <w:szCs w:val="18"/>
          <w:lang w:val="es-CO" w:bidi="hi-IN"/>
        </w:rPr>
      </w:pPr>
    </w:p>
    <w:p w14:paraId="1FA4132A" w14:textId="77777777" w:rsidR="0089596F" w:rsidRPr="001C2FF0" w:rsidRDefault="00E054F8">
      <w:pPr>
        <w:pStyle w:val="Contents3"/>
        <w:ind w:left="1428" w:right="49" w:firstLine="0"/>
        <w:jc w:val="both"/>
        <w:rPr>
          <w:lang w:val="es-CO"/>
        </w:rPr>
      </w:pPr>
      <w:r>
        <w:rPr>
          <w:rFonts w:ascii="Work Sans" w:eastAsia="DejaVu Sans" w:hAnsi="Work Sans" w:cs="Arial"/>
          <w:i/>
          <w:iCs/>
          <w:sz w:val="16"/>
          <w:szCs w:val="16"/>
          <w:lang w:val="es-CO" w:bidi="hi-IN"/>
        </w:rPr>
        <w:t>“4.2</w:t>
      </w:r>
      <w:r>
        <w:rPr>
          <w:rFonts w:ascii="Work Sans" w:hAnsi="Work Sans"/>
          <w:i/>
          <w:iCs/>
          <w:sz w:val="16"/>
          <w:szCs w:val="16"/>
          <w:lang w:val="es-CO"/>
        </w:rPr>
        <w:t xml:space="preserve"> </w:t>
      </w:r>
      <w:r>
        <w:rPr>
          <w:rFonts w:ascii="Work Sans" w:eastAsia="DejaVu Sans" w:hAnsi="Work Sans" w:cs="Arial"/>
          <w:i/>
          <w:iCs/>
          <w:sz w:val="16"/>
          <w:szCs w:val="16"/>
          <w:lang w:val="es-CO" w:bidi="hi-IN"/>
        </w:rPr>
        <w:t>Estructura Tarifaria</w:t>
      </w:r>
    </w:p>
    <w:p w14:paraId="747FF58A" w14:textId="77777777" w:rsidR="0089596F" w:rsidRDefault="0089596F">
      <w:pPr>
        <w:ind w:left="720"/>
        <w:rPr>
          <w:rFonts w:ascii="Work Sans" w:hAnsi="Work Sans"/>
          <w:i/>
          <w:iCs/>
          <w:sz w:val="16"/>
          <w:szCs w:val="16"/>
        </w:rPr>
      </w:pPr>
    </w:p>
    <w:p w14:paraId="6BFBB3AE" w14:textId="77777777" w:rsidR="0089596F" w:rsidRDefault="00E054F8">
      <w:pPr>
        <w:ind w:left="2133" w:hanging="705"/>
      </w:pPr>
      <w:r>
        <w:rPr>
          <w:rFonts w:ascii="Work Sans" w:hAnsi="Work Sans" w:cs="Arial"/>
          <w:i/>
          <w:iCs/>
          <w:sz w:val="16"/>
          <w:szCs w:val="16"/>
        </w:rPr>
        <w:t>(a)</w:t>
      </w:r>
      <w:r>
        <w:rPr>
          <w:rFonts w:ascii="Work Sans" w:hAnsi="Work Sans"/>
          <w:i/>
          <w:iCs/>
          <w:sz w:val="16"/>
          <w:szCs w:val="16"/>
        </w:rPr>
        <w:tab/>
      </w:r>
      <w:r>
        <w:rPr>
          <w:rFonts w:ascii="Work Sans" w:hAnsi="Work Sans" w:cs="Arial"/>
          <w:i/>
          <w:iCs/>
          <w:sz w:val="16"/>
          <w:szCs w:val="16"/>
        </w:rPr>
        <w:t xml:space="preserve">Para efectos de lo dispuesto en la </w:t>
      </w:r>
      <w:r>
        <w:rPr>
          <w:rFonts w:ascii="Work Sans" w:hAnsi="Work Sans" w:cs="Arial"/>
          <w:i/>
          <w:iCs/>
          <w:sz w:val="16"/>
          <w:szCs w:val="16"/>
        </w:rPr>
        <w:t xml:space="preserve">Sección 1.145 de la Parte General, y de acuerdo con lo </w:t>
      </w:r>
      <w:r>
        <w:rPr>
          <w:rFonts w:ascii="Work Sans" w:hAnsi="Work Sans"/>
          <w:i/>
          <w:iCs/>
          <w:sz w:val="16"/>
          <w:szCs w:val="16"/>
        </w:rPr>
        <w:tab/>
      </w:r>
      <w:r>
        <w:rPr>
          <w:rFonts w:ascii="Work Sans" w:hAnsi="Work Sans" w:cs="Arial"/>
          <w:i/>
          <w:iCs/>
          <w:sz w:val="16"/>
          <w:szCs w:val="16"/>
        </w:rPr>
        <w:t xml:space="preserve">establecido por la Resolución No. </w:t>
      </w:r>
      <w:r>
        <w:rPr>
          <w:rFonts w:ascii="Work Sans" w:hAnsi="Work Sans"/>
          <w:i/>
          <w:iCs/>
          <w:sz w:val="16"/>
          <w:szCs w:val="16"/>
        </w:rPr>
        <w:t xml:space="preserve">20213040028355 </w:t>
      </w:r>
      <w:r>
        <w:rPr>
          <w:rFonts w:ascii="Work Sans" w:hAnsi="Work Sans" w:cs="Arial"/>
          <w:i/>
          <w:iCs/>
          <w:sz w:val="16"/>
          <w:szCs w:val="16"/>
        </w:rPr>
        <w:t>de 2021. La estructura tarifaria que se aplicará al presente Contrato será la que a continuación se describe:</w:t>
      </w:r>
    </w:p>
    <w:tbl>
      <w:tblPr>
        <w:tblW w:w="7938" w:type="dxa"/>
        <w:tblInd w:w="250" w:type="dxa"/>
        <w:tblLayout w:type="fixed"/>
        <w:tblCellMar>
          <w:left w:w="10" w:type="dxa"/>
          <w:right w:w="10" w:type="dxa"/>
        </w:tblCellMar>
        <w:tblLook w:val="0000" w:firstRow="0" w:lastRow="0" w:firstColumn="0" w:lastColumn="0" w:noHBand="0" w:noVBand="0"/>
      </w:tblPr>
      <w:tblGrid>
        <w:gridCol w:w="1305"/>
        <w:gridCol w:w="1555"/>
        <w:gridCol w:w="1555"/>
        <w:gridCol w:w="1555"/>
        <w:gridCol w:w="1968"/>
      </w:tblGrid>
      <w:tr w:rsidR="0089596F" w14:paraId="6A049300" w14:textId="77777777">
        <w:tblPrEx>
          <w:tblCellMar>
            <w:top w:w="0" w:type="dxa"/>
            <w:bottom w:w="0" w:type="dxa"/>
          </w:tblCellMar>
        </w:tblPrEx>
        <w:trPr>
          <w:trHeight w:val="268"/>
        </w:trPr>
        <w:tc>
          <w:tcPr>
            <w:tcW w:w="7938" w:type="dxa"/>
            <w:gridSpan w:val="5"/>
            <w:tcBorders>
              <w:top w:val="single" w:sz="4" w:space="0" w:color="000000"/>
              <w:left w:val="single" w:sz="4" w:space="0" w:color="000000"/>
              <w:right w:val="single" w:sz="4" w:space="0" w:color="000000"/>
            </w:tcBorders>
            <w:shd w:val="clear" w:color="auto" w:fill="0070C0"/>
            <w:tcMar>
              <w:top w:w="0" w:type="dxa"/>
              <w:left w:w="108" w:type="dxa"/>
              <w:bottom w:w="0" w:type="dxa"/>
              <w:right w:w="108" w:type="dxa"/>
            </w:tcMar>
            <w:vAlign w:val="bottom"/>
          </w:tcPr>
          <w:p w14:paraId="3229007D" w14:textId="77777777" w:rsidR="0089596F" w:rsidRDefault="00E054F8">
            <w:pPr>
              <w:jc w:val="center"/>
              <w:textAlignment w:val="auto"/>
              <w:rPr>
                <w:rFonts w:ascii="Work Sans" w:eastAsia="Calibri" w:hAnsi="Work Sans" w:cs="Calibri"/>
                <w:b/>
                <w:bCs/>
                <w:i/>
                <w:iCs/>
                <w:color w:val="FFFFFF"/>
                <w:sz w:val="16"/>
                <w:szCs w:val="16"/>
              </w:rPr>
            </w:pPr>
            <w:r>
              <w:rPr>
                <w:rFonts w:ascii="Work Sans" w:eastAsia="Calibri" w:hAnsi="Work Sans" w:cs="Calibri"/>
                <w:b/>
                <w:bCs/>
                <w:i/>
                <w:iCs/>
                <w:color w:val="FFFFFF"/>
                <w:sz w:val="16"/>
                <w:szCs w:val="16"/>
              </w:rPr>
              <w:t xml:space="preserve">Tarifas Precios Constante de </w:t>
            </w:r>
            <w:proofErr w:type="gramStart"/>
            <w:r>
              <w:rPr>
                <w:rFonts w:ascii="Work Sans" w:eastAsia="Calibri" w:hAnsi="Work Sans" w:cs="Calibri"/>
                <w:b/>
                <w:bCs/>
                <w:i/>
                <w:iCs/>
                <w:color w:val="FFFFFF"/>
                <w:sz w:val="16"/>
                <w:szCs w:val="16"/>
              </w:rPr>
              <w:t>Diciembre</w:t>
            </w:r>
            <w:proofErr w:type="gramEnd"/>
            <w:r>
              <w:rPr>
                <w:rFonts w:ascii="Work Sans" w:eastAsia="Calibri" w:hAnsi="Work Sans" w:cs="Calibri"/>
                <w:b/>
                <w:bCs/>
                <w:i/>
                <w:iCs/>
                <w:color w:val="FFFFFF"/>
                <w:sz w:val="16"/>
                <w:szCs w:val="16"/>
              </w:rPr>
              <w:t xml:space="preserve"> de</w:t>
            </w:r>
            <w:r>
              <w:rPr>
                <w:rFonts w:ascii="Work Sans" w:eastAsia="Calibri" w:hAnsi="Work Sans" w:cs="Calibri"/>
                <w:b/>
                <w:bCs/>
                <w:i/>
                <w:iCs/>
                <w:color w:val="FFFFFF"/>
                <w:sz w:val="16"/>
                <w:szCs w:val="16"/>
              </w:rPr>
              <w:t xml:space="preserve"> 2015.</w:t>
            </w:r>
          </w:p>
        </w:tc>
      </w:tr>
      <w:tr w:rsidR="0089596F" w14:paraId="5D5B16DC" w14:textId="77777777">
        <w:tblPrEx>
          <w:tblCellMar>
            <w:top w:w="0" w:type="dxa"/>
            <w:bottom w:w="0" w:type="dxa"/>
          </w:tblCellMar>
        </w:tblPrEx>
        <w:trPr>
          <w:trHeight w:val="282"/>
        </w:trPr>
        <w:tc>
          <w:tcPr>
            <w:tcW w:w="1305" w:type="dxa"/>
            <w:tcBorders>
              <w:left w:val="single" w:sz="4" w:space="0" w:color="000000"/>
              <w:bottom w:val="single" w:sz="4" w:space="0" w:color="000000"/>
            </w:tcBorders>
            <w:shd w:val="clear" w:color="auto" w:fill="0070C0"/>
            <w:tcMar>
              <w:top w:w="0" w:type="dxa"/>
              <w:left w:w="108" w:type="dxa"/>
              <w:bottom w:w="0" w:type="dxa"/>
              <w:right w:w="108" w:type="dxa"/>
            </w:tcMar>
            <w:vAlign w:val="bottom"/>
          </w:tcPr>
          <w:p w14:paraId="4C884DCD" w14:textId="77777777" w:rsidR="0089596F" w:rsidRDefault="00E054F8">
            <w:pPr>
              <w:textAlignment w:val="auto"/>
            </w:pPr>
            <w:r>
              <w:rPr>
                <w:rFonts w:ascii="Work Sans" w:eastAsia="Calibri" w:hAnsi="Work Sans" w:cs="Calibri"/>
                <w:b/>
                <w:bCs/>
                <w:i/>
                <w:iCs/>
                <w:color w:val="FFFFFF"/>
                <w:sz w:val="16"/>
                <w:szCs w:val="16"/>
              </w:rPr>
              <w:t>Peaje de Bayunca</w:t>
            </w:r>
          </w:p>
        </w:tc>
        <w:tc>
          <w:tcPr>
            <w:tcW w:w="1555" w:type="dxa"/>
            <w:tcBorders>
              <w:bottom w:val="single" w:sz="4" w:space="0" w:color="000000"/>
            </w:tcBorders>
            <w:shd w:val="clear" w:color="auto" w:fill="0070C0"/>
            <w:tcMar>
              <w:top w:w="0" w:type="dxa"/>
              <w:left w:w="108" w:type="dxa"/>
              <w:bottom w:w="0" w:type="dxa"/>
              <w:right w:w="108" w:type="dxa"/>
            </w:tcMar>
            <w:vAlign w:val="bottom"/>
          </w:tcPr>
          <w:p w14:paraId="241D9368" w14:textId="77777777" w:rsidR="0089596F" w:rsidRDefault="00E054F8">
            <w:pPr>
              <w:jc w:val="center"/>
              <w:textAlignment w:val="auto"/>
              <w:rPr>
                <w:rFonts w:ascii="Work Sans" w:eastAsia="Calibri" w:hAnsi="Work Sans" w:cs="Calibri"/>
                <w:b/>
                <w:bCs/>
                <w:i/>
                <w:iCs/>
                <w:color w:val="FFFFFF"/>
                <w:sz w:val="16"/>
                <w:szCs w:val="16"/>
              </w:rPr>
            </w:pPr>
            <w:r>
              <w:rPr>
                <w:rFonts w:ascii="Work Sans" w:eastAsia="Calibri" w:hAnsi="Work Sans" w:cs="Calibri"/>
                <w:b/>
                <w:bCs/>
                <w:i/>
                <w:iCs/>
                <w:color w:val="FFFFFF"/>
                <w:sz w:val="16"/>
                <w:szCs w:val="16"/>
              </w:rPr>
              <w:t>2022</w:t>
            </w:r>
          </w:p>
        </w:tc>
        <w:tc>
          <w:tcPr>
            <w:tcW w:w="1555" w:type="dxa"/>
            <w:tcBorders>
              <w:bottom w:val="single" w:sz="4" w:space="0" w:color="000000"/>
            </w:tcBorders>
            <w:shd w:val="clear" w:color="auto" w:fill="0070C0"/>
            <w:tcMar>
              <w:top w:w="0" w:type="dxa"/>
              <w:left w:w="108" w:type="dxa"/>
              <w:bottom w:w="0" w:type="dxa"/>
              <w:right w:w="108" w:type="dxa"/>
            </w:tcMar>
            <w:vAlign w:val="bottom"/>
          </w:tcPr>
          <w:p w14:paraId="1DACBFC5" w14:textId="77777777" w:rsidR="0089596F" w:rsidRDefault="00E054F8">
            <w:pPr>
              <w:jc w:val="center"/>
              <w:textAlignment w:val="auto"/>
              <w:rPr>
                <w:rFonts w:ascii="Work Sans" w:eastAsia="Calibri" w:hAnsi="Work Sans" w:cs="Calibri"/>
                <w:b/>
                <w:bCs/>
                <w:i/>
                <w:iCs/>
                <w:color w:val="FFFFFF"/>
                <w:sz w:val="16"/>
                <w:szCs w:val="16"/>
              </w:rPr>
            </w:pPr>
            <w:r>
              <w:rPr>
                <w:rFonts w:ascii="Work Sans" w:eastAsia="Calibri" w:hAnsi="Work Sans" w:cs="Calibri"/>
                <w:b/>
                <w:bCs/>
                <w:i/>
                <w:iCs/>
                <w:color w:val="FFFFFF"/>
                <w:sz w:val="16"/>
                <w:szCs w:val="16"/>
              </w:rPr>
              <w:t>2023</w:t>
            </w:r>
          </w:p>
        </w:tc>
        <w:tc>
          <w:tcPr>
            <w:tcW w:w="1555" w:type="dxa"/>
            <w:tcBorders>
              <w:bottom w:val="single" w:sz="4" w:space="0" w:color="000000"/>
            </w:tcBorders>
            <w:shd w:val="clear" w:color="auto" w:fill="0070C0"/>
            <w:tcMar>
              <w:top w:w="0" w:type="dxa"/>
              <w:left w:w="108" w:type="dxa"/>
              <w:bottom w:w="0" w:type="dxa"/>
              <w:right w:w="108" w:type="dxa"/>
            </w:tcMar>
            <w:vAlign w:val="bottom"/>
          </w:tcPr>
          <w:p w14:paraId="0745AAE2" w14:textId="77777777" w:rsidR="0089596F" w:rsidRDefault="00E054F8">
            <w:pPr>
              <w:jc w:val="center"/>
              <w:textAlignment w:val="auto"/>
              <w:rPr>
                <w:rFonts w:ascii="Work Sans" w:eastAsia="Calibri" w:hAnsi="Work Sans" w:cs="Calibri"/>
                <w:b/>
                <w:bCs/>
                <w:i/>
                <w:iCs/>
                <w:color w:val="FFFFFF"/>
                <w:sz w:val="16"/>
                <w:szCs w:val="16"/>
              </w:rPr>
            </w:pPr>
            <w:r>
              <w:rPr>
                <w:rFonts w:ascii="Work Sans" w:eastAsia="Calibri" w:hAnsi="Work Sans" w:cs="Calibri"/>
                <w:b/>
                <w:bCs/>
                <w:i/>
                <w:iCs/>
                <w:color w:val="FFFFFF"/>
                <w:sz w:val="16"/>
                <w:szCs w:val="16"/>
              </w:rPr>
              <w:t>2024</w:t>
            </w:r>
          </w:p>
        </w:tc>
        <w:tc>
          <w:tcPr>
            <w:tcW w:w="1968" w:type="dxa"/>
            <w:tcBorders>
              <w:bottom w:val="single" w:sz="4" w:space="0" w:color="000000"/>
              <w:right w:val="single" w:sz="4" w:space="0" w:color="000000"/>
            </w:tcBorders>
            <w:shd w:val="clear" w:color="auto" w:fill="0070C0"/>
            <w:tcMar>
              <w:top w:w="0" w:type="dxa"/>
              <w:left w:w="108" w:type="dxa"/>
              <w:bottom w:w="0" w:type="dxa"/>
              <w:right w:w="108" w:type="dxa"/>
            </w:tcMar>
            <w:vAlign w:val="bottom"/>
          </w:tcPr>
          <w:p w14:paraId="16B94A10" w14:textId="77777777" w:rsidR="0089596F" w:rsidRDefault="00E054F8">
            <w:pPr>
              <w:jc w:val="center"/>
              <w:textAlignment w:val="auto"/>
              <w:rPr>
                <w:rFonts w:ascii="Work Sans" w:eastAsia="Calibri" w:hAnsi="Work Sans" w:cs="Calibri"/>
                <w:b/>
                <w:bCs/>
                <w:i/>
                <w:iCs/>
                <w:color w:val="FFFFFF"/>
                <w:sz w:val="16"/>
                <w:szCs w:val="16"/>
              </w:rPr>
            </w:pPr>
            <w:r>
              <w:rPr>
                <w:rFonts w:ascii="Work Sans" w:eastAsia="Calibri" w:hAnsi="Work Sans" w:cs="Calibri"/>
                <w:b/>
                <w:bCs/>
                <w:i/>
                <w:iCs/>
                <w:color w:val="FFFFFF"/>
                <w:sz w:val="16"/>
                <w:szCs w:val="16"/>
              </w:rPr>
              <w:t>2024</w:t>
            </w:r>
          </w:p>
        </w:tc>
      </w:tr>
      <w:tr w:rsidR="0089596F" w14:paraId="2927EB77" w14:textId="77777777">
        <w:tblPrEx>
          <w:tblCellMar>
            <w:top w:w="0" w:type="dxa"/>
            <w:bottom w:w="0" w:type="dxa"/>
          </w:tblCellMar>
        </w:tblPrEx>
        <w:trPr>
          <w:trHeight w:val="268"/>
        </w:trPr>
        <w:tc>
          <w:tcPr>
            <w:tcW w:w="1305" w:type="dxa"/>
            <w:tcBorders>
              <w:top w:val="single" w:sz="4" w:space="0" w:color="000000"/>
              <w:left w:val="single" w:sz="4" w:space="0" w:color="000000"/>
            </w:tcBorders>
            <w:shd w:val="clear" w:color="auto" w:fill="FFFFFF"/>
            <w:tcMar>
              <w:top w:w="0" w:type="dxa"/>
              <w:left w:w="108" w:type="dxa"/>
              <w:bottom w:w="0" w:type="dxa"/>
              <w:right w:w="108" w:type="dxa"/>
            </w:tcMar>
            <w:vAlign w:val="bottom"/>
          </w:tcPr>
          <w:p w14:paraId="0A88E7F7" w14:textId="77777777" w:rsidR="0089596F" w:rsidRDefault="00E054F8">
            <w:pPr>
              <w:textAlignment w:val="auto"/>
            </w:pPr>
            <w:r>
              <w:rPr>
                <w:rFonts w:ascii="Work Sans" w:eastAsia="Calibri" w:hAnsi="Work Sans" w:cs="Calibri"/>
                <w:i/>
                <w:iCs/>
                <w:color w:val="000000"/>
                <w:sz w:val="16"/>
                <w:szCs w:val="16"/>
              </w:rPr>
              <w:t>Categoría I</w:t>
            </w:r>
          </w:p>
        </w:tc>
        <w:tc>
          <w:tcPr>
            <w:tcW w:w="1555" w:type="dxa"/>
            <w:tcBorders>
              <w:top w:val="single" w:sz="4" w:space="0" w:color="000000"/>
            </w:tcBorders>
            <w:shd w:val="clear" w:color="auto" w:fill="FFFFFF"/>
            <w:tcMar>
              <w:top w:w="0" w:type="dxa"/>
              <w:left w:w="108" w:type="dxa"/>
              <w:bottom w:w="0" w:type="dxa"/>
              <w:right w:w="108" w:type="dxa"/>
            </w:tcMar>
            <w:vAlign w:val="bottom"/>
          </w:tcPr>
          <w:p w14:paraId="4137B3BD" w14:textId="77777777" w:rsidR="0089596F" w:rsidRDefault="00E054F8">
            <w:pPr>
              <w:textAlignment w:val="auto"/>
            </w:pPr>
            <w:r>
              <w:rPr>
                <w:rFonts w:ascii="Work Sans" w:eastAsia="Calibri" w:hAnsi="Work Sans" w:cs="Calibri"/>
                <w:i/>
                <w:iCs/>
                <w:color w:val="000000"/>
                <w:sz w:val="16"/>
                <w:szCs w:val="16"/>
              </w:rPr>
              <w:t xml:space="preserve">             8.035 </w:t>
            </w:r>
          </w:p>
        </w:tc>
        <w:tc>
          <w:tcPr>
            <w:tcW w:w="1555" w:type="dxa"/>
            <w:tcBorders>
              <w:top w:val="single" w:sz="4" w:space="0" w:color="000000"/>
            </w:tcBorders>
            <w:shd w:val="clear" w:color="auto" w:fill="FFFFFF"/>
            <w:tcMar>
              <w:top w:w="0" w:type="dxa"/>
              <w:left w:w="108" w:type="dxa"/>
              <w:bottom w:w="0" w:type="dxa"/>
              <w:right w:w="108" w:type="dxa"/>
            </w:tcMar>
            <w:vAlign w:val="bottom"/>
          </w:tcPr>
          <w:p w14:paraId="10F73EAB" w14:textId="77777777" w:rsidR="0089596F" w:rsidRDefault="00E054F8">
            <w:pPr>
              <w:textAlignment w:val="auto"/>
            </w:pPr>
            <w:r>
              <w:rPr>
                <w:rFonts w:ascii="Work Sans" w:eastAsia="Calibri" w:hAnsi="Work Sans" w:cs="Calibri"/>
                <w:i/>
                <w:iCs/>
                <w:color w:val="000000"/>
                <w:sz w:val="16"/>
                <w:szCs w:val="16"/>
              </w:rPr>
              <w:t xml:space="preserve">             8.678 </w:t>
            </w:r>
          </w:p>
        </w:tc>
        <w:tc>
          <w:tcPr>
            <w:tcW w:w="1555" w:type="dxa"/>
            <w:tcBorders>
              <w:top w:val="single" w:sz="4" w:space="0" w:color="000000"/>
            </w:tcBorders>
            <w:shd w:val="clear" w:color="auto" w:fill="FFFFFF"/>
            <w:tcMar>
              <w:top w:w="0" w:type="dxa"/>
              <w:left w:w="108" w:type="dxa"/>
              <w:bottom w:w="0" w:type="dxa"/>
              <w:right w:w="108" w:type="dxa"/>
            </w:tcMar>
            <w:vAlign w:val="bottom"/>
          </w:tcPr>
          <w:p w14:paraId="782BD3E6" w14:textId="77777777" w:rsidR="0089596F" w:rsidRDefault="00E054F8">
            <w:pPr>
              <w:textAlignment w:val="auto"/>
            </w:pPr>
            <w:r>
              <w:rPr>
                <w:rFonts w:ascii="Work Sans" w:eastAsia="Calibri" w:hAnsi="Work Sans" w:cs="Calibri"/>
                <w:i/>
                <w:iCs/>
                <w:color w:val="000000"/>
                <w:sz w:val="16"/>
                <w:szCs w:val="16"/>
              </w:rPr>
              <w:t xml:space="preserve">             9.276 </w:t>
            </w:r>
          </w:p>
        </w:tc>
        <w:tc>
          <w:tcPr>
            <w:tcW w:w="1968" w:type="dxa"/>
            <w:tcBorders>
              <w:top w:val="single" w:sz="4" w:space="0" w:color="000000"/>
              <w:right w:val="single" w:sz="4" w:space="0" w:color="000000"/>
            </w:tcBorders>
            <w:shd w:val="clear" w:color="auto" w:fill="FFFFFF"/>
            <w:tcMar>
              <w:top w:w="0" w:type="dxa"/>
              <w:left w:w="108" w:type="dxa"/>
              <w:bottom w:w="0" w:type="dxa"/>
              <w:right w:w="108" w:type="dxa"/>
            </w:tcMar>
            <w:vAlign w:val="bottom"/>
          </w:tcPr>
          <w:p w14:paraId="446D1E15" w14:textId="77777777" w:rsidR="0089596F" w:rsidRDefault="00E054F8">
            <w:pPr>
              <w:textAlignment w:val="auto"/>
            </w:pPr>
            <w:r>
              <w:rPr>
                <w:rFonts w:ascii="Work Sans" w:eastAsia="Calibri" w:hAnsi="Work Sans" w:cs="Calibri"/>
                <w:i/>
                <w:iCs/>
                <w:color w:val="000000"/>
                <w:sz w:val="16"/>
                <w:szCs w:val="16"/>
              </w:rPr>
              <w:t xml:space="preserve">             9.750 </w:t>
            </w:r>
          </w:p>
        </w:tc>
      </w:tr>
      <w:tr w:rsidR="0089596F" w14:paraId="6C4A4D85" w14:textId="77777777">
        <w:tblPrEx>
          <w:tblCellMar>
            <w:top w:w="0" w:type="dxa"/>
            <w:bottom w:w="0" w:type="dxa"/>
          </w:tblCellMar>
        </w:tblPrEx>
        <w:trPr>
          <w:trHeight w:val="268"/>
        </w:trPr>
        <w:tc>
          <w:tcPr>
            <w:tcW w:w="1305" w:type="dxa"/>
            <w:tcBorders>
              <w:left w:val="single" w:sz="4" w:space="0" w:color="000000"/>
            </w:tcBorders>
            <w:shd w:val="clear" w:color="auto" w:fill="FFFFFF"/>
            <w:tcMar>
              <w:top w:w="0" w:type="dxa"/>
              <w:left w:w="108" w:type="dxa"/>
              <w:bottom w:w="0" w:type="dxa"/>
              <w:right w:w="108" w:type="dxa"/>
            </w:tcMar>
            <w:vAlign w:val="bottom"/>
          </w:tcPr>
          <w:p w14:paraId="7B80F3EB" w14:textId="77777777" w:rsidR="0089596F" w:rsidRDefault="00E054F8">
            <w:pPr>
              <w:textAlignment w:val="auto"/>
            </w:pPr>
            <w:r>
              <w:rPr>
                <w:rFonts w:ascii="Work Sans" w:eastAsia="Calibri" w:hAnsi="Work Sans" w:cs="Calibri"/>
                <w:i/>
                <w:iCs/>
                <w:color w:val="000000"/>
                <w:sz w:val="16"/>
                <w:szCs w:val="16"/>
              </w:rPr>
              <w:t>Categoría IE</w:t>
            </w:r>
          </w:p>
        </w:tc>
        <w:tc>
          <w:tcPr>
            <w:tcW w:w="1555" w:type="dxa"/>
            <w:shd w:val="clear" w:color="auto" w:fill="FFFFFF"/>
            <w:tcMar>
              <w:top w:w="0" w:type="dxa"/>
              <w:left w:w="108" w:type="dxa"/>
              <w:bottom w:w="0" w:type="dxa"/>
              <w:right w:w="108" w:type="dxa"/>
            </w:tcMar>
            <w:vAlign w:val="bottom"/>
          </w:tcPr>
          <w:p w14:paraId="1D1A6759" w14:textId="77777777" w:rsidR="0089596F" w:rsidRDefault="00E054F8">
            <w:pPr>
              <w:textAlignment w:val="auto"/>
            </w:pPr>
            <w:r>
              <w:rPr>
                <w:rFonts w:ascii="Work Sans" w:eastAsia="Calibri" w:hAnsi="Work Sans" w:cs="Calibri"/>
                <w:i/>
                <w:iCs/>
                <w:color w:val="000000"/>
                <w:sz w:val="16"/>
                <w:szCs w:val="16"/>
              </w:rPr>
              <w:t xml:space="preserve">                    -   </w:t>
            </w:r>
          </w:p>
        </w:tc>
        <w:tc>
          <w:tcPr>
            <w:tcW w:w="1555" w:type="dxa"/>
            <w:shd w:val="clear" w:color="auto" w:fill="FFFFFF"/>
            <w:tcMar>
              <w:top w:w="0" w:type="dxa"/>
              <w:left w:w="108" w:type="dxa"/>
              <w:bottom w:w="0" w:type="dxa"/>
              <w:right w:w="108" w:type="dxa"/>
            </w:tcMar>
            <w:vAlign w:val="bottom"/>
          </w:tcPr>
          <w:p w14:paraId="18FB873E" w14:textId="77777777" w:rsidR="0089596F" w:rsidRDefault="00E054F8">
            <w:pPr>
              <w:textAlignment w:val="auto"/>
            </w:pPr>
            <w:r>
              <w:rPr>
                <w:rFonts w:ascii="Work Sans" w:eastAsia="Calibri" w:hAnsi="Work Sans" w:cs="Calibri"/>
                <w:i/>
                <w:iCs/>
                <w:color w:val="000000"/>
                <w:sz w:val="16"/>
                <w:szCs w:val="16"/>
              </w:rPr>
              <w:t xml:space="preserve">                    -   </w:t>
            </w:r>
          </w:p>
        </w:tc>
        <w:tc>
          <w:tcPr>
            <w:tcW w:w="1555" w:type="dxa"/>
            <w:shd w:val="clear" w:color="auto" w:fill="FFFFFF"/>
            <w:tcMar>
              <w:top w:w="0" w:type="dxa"/>
              <w:left w:w="108" w:type="dxa"/>
              <w:bottom w:w="0" w:type="dxa"/>
              <w:right w:w="108" w:type="dxa"/>
            </w:tcMar>
            <w:vAlign w:val="bottom"/>
          </w:tcPr>
          <w:p w14:paraId="04801B10" w14:textId="77777777" w:rsidR="0089596F" w:rsidRDefault="00E054F8">
            <w:pPr>
              <w:textAlignment w:val="auto"/>
            </w:pPr>
            <w:r>
              <w:rPr>
                <w:rFonts w:ascii="Work Sans" w:eastAsia="Calibri" w:hAnsi="Work Sans" w:cs="Calibri"/>
                <w:i/>
                <w:iCs/>
                <w:color w:val="000000"/>
                <w:sz w:val="16"/>
                <w:szCs w:val="16"/>
              </w:rPr>
              <w:t xml:space="preserve">                    -   </w:t>
            </w:r>
          </w:p>
        </w:tc>
        <w:tc>
          <w:tcPr>
            <w:tcW w:w="1968" w:type="dxa"/>
            <w:tcBorders>
              <w:right w:val="single" w:sz="4" w:space="0" w:color="000000"/>
            </w:tcBorders>
            <w:shd w:val="clear" w:color="auto" w:fill="FFFFFF"/>
            <w:tcMar>
              <w:top w:w="0" w:type="dxa"/>
              <w:left w:w="108" w:type="dxa"/>
              <w:bottom w:w="0" w:type="dxa"/>
              <w:right w:w="108" w:type="dxa"/>
            </w:tcMar>
            <w:vAlign w:val="bottom"/>
          </w:tcPr>
          <w:p w14:paraId="419AD781" w14:textId="77777777" w:rsidR="0089596F" w:rsidRDefault="00E054F8">
            <w:pPr>
              <w:textAlignment w:val="auto"/>
            </w:pPr>
            <w:r>
              <w:rPr>
                <w:rFonts w:ascii="Work Sans" w:eastAsia="Calibri" w:hAnsi="Work Sans" w:cs="Calibri"/>
                <w:i/>
                <w:iCs/>
                <w:color w:val="000000"/>
                <w:sz w:val="16"/>
                <w:szCs w:val="16"/>
              </w:rPr>
              <w:t xml:space="preserve">                    -   </w:t>
            </w:r>
          </w:p>
        </w:tc>
      </w:tr>
      <w:tr w:rsidR="0089596F" w14:paraId="6489EA45" w14:textId="77777777">
        <w:tblPrEx>
          <w:tblCellMar>
            <w:top w:w="0" w:type="dxa"/>
            <w:bottom w:w="0" w:type="dxa"/>
          </w:tblCellMar>
        </w:tblPrEx>
        <w:trPr>
          <w:trHeight w:val="268"/>
        </w:trPr>
        <w:tc>
          <w:tcPr>
            <w:tcW w:w="1305" w:type="dxa"/>
            <w:tcBorders>
              <w:left w:val="single" w:sz="4" w:space="0" w:color="000000"/>
            </w:tcBorders>
            <w:shd w:val="clear" w:color="auto" w:fill="FFFFFF"/>
            <w:tcMar>
              <w:top w:w="0" w:type="dxa"/>
              <w:left w:w="108" w:type="dxa"/>
              <w:bottom w:w="0" w:type="dxa"/>
              <w:right w:w="108" w:type="dxa"/>
            </w:tcMar>
            <w:vAlign w:val="bottom"/>
          </w:tcPr>
          <w:p w14:paraId="798CE977" w14:textId="77777777" w:rsidR="0089596F" w:rsidRDefault="00E054F8">
            <w:pPr>
              <w:textAlignment w:val="auto"/>
            </w:pPr>
            <w:r>
              <w:rPr>
                <w:rFonts w:ascii="Work Sans" w:eastAsia="Calibri" w:hAnsi="Work Sans" w:cs="Calibri"/>
                <w:i/>
                <w:iCs/>
                <w:color w:val="000000"/>
                <w:sz w:val="16"/>
                <w:szCs w:val="16"/>
              </w:rPr>
              <w:t>Categoría II</w:t>
            </w:r>
          </w:p>
        </w:tc>
        <w:tc>
          <w:tcPr>
            <w:tcW w:w="1555" w:type="dxa"/>
            <w:shd w:val="clear" w:color="auto" w:fill="FFFFFF"/>
            <w:tcMar>
              <w:top w:w="0" w:type="dxa"/>
              <w:left w:w="108" w:type="dxa"/>
              <w:bottom w:w="0" w:type="dxa"/>
              <w:right w:w="108" w:type="dxa"/>
            </w:tcMar>
            <w:vAlign w:val="bottom"/>
          </w:tcPr>
          <w:p w14:paraId="2DE567B4" w14:textId="77777777" w:rsidR="0089596F" w:rsidRDefault="00E054F8">
            <w:pPr>
              <w:textAlignment w:val="auto"/>
            </w:pPr>
            <w:r>
              <w:rPr>
                <w:rFonts w:ascii="Work Sans" w:eastAsia="Calibri" w:hAnsi="Work Sans" w:cs="Calibri"/>
                <w:i/>
                <w:iCs/>
                <w:color w:val="000000"/>
                <w:sz w:val="16"/>
                <w:szCs w:val="16"/>
              </w:rPr>
              <w:t xml:space="preserve">             9.661 </w:t>
            </w:r>
          </w:p>
        </w:tc>
        <w:tc>
          <w:tcPr>
            <w:tcW w:w="1555" w:type="dxa"/>
            <w:shd w:val="clear" w:color="auto" w:fill="FFFFFF"/>
            <w:tcMar>
              <w:top w:w="0" w:type="dxa"/>
              <w:left w:w="108" w:type="dxa"/>
              <w:bottom w:w="0" w:type="dxa"/>
              <w:right w:w="108" w:type="dxa"/>
            </w:tcMar>
            <w:vAlign w:val="bottom"/>
          </w:tcPr>
          <w:p w14:paraId="54C82667" w14:textId="77777777" w:rsidR="0089596F" w:rsidRDefault="00E054F8">
            <w:pPr>
              <w:textAlignment w:val="auto"/>
            </w:pPr>
            <w:r>
              <w:rPr>
                <w:rFonts w:ascii="Work Sans" w:eastAsia="Calibri" w:hAnsi="Work Sans" w:cs="Calibri"/>
                <w:i/>
                <w:iCs/>
                <w:color w:val="000000"/>
                <w:sz w:val="16"/>
                <w:szCs w:val="16"/>
              </w:rPr>
              <w:t xml:space="preserve">           10.694 </w:t>
            </w:r>
          </w:p>
        </w:tc>
        <w:tc>
          <w:tcPr>
            <w:tcW w:w="1555" w:type="dxa"/>
            <w:shd w:val="clear" w:color="auto" w:fill="FFFFFF"/>
            <w:tcMar>
              <w:top w:w="0" w:type="dxa"/>
              <w:left w:w="108" w:type="dxa"/>
              <w:bottom w:w="0" w:type="dxa"/>
              <w:right w:w="108" w:type="dxa"/>
            </w:tcMar>
            <w:vAlign w:val="bottom"/>
          </w:tcPr>
          <w:p w14:paraId="1D76183C" w14:textId="77777777" w:rsidR="0089596F" w:rsidRDefault="00E054F8">
            <w:pPr>
              <w:textAlignment w:val="auto"/>
            </w:pPr>
            <w:r>
              <w:rPr>
                <w:rFonts w:ascii="Work Sans" w:eastAsia="Calibri" w:hAnsi="Work Sans" w:cs="Calibri"/>
                <w:i/>
                <w:iCs/>
                <w:color w:val="000000"/>
                <w:sz w:val="16"/>
                <w:szCs w:val="16"/>
              </w:rPr>
              <w:t xml:space="preserve">           11.659 </w:t>
            </w:r>
          </w:p>
        </w:tc>
        <w:tc>
          <w:tcPr>
            <w:tcW w:w="1968" w:type="dxa"/>
            <w:tcBorders>
              <w:right w:val="single" w:sz="4" w:space="0" w:color="000000"/>
            </w:tcBorders>
            <w:shd w:val="clear" w:color="auto" w:fill="FFFFFF"/>
            <w:tcMar>
              <w:top w:w="0" w:type="dxa"/>
              <w:left w:w="108" w:type="dxa"/>
              <w:bottom w:w="0" w:type="dxa"/>
              <w:right w:w="108" w:type="dxa"/>
            </w:tcMar>
            <w:vAlign w:val="bottom"/>
          </w:tcPr>
          <w:p w14:paraId="568C6EF7" w14:textId="77777777" w:rsidR="0089596F" w:rsidRDefault="00E054F8">
            <w:pPr>
              <w:textAlignment w:val="auto"/>
            </w:pPr>
            <w:r>
              <w:rPr>
                <w:rFonts w:ascii="Work Sans" w:eastAsia="Calibri" w:hAnsi="Work Sans" w:cs="Calibri"/>
                <w:i/>
                <w:iCs/>
                <w:color w:val="000000"/>
                <w:sz w:val="16"/>
                <w:szCs w:val="16"/>
              </w:rPr>
              <w:t xml:space="preserve">           12.559 </w:t>
            </w:r>
          </w:p>
        </w:tc>
      </w:tr>
      <w:tr w:rsidR="0089596F" w14:paraId="6998C060" w14:textId="77777777">
        <w:tblPrEx>
          <w:tblCellMar>
            <w:top w:w="0" w:type="dxa"/>
            <w:bottom w:w="0" w:type="dxa"/>
          </w:tblCellMar>
        </w:tblPrEx>
        <w:trPr>
          <w:trHeight w:val="268"/>
        </w:trPr>
        <w:tc>
          <w:tcPr>
            <w:tcW w:w="1305" w:type="dxa"/>
            <w:tcBorders>
              <w:left w:val="single" w:sz="4" w:space="0" w:color="000000"/>
            </w:tcBorders>
            <w:shd w:val="clear" w:color="auto" w:fill="FFFFFF"/>
            <w:tcMar>
              <w:top w:w="0" w:type="dxa"/>
              <w:left w:w="108" w:type="dxa"/>
              <w:bottom w:w="0" w:type="dxa"/>
              <w:right w:w="108" w:type="dxa"/>
            </w:tcMar>
            <w:vAlign w:val="bottom"/>
          </w:tcPr>
          <w:p w14:paraId="19ED5287" w14:textId="77777777" w:rsidR="0089596F" w:rsidRDefault="00E054F8">
            <w:pPr>
              <w:textAlignment w:val="auto"/>
            </w:pPr>
            <w:r>
              <w:rPr>
                <w:rFonts w:ascii="Work Sans" w:eastAsia="Calibri" w:hAnsi="Work Sans" w:cs="Calibri"/>
                <w:i/>
                <w:iCs/>
                <w:color w:val="000000"/>
                <w:sz w:val="16"/>
                <w:szCs w:val="16"/>
              </w:rPr>
              <w:t>Categoría IIE</w:t>
            </w:r>
          </w:p>
        </w:tc>
        <w:tc>
          <w:tcPr>
            <w:tcW w:w="1555" w:type="dxa"/>
            <w:shd w:val="clear" w:color="auto" w:fill="FFFFFF"/>
            <w:tcMar>
              <w:top w:w="0" w:type="dxa"/>
              <w:left w:w="108" w:type="dxa"/>
              <w:bottom w:w="0" w:type="dxa"/>
              <w:right w:w="108" w:type="dxa"/>
            </w:tcMar>
            <w:vAlign w:val="bottom"/>
          </w:tcPr>
          <w:p w14:paraId="4083C961" w14:textId="77777777" w:rsidR="0089596F" w:rsidRDefault="00E054F8">
            <w:pPr>
              <w:textAlignment w:val="auto"/>
            </w:pPr>
            <w:r>
              <w:rPr>
                <w:rFonts w:ascii="Work Sans" w:eastAsia="Calibri" w:hAnsi="Work Sans" w:cs="Calibri"/>
                <w:i/>
                <w:iCs/>
                <w:color w:val="000000"/>
                <w:sz w:val="16"/>
                <w:szCs w:val="16"/>
              </w:rPr>
              <w:t xml:space="preserve">                    -   </w:t>
            </w:r>
          </w:p>
        </w:tc>
        <w:tc>
          <w:tcPr>
            <w:tcW w:w="1555" w:type="dxa"/>
            <w:shd w:val="clear" w:color="auto" w:fill="FFFFFF"/>
            <w:tcMar>
              <w:top w:w="0" w:type="dxa"/>
              <w:left w:w="108" w:type="dxa"/>
              <w:bottom w:w="0" w:type="dxa"/>
              <w:right w:w="108" w:type="dxa"/>
            </w:tcMar>
            <w:vAlign w:val="bottom"/>
          </w:tcPr>
          <w:p w14:paraId="1AD15AE4" w14:textId="77777777" w:rsidR="0089596F" w:rsidRDefault="00E054F8">
            <w:pPr>
              <w:textAlignment w:val="auto"/>
            </w:pPr>
            <w:r>
              <w:rPr>
                <w:rFonts w:ascii="Work Sans" w:eastAsia="Calibri" w:hAnsi="Work Sans" w:cs="Calibri"/>
                <w:i/>
                <w:iCs/>
                <w:color w:val="000000"/>
                <w:sz w:val="16"/>
                <w:szCs w:val="16"/>
              </w:rPr>
              <w:t xml:space="preserve">                    -   </w:t>
            </w:r>
          </w:p>
        </w:tc>
        <w:tc>
          <w:tcPr>
            <w:tcW w:w="1555" w:type="dxa"/>
            <w:shd w:val="clear" w:color="auto" w:fill="FFFFFF"/>
            <w:tcMar>
              <w:top w:w="0" w:type="dxa"/>
              <w:left w:w="108" w:type="dxa"/>
              <w:bottom w:w="0" w:type="dxa"/>
              <w:right w:w="108" w:type="dxa"/>
            </w:tcMar>
            <w:vAlign w:val="bottom"/>
          </w:tcPr>
          <w:p w14:paraId="6C98AFB2" w14:textId="77777777" w:rsidR="0089596F" w:rsidRDefault="00E054F8">
            <w:pPr>
              <w:textAlignment w:val="auto"/>
            </w:pPr>
            <w:r>
              <w:rPr>
                <w:rFonts w:ascii="Work Sans" w:eastAsia="Calibri" w:hAnsi="Work Sans" w:cs="Calibri"/>
                <w:i/>
                <w:iCs/>
                <w:color w:val="000000"/>
                <w:sz w:val="16"/>
                <w:szCs w:val="16"/>
              </w:rPr>
              <w:t xml:space="preserve">                    -   </w:t>
            </w:r>
          </w:p>
        </w:tc>
        <w:tc>
          <w:tcPr>
            <w:tcW w:w="1968" w:type="dxa"/>
            <w:tcBorders>
              <w:right w:val="single" w:sz="4" w:space="0" w:color="000000"/>
            </w:tcBorders>
            <w:shd w:val="clear" w:color="auto" w:fill="FFFFFF"/>
            <w:tcMar>
              <w:top w:w="0" w:type="dxa"/>
              <w:left w:w="108" w:type="dxa"/>
              <w:bottom w:w="0" w:type="dxa"/>
              <w:right w:w="108" w:type="dxa"/>
            </w:tcMar>
            <w:vAlign w:val="bottom"/>
          </w:tcPr>
          <w:p w14:paraId="38993BD2" w14:textId="77777777" w:rsidR="0089596F" w:rsidRDefault="00E054F8">
            <w:pPr>
              <w:textAlignment w:val="auto"/>
            </w:pPr>
            <w:r>
              <w:rPr>
                <w:rFonts w:ascii="Work Sans" w:eastAsia="Calibri" w:hAnsi="Work Sans" w:cs="Calibri"/>
                <w:i/>
                <w:iCs/>
                <w:color w:val="000000"/>
                <w:sz w:val="16"/>
                <w:szCs w:val="16"/>
              </w:rPr>
              <w:t xml:space="preserve">                    -   </w:t>
            </w:r>
          </w:p>
        </w:tc>
      </w:tr>
      <w:tr w:rsidR="0089596F" w14:paraId="488B06B4" w14:textId="77777777">
        <w:tblPrEx>
          <w:tblCellMar>
            <w:top w:w="0" w:type="dxa"/>
            <w:bottom w:w="0" w:type="dxa"/>
          </w:tblCellMar>
        </w:tblPrEx>
        <w:trPr>
          <w:trHeight w:val="268"/>
        </w:trPr>
        <w:tc>
          <w:tcPr>
            <w:tcW w:w="1305" w:type="dxa"/>
            <w:tcBorders>
              <w:left w:val="single" w:sz="4" w:space="0" w:color="000000"/>
            </w:tcBorders>
            <w:shd w:val="clear" w:color="auto" w:fill="FFFFFF"/>
            <w:tcMar>
              <w:top w:w="0" w:type="dxa"/>
              <w:left w:w="108" w:type="dxa"/>
              <w:bottom w:w="0" w:type="dxa"/>
              <w:right w:w="108" w:type="dxa"/>
            </w:tcMar>
            <w:vAlign w:val="bottom"/>
          </w:tcPr>
          <w:p w14:paraId="241921F5" w14:textId="77777777" w:rsidR="0089596F" w:rsidRDefault="00E054F8">
            <w:pPr>
              <w:textAlignment w:val="auto"/>
            </w:pPr>
            <w:r>
              <w:rPr>
                <w:rFonts w:ascii="Work Sans" w:eastAsia="Calibri" w:hAnsi="Work Sans" w:cs="Calibri"/>
                <w:i/>
                <w:iCs/>
                <w:color w:val="000000"/>
                <w:sz w:val="16"/>
                <w:szCs w:val="16"/>
              </w:rPr>
              <w:t>Categoría III</w:t>
            </w:r>
          </w:p>
        </w:tc>
        <w:tc>
          <w:tcPr>
            <w:tcW w:w="1555" w:type="dxa"/>
            <w:shd w:val="clear" w:color="auto" w:fill="FFFFFF"/>
            <w:tcMar>
              <w:top w:w="0" w:type="dxa"/>
              <w:left w:w="108" w:type="dxa"/>
              <w:bottom w:w="0" w:type="dxa"/>
              <w:right w:w="108" w:type="dxa"/>
            </w:tcMar>
            <w:vAlign w:val="bottom"/>
          </w:tcPr>
          <w:p w14:paraId="733869E0" w14:textId="77777777" w:rsidR="0089596F" w:rsidRDefault="00E054F8">
            <w:pPr>
              <w:textAlignment w:val="auto"/>
            </w:pPr>
            <w:r>
              <w:rPr>
                <w:rFonts w:ascii="Work Sans" w:eastAsia="Calibri" w:hAnsi="Work Sans" w:cs="Calibri"/>
                <w:i/>
                <w:iCs/>
                <w:color w:val="000000"/>
                <w:sz w:val="16"/>
                <w:szCs w:val="16"/>
              </w:rPr>
              <w:t xml:space="preserve">           18.689 </w:t>
            </w:r>
          </w:p>
        </w:tc>
        <w:tc>
          <w:tcPr>
            <w:tcW w:w="1555" w:type="dxa"/>
            <w:shd w:val="clear" w:color="auto" w:fill="FFFFFF"/>
            <w:tcMar>
              <w:top w:w="0" w:type="dxa"/>
              <w:left w:w="108" w:type="dxa"/>
              <w:bottom w:w="0" w:type="dxa"/>
              <w:right w:w="108" w:type="dxa"/>
            </w:tcMar>
            <w:vAlign w:val="bottom"/>
          </w:tcPr>
          <w:p w14:paraId="5642A737" w14:textId="77777777" w:rsidR="0089596F" w:rsidRDefault="00E054F8">
            <w:pPr>
              <w:textAlignment w:val="auto"/>
            </w:pPr>
            <w:r>
              <w:rPr>
                <w:rFonts w:ascii="Work Sans" w:eastAsia="Calibri" w:hAnsi="Work Sans" w:cs="Calibri"/>
                <w:i/>
                <w:iCs/>
                <w:color w:val="000000"/>
                <w:sz w:val="16"/>
                <w:szCs w:val="16"/>
              </w:rPr>
              <w:t xml:space="preserve">           19.635 </w:t>
            </w:r>
          </w:p>
        </w:tc>
        <w:tc>
          <w:tcPr>
            <w:tcW w:w="1555" w:type="dxa"/>
            <w:shd w:val="clear" w:color="auto" w:fill="FFFFFF"/>
            <w:tcMar>
              <w:top w:w="0" w:type="dxa"/>
              <w:left w:w="108" w:type="dxa"/>
              <w:bottom w:w="0" w:type="dxa"/>
              <w:right w:w="108" w:type="dxa"/>
            </w:tcMar>
            <w:vAlign w:val="bottom"/>
          </w:tcPr>
          <w:p w14:paraId="5615D819" w14:textId="77777777" w:rsidR="0089596F" w:rsidRDefault="00E054F8">
            <w:pPr>
              <w:textAlignment w:val="auto"/>
            </w:pPr>
            <w:r>
              <w:rPr>
                <w:rFonts w:ascii="Work Sans" w:eastAsia="Calibri" w:hAnsi="Work Sans" w:cs="Calibri"/>
                <w:i/>
                <w:iCs/>
                <w:color w:val="000000"/>
                <w:sz w:val="16"/>
                <w:szCs w:val="16"/>
              </w:rPr>
              <w:t xml:space="preserve">           20.510 </w:t>
            </w:r>
          </w:p>
        </w:tc>
        <w:tc>
          <w:tcPr>
            <w:tcW w:w="1968" w:type="dxa"/>
            <w:tcBorders>
              <w:right w:val="single" w:sz="4" w:space="0" w:color="000000"/>
            </w:tcBorders>
            <w:shd w:val="clear" w:color="auto" w:fill="FFFFFF"/>
            <w:tcMar>
              <w:top w:w="0" w:type="dxa"/>
              <w:left w:w="108" w:type="dxa"/>
              <w:bottom w:w="0" w:type="dxa"/>
              <w:right w:w="108" w:type="dxa"/>
            </w:tcMar>
            <w:vAlign w:val="bottom"/>
          </w:tcPr>
          <w:p w14:paraId="1F101F3C" w14:textId="77777777" w:rsidR="0089596F" w:rsidRDefault="00E054F8">
            <w:pPr>
              <w:textAlignment w:val="auto"/>
            </w:pPr>
            <w:r>
              <w:rPr>
                <w:rFonts w:ascii="Work Sans" w:eastAsia="Calibri" w:hAnsi="Work Sans" w:cs="Calibri"/>
                <w:i/>
                <w:iCs/>
                <w:color w:val="000000"/>
                <w:sz w:val="16"/>
                <w:szCs w:val="16"/>
              </w:rPr>
              <w:t xml:space="preserve">           21.317 </w:t>
            </w:r>
          </w:p>
        </w:tc>
      </w:tr>
      <w:tr w:rsidR="0089596F" w14:paraId="7AB93CDB" w14:textId="77777777">
        <w:tblPrEx>
          <w:tblCellMar>
            <w:top w:w="0" w:type="dxa"/>
            <w:bottom w:w="0" w:type="dxa"/>
          </w:tblCellMar>
        </w:tblPrEx>
        <w:trPr>
          <w:trHeight w:val="268"/>
        </w:trPr>
        <w:tc>
          <w:tcPr>
            <w:tcW w:w="1305" w:type="dxa"/>
            <w:tcBorders>
              <w:left w:val="single" w:sz="4" w:space="0" w:color="000000"/>
            </w:tcBorders>
            <w:shd w:val="clear" w:color="auto" w:fill="FFFFFF"/>
            <w:tcMar>
              <w:top w:w="0" w:type="dxa"/>
              <w:left w:w="108" w:type="dxa"/>
              <w:bottom w:w="0" w:type="dxa"/>
              <w:right w:w="108" w:type="dxa"/>
            </w:tcMar>
            <w:vAlign w:val="bottom"/>
          </w:tcPr>
          <w:p w14:paraId="188D134A" w14:textId="77777777" w:rsidR="0089596F" w:rsidRDefault="00E054F8">
            <w:pPr>
              <w:textAlignment w:val="auto"/>
            </w:pPr>
            <w:r>
              <w:rPr>
                <w:rFonts w:ascii="Work Sans" w:eastAsia="Calibri" w:hAnsi="Work Sans" w:cs="Calibri"/>
                <w:i/>
                <w:iCs/>
                <w:color w:val="000000"/>
                <w:sz w:val="16"/>
                <w:szCs w:val="16"/>
              </w:rPr>
              <w:t>Categoría IV</w:t>
            </w:r>
          </w:p>
        </w:tc>
        <w:tc>
          <w:tcPr>
            <w:tcW w:w="1555" w:type="dxa"/>
            <w:shd w:val="clear" w:color="auto" w:fill="FFFFFF"/>
            <w:tcMar>
              <w:top w:w="0" w:type="dxa"/>
              <w:left w:w="108" w:type="dxa"/>
              <w:bottom w:w="0" w:type="dxa"/>
              <w:right w:w="108" w:type="dxa"/>
            </w:tcMar>
            <w:vAlign w:val="bottom"/>
          </w:tcPr>
          <w:p w14:paraId="7729C6EF" w14:textId="77777777" w:rsidR="0089596F" w:rsidRDefault="00E054F8">
            <w:pPr>
              <w:textAlignment w:val="auto"/>
            </w:pPr>
            <w:r>
              <w:rPr>
                <w:rFonts w:ascii="Work Sans" w:eastAsia="Calibri" w:hAnsi="Work Sans" w:cs="Calibri"/>
                <w:i/>
                <w:iCs/>
                <w:color w:val="000000"/>
                <w:sz w:val="16"/>
                <w:szCs w:val="16"/>
              </w:rPr>
              <w:t xml:space="preserve">           26.995 </w:t>
            </w:r>
          </w:p>
        </w:tc>
        <w:tc>
          <w:tcPr>
            <w:tcW w:w="1555" w:type="dxa"/>
            <w:shd w:val="clear" w:color="auto" w:fill="FFFFFF"/>
            <w:tcMar>
              <w:top w:w="0" w:type="dxa"/>
              <w:left w:w="108" w:type="dxa"/>
              <w:bottom w:w="0" w:type="dxa"/>
              <w:right w:w="108" w:type="dxa"/>
            </w:tcMar>
            <w:vAlign w:val="bottom"/>
          </w:tcPr>
          <w:p w14:paraId="18C1C2DA" w14:textId="77777777" w:rsidR="0089596F" w:rsidRDefault="00E054F8">
            <w:pPr>
              <w:textAlignment w:val="auto"/>
            </w:pPr>
            <w:r>
              <w:rPr>
                <w:rFonts w:ascii="Work Sans" w:eastAsia="Calibri" w:hAnsi="Work Sans" w:cs="Calibri"/>
                <w:i/>
                <w:iCs/>
                <w:color w:val="000000"/>
                <w:sz w:val="16"/>
                <w:szCs w:val="16"/>
              </w:rPr>
              <w:t xml:space="preserve">           29.189 </w:t>
            </w:r>
          </w:p>
        </w:tc>
        <w:tc>
          <w:tcPr>
            <w:tcW w:w="1555" w:type="dxa"/>
            <w:shd w:val="clear" w:color="auto" w:fill="FFFFFF"/>
            <w:tcMar>
              <w:top w:w="0" w:type="dxa"/>
              <w:left w:w="108" w:type="dxa"/>
              <w:bottom w:w="0" w:type="dxa"/>
              <w:right w:w="108" w:type="dxa"/>
            </w:tcMar>
            <w:vAlign w:val="bottom"/>
          </w:tcPr>
          <w:p w14:paraId="5C5CDAC5" w14:textId="77777777" w:rsidR="0089596F" w:rsidRDefault="00E054F8">
            <w:pPr>
              <w:textAlignment w:val="auto"/>
            </w:pPr>
            <w:r>
              <w:rPr>
                <w:rFonts w:ascii="Work Sans" w:eastAsia="Calibri" w:hAnsi="Work Sans" w:cs="Calibri"/>
                <w:i/>
                <w:iCs/>
                <w:color w:val="000000"/>
                <w:sz w:val="16"/>
                <w:szCs w:val="16"/>
              </w:rPr>
              <w:t xml:space="preserve">           31.233 </w:t>
            </w:r>
          </w:p>
        </w:tc>
        <w:tc>
          <w:tcPr>
            <w:tcW w:w="1968" w:type="dxa"/>
            <w:tcBorders>
              <w:right w:val="single" w:sz="4" w:space="0" w:color="000000"/>
            </w:tcBorders>
            <w:shd w:val="clear" w:color="auto" w:fill="FFFFFF"/>
            <w:tcMar>
              <w:top w:w="0" w:type="dxa"/>
              <w:left w:w="108" w:type="dxa"/>
              <w:bottom w:w="0" w:type="dxa"/>
              <w:right w:w="108" w:type="dxa"/>
            </w:tcMar>
            <w:vAlign w:val="bottom"/>
          </w:tcPr>
          <w:p w14:paraId="71418C88" w14:textId="77777777" w:rsidR="0089596F" w:rsidRDefault="00E054F8">
            <w:pPr>
              <w:textAlignment w:val="auto"/>
            </w:pPr>
            <w:r>
              <w:rPr>
                <w:rFonts w:ascii="Work Sans" w:eastAsia="Calibri" w:hAnsi="Work Sans" w:cs="Calibri"/>
                <w:i/>
                <w:iCs/>
                <w:color w:val="000000"/>
                <w:sz w:val="16"/>
                <w:szCs w:val="16"/>
              </w:rPr>
              <w:t xml:space="preserve">           32.802 </w:t>
            </w:r>
          </w:p>
        </w:tc>
      </w:tr>
      <w:tr w:rsidR="0089596F" w14:paraId="7C3C6535" w14:textId="77777777">
        <w:tblPrEx>
          <w:tblCellMar>
            <w:top w:w="0" w:type="dxa"/>
            <w:bottom w:w="0" w:type="dxa"/>
          </w:tblCellMar>
        </w:tblPrEx>
        <w:trPr>
          <w:trHeight w:val="268"/>
        </w:trPr>
        <w:tc>
          <w:tcPr>
            <w:tcW w:w="1305" w:type="dxa"/>
            <w:tcBorders>
              <w:left w:val="single" w:sz="4" w:space="0" w:color="000000"/>
            </w:tcBorders>
            <w:shd w:val="clear" w:color="auto" w:fill="FFFFFF"/>
            <w:tcMar>
              <w:top w:w="0" w:type="dxa"/>
              <w:left w:w="108" w:type="dxa"/>
              <w:bottom w:w="0" w:type="dxa"/>
              <w:right w:w="108" w:type="dxa"/>
            </w:tcMar>
            <w:vAlign w:val="bottom"/>
          </w:tcPr>
          <w:p w14:paraId="2F609CB7" w14:textId="77777777" w:rsidR="0089596F" w:rsidRDefault="00E054F8">
            <w:pPr>
              <w:textAlignment w:val="auto"/>
            </w:pPr>
            <w:r>
              <w:rPr>
                <w:rFonts w:ascii="Work Sans" w:eastAsia="Calibri" w:hAnsi="Work Sans" w:cs="Calibri"/>
                <w:i/>
                <w:iCs/>
                <w:color w:val="000000"/>
                <w:sz w:val="16"/>
                <w:szCs w:val="16"/>
              </w:rPr>
              <w:t>Categoría V</w:t>
            </w:r>
          </w:p>
        </w:tc>
        <w:tc>
          <w:tcPr>
            <w:tcW w:w="1555" w:type="dxa"/>
            <w:shd w:val="clear" w:color="auto" w:fill="FFFFFF"/>
            <w:tcMar>
              <w:top w:w="0" w:type="dxa"/>
              <w:left w:w="108" w:type="dxa"/>
              <w:bottom w:w="0" w:type="dxa"/>
              <w:right w:w="108" w:type="dxa"/>
            </w:tcMar>
            <w:vAlign w:val="bottom"/>
          </w:tcPr>
          <w:p w14:paraId="2868D566" w14:textId="77777777" w:rsidR="0089596F" w:rsidRDefault="00E054F8">
            <w:pPr>
              <w:textAlignment w:val="auto"/>
            </w:pPr>
            <w:r>
              <w:rPr>
                <w:rFonts w:ascii="Work Sans" w:eastAsia="Calibri" w:hAnsi="Work Sans" w:cs="Calibri"/>
                <w:i/>
                <w:iCs/>
                <w:color w:val="000000"/>
                <w:sz w:val="16"/>
                <w:szCs w:val="16"/>
              </w:rPr>
              <w:t xml:space="preserve">           33.135 </w:t>
            </w:r>
          </w:p>
        </w:tc>
        <w:tc>
          <w:tcPr>
            <w:tcW w:w="1555" w:type="dxa"/>
            <w:shd w:val="clear" w:color="auto" w:fill="FFFFFF"/>
            <w:tcMar>
              <w:top w:w="0" w:type="dxa"/>
              <w:left w:w="108" w:type="dxa"/>
              <w:bottom w:w="0" w:type="dxa"/>
              <w:right w:w="108" w:type="dxa"/>
            </w:tcMar>
            <w:vAlign w:val="bottom"/>
          </w:tcPr>
          <w:p w14:paraId="58CF7761" w14:textId="77777777" w:rsidR="0089596F" w:rsidRDefault="00E054F8">
            <w:pPr>
              <w:textAlignment w:val="auto"/>
            </w:pPr>
            <w:r>
              <w:rPr>
                <w:rFonts w:ascii="Work Sans" w:eastAsia="Calibri" w:hAnsi="Work Sans" w:cs="Calibri"/>
                <w:i/>
                <w:iCs/>
                <w:color w:val="000000"/>
                <w:sz w:val="16"/>
                <w:szCs w:val="16"/>
              </w:rPr>
              <w:t xml:space="preserve">           36.640 </w:t>
            </w:r>
          </w:p>
        </w:tc>
        <w:tc>
          <w:tcPr>
            <w:tcW w:w="1555" w:type="dxa"/>
            <w:shd w:val="clear" w:color="auto" w:fill="FFFFFF"/>
            <w:tcMar>
              <w:top w:w="0" w:type="dxa"/>
              <w:left w:w="108" w:type="dxa"/>
              <w:bottom w:w="0" w:type="dxa"/>
              <w:right w:w="108" w:type="dxa"/>
            </w:tcMar>
            <w:vAlign w:val="bottom"/>
          </w:tcPr>
          <w:p w14:paraId="2A23AF76" w14:textId="77777777" w:rsidR="0089596F" w:rsidRDefault="00E054F8">
            <w:pPr>
              <w:textAlignment w:val="auto"/>
            </w:pPr>
            <w:r>
              <w:rPr>
                <w:rFonts w:ascii="Work Sans" w:eastAsia="Calibri" w:hAnsi="Work Sans" w:cs="Calibri"/>
                <w:i/>
                <w:iCs/>
                <w:color w:val="000000"/>
                <w:sz w:val="16"/>
                <w:szCs w:val="16"/>
              </w:rPr>
              <w:t xml:space="preserve">           39.913 </w:t>
            </w:r>
          </w:p>
        </w:tc>
        <w:tc>
          <w:tcPr>
            <w:tcW w:w="1968" w:type="dxa"/>
            <w:tcBorders>
              <w:right w:val="single" w:sz="4" w:space="0" w:color="000000"/>
            </w:tcBorders>
            <w:shd w:val="clear" w:color="auto" w:fill="FFFFFF"/>
            <w:tcMar>
              <w:top w:w="0" w:type="dxa"/>
              <w:left w:w="108" w:type="dxa"/>
              <w:bottom w:w="0" w:type="dxa"/>
              <w:right w:w="108" w:type="dxa"/>
            </w:tcMar>
            <w:vAlign w:val="bottom"/>
          </w:tcPr>
          <w:p w14:paraId="360F18EF" w14:textId="77777777" w:rsidR="0089596F" w:rsidRDefault="00E054F8">
            <w:pPr>
              <w:textAlignment w:val="auto"/>
            </w:pPr>
            <w:r>
              <w:rPr>
                <w:rFonts w:ascii="Work Sans" w:eastAsia="Calibri" w:hAnsi="Work Sans" w:cs="Calibri"/>
                <w:i/>
                <w:iCs/>
                <w:color w:val="000000"/>
                <w:sz w:val="16"/>
                <w:szCs w:val="16"/>
              </w:rPr>
              <w:t xml:space="preserve">           42.882 </w:t>
            </w:r>
          </w:p>
        </w:tc>
      </w:tr>
      <w:tr w:rsidR="0089596F" w14:paraId="70F65019" w14:textId="77777777">
        <w:tblPrEx>
          <w:tblCellMar>
            <w:top w:w="0" w:type="dxa"/>
            <w:bottom w:w="0" w:type="dxa"/>
          </w:tblCellMar>
        </w:tblPrEx>
        <w:trPr>
          <w:trHeight w:val="268"/>
        </w:trPr>
        <w:tc>
          <w:tcPr>
            <w:tcW w:w="1305" w:type="dxa"/>
            <w:tcBorders>
              <w:left w:val="single" w:sz="4" w:space="0" w:color="000000"/>
            </w:tcBorders>
            <w:shd w:val="clear" w:color="auto" w:fill="FFFFFF"/>
            <w:tcMar>
              <w:top w:w="0" w:type="dxa"/>
              <w:left w:w="108" w:type="dxa"/>
              <w:bottom w:w="0" w:type="dxa"/>
              <w:right w:w="108" w:type="dxa"/>
            </w:tcMar>
            <w:vAlign w:val="bottom"/>
          </w:tcPr>
          <w:p w14:paraId="3403A109" w14:textId="77777777" w:rsidR="0089596F" w:rsidRDefault="00E054F8">
            <w:pPr>
              <w:textAlignment w:val="auto"/>
            </w:pPr>
            <w:r>
              <w:rPr>
                <w:rFonts w:ascii="Work Sans" w:eastAsia="Calibri" w:hAnsi="Work Sans" w:cs="Calibri"/>
                <w:i/>
                <w:iCs/>
                <w:color w:val="000000"/>
                <w:sz w:val="16"/>
                <w:szCs w:val="16"/>
              </w:rPr>
              <w:t>Eje Adicional</w:t>
            </w:r>
          </w:p>
        </w:tc>
        <w:tc>
          <w:tcPr>
            <w:tcW w:w="1555" w:type="dxa"/>
            <w:shd w:val="clear" w:color="auto" w:fill="FFFFFF"/>
            <w:tcMar>
              <w:top w:w="0" w:type="dxa"/>
              <w:left w:w="108" w:type="dxa"/>
              <w:bottom w:w="0" w:type="dxa"/>
              <w:right w:w="108" w:type="dxa"/>
            </w:tcMar>
            <w:vAlign w:val="bottom"/>
          </w:tcPr>
          <w:p w14:paraId="0A4596A3" w14:textId="77777777" w:rsidR="0089596F" w:rsidRDefault="00E054F8">
            <w:pPr>
              <w:textAlignment w:val="auto"/>
            </w:pPr>
            <w:r>
              <w:rPr>
                <w:rFonts w:ascii="Work Sans" w:eastAsia="Calibri" w:hAnsi="Work Sans" w:cs="Calibri"/>
                <w:i/>
                <w:iCs/>
                <w:color w:val="000000"/>
                <w:sz w:val="16"/>
                <w:szCs w:val="16"/>
              </w:rPr>
              <w:t xml:space="preserve">             7.674 </w:t>
            </w:r>
          </w:p>
        </w:tc>
        <w:tc>
          <w:tcPr>
            <w:tcW w:w="1555" w:type="dxa"/>
            <w:shd w:val="clear" w:color="auto" w:fill="FFFFFF"/>
            <w:tcMar>
              <w:top w:w="0" w:type="dxa"/>
              <w:left w:w="108" w:type="dxa"/>
              <w:bottom w:w="0" w:type="dxa"/>
              <w:right w:w="108" w:type="dxa"/>
            </w:tcMar>
            <w:vAlign w:val="bottom"/>
          </w:tcPr>
          <w:p w14:paraId="2AB09FD1" w14:textId="77777777" w:rsidR="0089596F" w:rsidRDefault="00E054F8">
            <w:pPr>
              <w:textAlignment w:val="auto"/>
            </w:pPr>
            <w:r>
              <w:rPr>
                <w:rFonts w:ascii="Work Sans" w:eastAsia="Calibri" w:hAnsi="Work Sans" w:cs="Calibri"/>
                <w:i/>
                <w:iCs/>
                <w:color w:val="000000"/>
                <w:sz w:val="16"/>
                <w:szCs w:val="16"/>
              </w:rPr>
              <w:t xml:space="preserve">             7.714 </w:t>
            </w:r>
          </w:p>
        </w:tc>
        <w:tc>
          <w:tcPr>
            <w:tcW w:w="1555" w:type="dxa"/>
            <w:shd w:val="clear" w:color="auto" w:fill="FFFFFF"/>
            <w:tcMar>
              <w:top w:w="0" w:type="dxa"/>
              <w:left w:w="108" w:type="dxa"/>
              <w:bottom w:w="0" w:type="dxa"/>
              <w:right w:w="108" w:type="dxa"/>
            </w:tcMar>
            <w:vAlign w:val="bottom"/>
          </w:tcPr>
          <w:p w14:paraId="54EFDC08" w14:textId="77777777" w:rsidR="0089596F" w:rsidRDefault="00E054F8">
            <w:pPr>
              <w:textAlignment w:val="auto"/>
            </w:pPr>
            <w:r>
              <w:rPr>
                <w:rFonts w:ascii="Work Sans" w:eastAsia="Calibri" w:hAnsi="Work Sans" w:cs="Calibri"/>
                <w:i/>
                <w:iCs/>
                <w:color w:val="000000"/>
                <w:sz w:val="16"/>
                <w:szCs w:val="16"/>
              </w:rPr>
              <w:t xml:space="preserve">             7.744 </w:t>
            </w:r>
          </w:p>
        </w:tc>
        <w:tc>
          <w:tcPr>
            <w:tcW w:w="1968" w:type="dxa"/>
            <w:tcBorders>
              <w:right w:val="single" w:sz="4" w:space="0" w:color="000000"/>
            </w:tcBorders>
            <w:shd w:val="clear" w:color="auto" w:fill="FFFFFF"/>
            <w:tcMar>
              <w:top w:w="0" w:type="dxa"/>
              <w:left w:w="108" w:type="dxa"/>
              <w:bottom w:w="0" w:type="dxa"/>
              <w:right w:w="108" w:type="dxa"/>
            </w:tcMar>
            <w:vAlign w:val="bottom"/>
          </w:tcPr>
          <w:p w14:paraId="10D90736" w14:textId="77777777" w:rsidR="0089596F" w:rsidRDefault="00E054F8">
            <w:pPr>
              <w:textAlignment w:val="auto"/>
            </w:pPr>
            <w:r>
              <w:rPr>
                <w:rFonts w:ascii="Work Sans" w:eastAsia="Calibri" w:hAnsi="Work Sans" w:cs="Calibri"/>
                <w:i/>
                <w:iCs/>
                <w:color w:val="000000"/>
                <w:sz w:val="16"/>
                <w:szCs w:val="16"/>
              </w:rPr>
              <w:t xml:space="preserve">             7.767 </w:t>
            </w:r>
          </w:p>
        </w:tc>
      </w:tr>
      <w:tr w:rsidR="0089596F" w14:paraId="4B1292F8" w14:textId="77777777">
        <w:tblPrEx>
          <w:tblCellMar>
            <w:top w:w="0" w:type="dxa"/>
            <w:bottom w:w="0" w:type="dxa"/>
          </w:tblCellMar>
        </w:tblPrEx>
        <w:trPr>
          <w:trHeight w:val="268"/>
        </w:trPr>
        <w:tc>
          <w:tcPr>
            <w:tcW w:w="1305" w:type="dxa"/>
            <w:tcBorders>
              <w:left w:val="single" w:sz="4" w:space="0" w:color="000000"/>
            </w:tcBorders>
            <w:shd w:val="clear" w:color="auto" w:fill="FFFFFF"/>
            <w:tcMar>
              <w:top w:w="0" w:type="dxa"/>
              <w:left w:w="108" w:type="dxa"/>
              <w:bottom w:w="0" w:type="dxa"/>
              <w:right w:w="108" w:type="dxa"/>
            </w:tcMar>
            <w:vAlign w:val="bottom"/>
          </w:tcPr>
          <w:p w14:paraId="346BB2BD" w14:textId="77777777" w:rsidR="0089596F" w:rsidRDefault="00E054F8">
            <w:pPr>
              <w:textAlignment w:val="auto"/>
            </w:pPr>
            <w:r>
              <w:rPr>
                <w:rFonts w:ascii="Work Sans" w:eastAsia="Calibri" w:hAnsi="Work Sans" w:cs="Calibri"/>
                <w:i/>
                <w:iCs/>
                <w:color w:val="000000"/>
                <w:sz w:val="16"/>
                <w:szCs w:val="16"/>
              </w:rPr>
              <w:lastRenderedPageBreak/>
              <w:t>Eje Remolque</w:t>
            </w:r>
          </w:p>
        </w:tc>
        <w:tc>
          <w:tcPr>
            <w:tcW w:w="1555" w:type="dxa"/>
            <w:shd w:val="clear" w:color="auto" w:fill="FFFFFF"/>
            <w:tcMar>
              <w:top w:w="0" w:type="dxa"/>
              <w:left w:w="108" w:type="dxa"/>
              <w:bottom w:w="0" w:type="dxa"/>
              <w:right w:w="108" w:type="dxa"/>
            </w:tcMar>
            <w:vAlign w:val="bottom"/>
          </w:tcPr>
          <w:p w14:paraId="22B4C69E" w14:textId="77777777" w:rsidR="0089596F" w:rsidRDefault="00E054F8">
            <w:pPr>
              <w:textAlignment w:val="auto"/>
            </w:pPr>
            <w:r>
              <w:rPr>
                <w:rFonts w:ascii="Work Sans" w:eastAsia="Calibri" w:hAnsi="Work Sans" w:cs="Calibri"/>
                <w:i/>
                <w:iCs/>
                <w:color w:val="000000"/>
                <w:sz w:val="16"/>
                <w:szCs w:val="16"/>
              </w:rPr>
              <w:t xml:space="preserve">             7.403 </w:t>
            </w:r>
          </w:p>
        </w:tc>
        <w:tc>
          <w:tcPr>
            <w:tcW w:w="1555" w:type="dxa"/>
            <w:shd w:val="clear" w:color="auto" w:fill="FFFFFF"/>
            <w:tcMar>
              <w:top w:w="0" w:type="dxa"/>
              <w:left w:w="108" w:type="dxa"/>
              <w:bottom w:w="0" w:type="dxa"/>
              <w:right w:w="108" w:type="dxa"/>
            </w:tcMar>
            <w:vAlign w:val="bottom"/>
          </w:tcPr>
          <w:p w14:paraId="0C345998" w14:textId="77777777" w:rsidR="0089596F" w:rsidRDefault="00E054F8">
            <w:pPr>
              <w:textAlignment w:val="auto"/>
            </w:pPr>
            <w:r>
              <w:rPr>
                <w:rFonts w:ascii="Work Sans" w:eastAsia="Calibri" w:hAnsi="Work Sans" w:cs="Calibri"/>
                <w:i/>
                <w:iCs/>
                <w:color w:val="000000"/>
                <w:sz w:val="16"/>
                <w:szCs w:val="16"/>
              </w:rPr>
              <w:t xml:space="preserve">             7.363 </w:t>
            </w:r>
          </w:p>
        </w:tc>
        <w:tc>
          <w:tcPr>
            <w:tcW w:w="1555" w:type="dxa"/>
            <w:shd w:val="clear" w:color="auto" w:fill="FFFFFF"/>
            <w:tcMar>
              <w:top w:w="0" w:type="dxa"/>
              <w:left w:w="108" w:type="dxa"/>
              <w:bottom w:w="0" w:type="dxa"/>
              <w:right w:w="108" w:type="dxa"/>
            </w:tcMar>
            <w:vAlign w:val="bottom"/>
          </w:tcPr>
          <w:p w14:paraId="4F5DC68D" w14:textId="77777777" w:rsidR="0089596F" w:rsidRDefault="00E054F8">
            <w:pPr>
              <w:textAlignment w:val="auto"/>
            </w:pPr>
            <w:r>
              <w:rPr>
                <w:rFonts w:ascii="Work Sans" w:eastAsia="Calibri" w:hAnsi="Work Sans" w:cs="Calibri"/>
                <w:i/>
                <w:iCs/>
                <w:color w:val="000000"/>
                <w:sz w:val="16"/>
                <w:szCs w:val="16"/>
              </w:rPr>
              <w:t xml:space="preserve">             7.404 </w:t>
            </w:r>
          </w:p>
        </w:tc>
        <w:tc>
          <w:tcPr>
            <w:tcW w:w="1968" w:type="dxa"/>
            <w:tcBorders>
              <w:right w:val="single" w:sz="4" w:space="0" w:color="000000"/>
            </w:tcBorders>
            <w:shd w:val="clear" w:color="auto" w:fill="FFFFFF"/>
            <w:tcMar>
              <w:top w:w="0" w:type="dxa"/>
              <w:left w:w="108" w:type="dxa"/>
              <w:bottom w:w="0" w:type="dxa"/>
              <w:right w:w="108" w:type="dxa"/>
            </w:tcMar>
            <w:vAlign w:val="bottom"/>
          </w:tcPr>
          <w:p w14:paraId="5B97011D" w14:textId="77777777" w:rsidR="0089596F" w:rsidRDefault="00E054F8">
            <w:pPr>
              <w:textAlignment w:val="auto"/>
            </w:pPr>
            <w:r>
              <w:rPr>
                <w:rFonts w:ascii="Work Sans" w:eastAsia="Calibri" w:hAnsi="Work Sans" w:cs="Calibri"/>
                <w:i/>
                <w:iCs/>
                <w:color w:val="000000"/>
                <w:sz w:val="16"/>
                <w:szCs w:val="16"/>
              </w:rPr>
              <w:t xml:space="preserve">             7.436 </w:t>
            </w:r>
          </w:p>
        </w:tc>
      </w:tr>
      <w:tr w:rsidR="0089596F" w14:paraId="279E4C26" w14:textId="77777777">
        <w:tblPrEx>
          <w:tblCellMar>
            <w:top w:w="0" w:type="dxa"/>
            <w:bottom w:w="0" w:type="dxa"/>
          </w:tblCellMar>
        </w:tblPrEx>
        <w:trPr>
          <w:trHeight w:val="268"/>
        </w:trPr>
        <w:tc>
          <w:tcPr>
            <w:tcW w:w="1305"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14:paraId="229D2157" w14:textId="77777777" w:rsidR="0089596F" w:rsidRDefault="00E054F8">
            <w:pPr>
              <w:textAlignment w:val="auto"/>
            </w:pPr>
            <w:r>
              <w:rPr>
                <w:rFonts w:ascii="Work Sans" w:eastAsia="Calibri" w:hAnsi="Work Sans" w:cs="Calibri"/>
                <w:i/>
                <w:iCs/>
                <w:color w:val="000000"/>
                <w:sz w:val="16"/>
                <w:szCs w:val="16"/>
              </w:rPr>
              <w:t>Eje Grúa</w:t>
            </w:r>
          </w:p>
        </w:tc>
        <w:tc>
          <w:tcPr>
            <w:tcW w:w="1555" w:type="dxa"/>
            <w:tcBorders>
              <w:bottom w:val="single" w:sz="4" w:space="0" w:color="000000"/>
            </w:tcBorders>
            <w:shd w:val="clear" w:color="auto" w:fill="FFFFFF"/>
            <w:tcMar>
              <w:top w:w="0" w:type="dxa"/>
              <w:left w:w="108" w:type="dxa"/>
              <w:bottom w:w="0" w:type="dxa"/>
              <w:right w:w="108" w:type="dxa"/>
            </w:tcMar>
            <w:vAlign w:val="bottom"/>
          </w:tcPr>
          <w:p w14:paraId="0114DA01" w14:textId="77777777" w:rsidR="0089596F" w:rsidRDefault="00E054F8">
            <w:pPr>
              <w:textAlignment w:val="auto"/>
            </w:pPr>
            <w:r>
              <w:rPr>
                <w:rFonts w:ascii="Work Sans" w:eastAsia="Calibri" w:hAnsi="Work Sans" w:cs="Calibri"/>
                <w:i/>
                <w:iCs/>
                <w:color w:val="000000"/>
                <w:sz w:val="16"/>
                <w:szCs w:val="16"/>
              </w:rPr>
              <w:t xml:space="preserve">             5.237 </w:t>
            </w:r>
          </w:p>
        </w:tc>
        <w:tc>
          <w:tcPr>
            <w:tcW w:w="1555" w:type="dxa"/>
            <w:tcBorders>
              <w:bottom w:val="single" w:sz="4" w:space="0" w:color="000000"/>
            </w:tcBorders>
            <w:shd w:val="clear" w:color="auto" w:fill="FFFFFF"/>
            <w:tcMar>
              <w:top w:w="0" w:type="dxa"/>
              <w:left w:w="108" w:type="dxa"/>
              <w:bottom w:w="0" w:type="dxa"/>
              <w:right w:w="108" w:type="dxa"/>
            </w:tcMar>
            <w:vAlign w:val="bottom"/>
          </w:tcPr>
          <w:p w14:paraId="17FC1236" w14:textId="77777777" w:rsidR="0089596F" w:rsidRDefault="00E054F8">
            <w:pPr>
              <w:textAlignment w:val="auto"/>
            </w:pPr>
            <w:r>
              <w:rPr>
                <w:rFonts w:ascii="Work Sans" w:eastAsia="Calibri" w:hAnsi="Work Sans" w:cs="Calibri"/>
                <w:i/>
                <w:iCs/>
                <w:color w:val="000000"/>
                <w:sz w:val="16"/>
                <w:szCs w:val="16"/>
              </w:rPr>
              <w:t xml:space="preserve">             5.259 </w:t>
            </w:r>
          </w:p>
        </w:tc>
        <w:tc>
          <w:tcPr>
            <w:tcW w:w="1555" w:type="dxa"/>
            <w:tcBorders>
              <w:bottom w:val="single" w:sz="4" w:space="0" w:color="000000"/>
            </w:tcBorders>
            <w:shd w:val="clear" w:color="auto" w:fill="FFFFFF"/>
            <w:tcMar>
              <w:top w:w="0" w:type="dxa"/>
              <w:left w:w="108" w:type="dxa"/>
              <w:bottom w:w="0" w:type="dxa"/>
              <w:right w:w="108" w:type="dxa"/>
            </w:tcMar>
            <w:vAlign w:val="bottom"/>
          </w:tcPr>
          <w:p w14:paraId="3C535DC9" w14:textId="77777777" w:rsidR="0089596F" w:rsidRDefault="00E054F8">
            <w:pPr>
              <w:textAlignment w:val="auto"/>
            </w:pPr>
            <w:r>
              <w:rPr>
                <w:rFonts w:ascii="Work Sans" w:eastAsia="Calibri" w:hAnsi="Work Sans" w:cs="Calibri"/>
                <w:i/>
                <w:iCs/>
                <w:color w:val="000000"/>
                <w:sz w:val="16"/>
                <w:szCs w:val="16"/>
              </w:rPr>
              <w:t xml:space="preserve">             5.276 </w:t>
            </w:r>
          </w:p>
        </w:tc>
        <w:tc>
          <w:tcPr>
            <w:tcW w:w="1968"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6541C7E3" w14:textId="77777777" w:rsidR="0089596F" w:rsidRDefault="00E054F8">
            <w:pPr>
              <w:textAlignment w:val="auto"/>
            </w:pPr>
            <w:r>
              <w:rPr>
                <w:rFonts w:ascii="Work Sans" w:eastAsia="Calibri" w:hAnsi="Work Sans" w:cs="Calibri"/>
                <w:i/>
                <w:iCs/>
                <w:color w:val="000000"/>
                <w:sz w:val="16"/>
                <w:szCs w:val="16"/>
              </w:rPr>
              <w:t xml:space="preserve">             5.288</w:t>
            </w:r>
          </w:p>
        </w:tc>
      </w:tr>
    </w:tbl>
    <w:p w14:paraId="7EDC0ADE" w14:textId="77777777" w:rsidR="0089596F" w:rsidRDefault="0089596F">
      <w:pPr>
        <w:ind w:left="720"/>
        <w:rPr>
          <w:rFonts w:ascii="Work Sans" w:hAnsi="Work Sans"/>
          <w:i/>
          <w:iCs/>
          <w:sz w:val="16"/>
          <w:szCs w:val="16"/>
        </w:rPr>
      </w:pPr>
    </w:p>
    <w:p w14:paraId="5A99E846" w14:textId="77777777" w:rsidR="0089596F" w:rsidRDefault="0089596F">
      <w:pPr>
        <w:ind w:left="720"/>
        <w:rPr>
          <w:rFonts w:ascii="Work Sans" w:hAnsi="Work Sans" w:cs="Times New Roman"/>
          <w:i/>
          <w:iCs/>
          <w:sz w:val="16"/>
          <w:szCs w:val="16"/>
          <w:lang w:bidi="ar-SA"/>
        </w:rPr>
      </w:pPr>
    </w:p>
    <w:p w14:paraId="5D70A88F" w14:textId="77777777" w:rsidR="0089596F" w:rsidRDefault="00E054F8">
      <w:pPr>
        <w:pStyle w:val="Contents3"/>
        <w:ind w:left="426" w:right="481" w:firstLine="0"/>
        <w:jc w:val="both"/>
        <w:rPr>
          <w:rFonts w:ascii="Work Sans" w:eastAsia="DejaVu Sans" w:hAnsi="Work Sans" w:cs="Arial"/>
          <w:i/>
          <w:iCs/>
          <w:sz w:val="18"/>
          <w:szCs w:val="18"/>
          <w:lang w:val="es-CO" w:bidi="hi-IN"/>
        </w:rPr>
      </w:pPr>
      <w:r>
        <w:rPr>
          <w:rFonts w:ascii="Work Sans" w:eastAsia="DejaVu Sans" w:hAnsi="Work Sans" w:cs="Arial"/>
          <w:i/>
          <w:iCs/>
          <w:sz w:val="18"/>
          <w:szCs w:val="18"/>
          <w:lang w:val="es-CO" w:bidi="hi-IN"/>
        </w:rPr>
        <w:t xml:space="preserve">No obstante, teniendo en cuenta la problemática social que enfrenta el corredor, el 08 de enero de 2022 se suscribió Acta de Acuerdo de suspensión de los literales (a) y (e) de la sección 4.2 </w:t>
      </w:r>
      <w:r>
        <w:rPr>
          <w:rFonts w:ascii="Work Sans" w:eastAsia="DejaVu Sans" w:hAnsi="Work Sans" w:cs="Arial"/>
          <w:i/>
          <w:iCs/>
          <w:sz w:val="18"/>
          <w:szCs w:val="18"/>
          <w:lang w:val="es-CO" w:bidi="hi-IN"/>
        </w:rPr>
        <w:t>de la Parte Especial - Contrato de Concesión bajo el esquema de APP No. 002 de 2021 “Proyecto de Concesión vial Autopistas del Caribe Corredor de carga Cartagena - Barranquilla”, celebrado entre la ANI y la Sociedad Concesionaria Autopistas del Caribe S.A.</w:t>
      </w:r>
      <w:r>
        <w:rPr>
          <w:rFonts w:ascii="Work Sans" w:eastAsia="DejaVu Sans" w:hAnsi="Work Sans" w:cs="Arial"/>
          <w:i/>
          <w:iCs/>
          <w:sz w:val="18"/>
          <w:szCs w:val="18"/>
          <w:lang w:val="es-CO" w:bidi="hi-IN"/>
        </w:rPr>
        <w:t xml:space="preserve">S. en donde en la cláusula primera y segunda se indicó: </w:t>
      </w:r>
    </w:p>
    <w:p w14:paraId="45FF5BB4" w14:textId="77777777" w:rsidR="0089596F" w:rsidRDefault="0089596F">
      <w:pPr>
        <w:pStyle w:val="Prrafodelista"/>
        <w:ind w:left="426" w:right="481"/>
        <w:jc w:val="both"/>
        <w:rPr>
          <w:rFonts w:ascii="Work Sans" w:eastAsia="DejaVu Sans" w:hAnsi="Work Sans" w:cs="Arial"/>
          <w:i/>
          <w:iCs/>
          <w:sz w:val="18"/>
          <w:szCs w:val="18"/>
          <w:lang w:bidi="hi-IN"/>
        </w:rPr>
      </w:pPr>
    </w:p>
    <w:p w14:paraId="706DD57D" w14:textId="77777777" w:rsidR="0089596F" w:rsidRDefault="00E054F8">
      <w:pPr>
        <w:pStyle w:val="Prrafodelista"/>
        <w:ind w:left="426" w:right="481"/>
        <w:jc w:val="both"/>
        <w:rPr>
          <w:rFonts w:ascii="Work Sans" w:eastAsia="DejaVu Sans" w:hAnsi="Work Sans" w:cs="Arial"/>
          <w:i/>
          <w:iCs/>
          <w:sz w:val="18"/>
          <w:szCs w:val="18"/>
          <w:lang w:bidi="hi-IN"/>
        </w:rPr>
      </w:pPr>
      <w:r>
        <w:rPr>
          <w:rFonts w:ascii="Work Sans" w:eastAsia="DejaVu Sans" w:hAnsi="Work Sans" w:cs="Arial"/>
          <w:i/>
          <w:iCs/>
          <w:sz w:val="18"/>
          <w:szCs w:val="18"/>
          <w:lang w:bidi="hi-IN"/>
        </w:rPr>
        <w:t>“(…) CLÁUSULA PRIMERA: Suspender, desde el diez (10) de enero de 2022 y por un periodo de hasta tres (3) meses, las obligaciones contractuales de actualización del esquema tarifario señaladas en los</w:t>
      </w:r>
      <w:r>
        <w:rPr>
          <w:rFonts w:ascii="Work Sans" w:eastAsia="DejaVu Sans" w:hAnsi="Work Sans" w:cs="Arial"/>
          <w:i/>
          <w:iCs/>
          <w:sz w:val="18"/>
          <w:szCs w:val="18"/>
          <w:lang w:bidi="hi-IN"/>
        </w:rPr>
        <w:t xml:space="preserve"> literales (a) y (e) de la Sección 4.2 de la Parte Especial del Contrato de Concesión bajo el esquema de APP-IP 002 de 2021, respecto de las Estaciones de Peaje Bayunca, Gambote, Pasacaballos, Turbaco,  Sabanagrande y Galapa, con ocasión de los antecedente</w:t>
      </w:r>
      <w:r>
        <w:rPr>
          <w:rFonts w:ascii="Work Sans" w:eastAsia="DejaVu Sans" w:hAnsi="Work Sans" w:cs="Arial"/>
          <w:i/>
          <w:iCs/>
          <w:sz w:val="18"/>
          <w:szCs w:val="18"/>
          <w:lang w:bidi="hi-IN"/>
        </w:rPr>
        <w:t>s y situaciones de orden público señalados en los considerandos de esta Acta.</w:t>
      </w:r>
    </w:p>
    <w:p w14:paraId="40A41917" w14:textId="77777777" w:rsidR="0089596F" w:rsidRDefault="0089596F">
      <w:pPr>
        <w:pStyle w:val="Prrafodelista"/>
        <w:ind w:left="426" w:right="481"/>
        <w:jc w:val="both"/>
        <w:rPr>
          <w:rFonts w:ascii="Work Sans" w:eastAsia="DejaVu Sans" w:hAnsi="Work Sans" w:cs="Arial"/>
          <w:i/>
          <w:iCs/>
          <w:sz w:val="18"/>
          <w:szCs w:val="18"/>
          <w:lang w:bidi="hi-IN"/>
        </w:rPr>
      </w:pPr>
    </w:p>
    <w:p w14:paraId="72636AC8" w14:textId="77777777" w:rsidR="0089596F" w:rsidRDefault="00E054F8">
      <w:pPr>
        <w:pStyle w:val="Prrafodelista"/>
        <w:ind w:left="426" w:right="481"/>
        <w:jc w:val="both"/>
        <w:rPr>
          <w:rFonts w:ascii="Work Sans" w:eastAsia="DejaVu Sans" w:hAnsi="Work Sans" w:cs="Arial"/>
          <w:i/>
          <w:iCs/>
          <w:sz w:val="18"/>
          <w:szCs w:val="18"/>
          <w:lang w:bidi="hi-IN"/>
        </w:rPr>
      </w:pPr>
      <w:r>
        <w:rPr>
          <w:rFonts w:ascii="Work Sans" w:eastAsia="DejaVu Sans" w:hAnsi="Work Sans" w:cs="Arial"/>
          <w:i/>
          <w:iCs/>
          <w:sz w:val="18"/>
          <w:szCs w:val="18"/>
          <w:lang w:bidi="hi-IN"/>
        </w:rPr>
        <w:t xml:space="preserve">CLÁUSULA SEGUNDA: Como consecuencia de lo anterior, se acuerda continuar la aplicación de las tarifas según las resoluciones vigentes para el año 2021 en las </w:t>
      </w:r>
      <w:r>
        <w:rPr>
          <w:rFonts w:ascii="Work Sans" w:eastAsia="DejaVu Sans" w:hAnsi="Work Sans" w:cs="Arial"/>
          <w:i/>
          <w:iCs/>
          <w:sz w:val="18"/>
          <w:szCs w:val="18"/>
          <w:lang w:bidi="hi-IN"/>
        </w:rPr>
        <w:t>estaciones de peaje Bayunca, Gambote, Pasacaballos, Turbaco, Sabanagrande y Galapa, teniendo en cuenta para la actualización, a partir del 16 de enero de 2022, lo definido en la Sección 4.2 (g) de la Parte Especial del Contrato de Concesión bajo el esquema</w:t>
      </w:r>
      <w:r>
        <w:rPr>
          <w:rFonts w:ascii="Work Sans" w:eastAsia="DejaVu Sans" w:hAnsi="Work Sans" w:cs="Arial"/>
          <w:i/>
          <w:iCs/>
          <w:sz w:val="18"/>
          <w:szCs w:val="18"/>
          <w:lang w:bidi="hi-IN"/>
        </w:rPr>
        <w:t xml:space="preserve"> de APP-IP 002 de 2021. (…)”.</w:t>
      </w:r>
    </w:p>
    <w:p w14:paraId="6B047C48" w14:textId="77777777" w:rsidR="0089596F" w:rsidRDefault="0089596F">
      <w:pPr>
        <w:pStyle w:val="Prrafodelista"/>
        <w:ind w:left="426" w:right="481"/>
        <w:jc w:val="both"/>
        <w:rPr>
          <w:rFonts w:ascii="Work Sans" w:eastAsia="DejaVu Sans" w:hAnsi="Work Sans" w:cs="Arial"/>
          <w:i/>
          <w:iCs/>
          <w:sz w:val="18"/>
          <w:szCs w:val="18"/>
          <w:lang w:bidi="hi-IN"/>
        </w:rPr>
      </w:pPr>
    </w:p>
    <w:p w14:paraId="2620B94A" w14:textId="77777777" w:rsidR="0089596F" w:rsidRDefault="00E054F8">
      <w:pPr>
        <w:tabs>
          <w:tab w:val="left" w:pos="567"/>
        </w:tabs>
        <w:ind w:left="426" w:right="481"/>
        <w:jc w:val="both"/>
        <w:rPr>
          <w:rFonts w:ascii="Work Sans" w:hAnsi="Work Sans" w:cs="Arial"/>
          <w:i/>
          <w:iCs/>
          <w:sz w:val="18"/>
          <w:szCs w:val="18"/>
        </w:rPr>
      </w:pPr>
      <w:r>
        <w:rPr>
          <w:rFonts w:ascii="Work Sans" w:hAnsi="Work Sans" w:cs="Arial"/>
          <w:i/>
          <w:iCs/>
          <w:sz w:val="18"/>
          <w:szCs w:val="18"/>
        </w:rPr>
        <w:t xml:space="preserve">El 08 de abril de 2022 se prorrogó el acta de suspensión por un periodo de hasta dos meses y los demás acuerdos del Acta de Acuerdo de Suspensión suscrita el 08 de enero de 2022, se mantienen según lo establecido. </w:t>
      </w:r>
    </w:p>
    <w:p w14:paraId="50710B59" w14:textId="77777777" w:rsidR="0089596F" w:rsidRDefault="0089596F">
      <w:pPr>
        <w:tabs>
          <w:tab w:val="left" w:pos="567"/>
        </w:tabs>
        <w:ind w:left="426" w:right="481"/>
        <w:jc w:val="both"/>
        <w:rPr>
          <w:rFonts w:ascii="Work Sans" w:hAnsi="Work Sans" w:cs="Arial"/>
          <w:i/>
          <w:iCs/>
          <w:sz w:val="18"/>
          <w:szCs w:val="18"/>
        </w:rPr>
      </w:pPr>
    </w:p>
    <w:p w14:paraId="1BCD2967" w14:textId="77777777" w:rsidR="0089596F" w:rsidRDefault="00E054F8">
      <w:pPr>
        <w:tabs>
          <w:tab w:val="left" w:pos="0"/>
          <w:tab w:val="left" w:pos="426"/>
        </w:tabs>
        <w:autoSpaceDE w:val="0"/>
        <w:ind w:left="426" w:right="481"/>
        <w:jc w:val="both"/>
      </w:pPr>
      <w:r>
        <w:rPr>
          <w:rFonts w:ascii="Work Sans" w:hAnsi="Work Sans" w:cs="Arial"/>
          <w:i/>
          <w:iCs/>
          <w:sz w:val="18"/>
          <w:szCs w:val="18"/>
        </w:rPr>
        <w:t>Es import</w:t>
      </w:r>
      <w:r>
        <w:rPr>
          <w:rFonts w:ascii="Work Sans" w:hAnsi="Work Sans" w:cs="Arial"/>
          <w:i/>
          <w:iCs/>
          <w:sz w:val="18"/>
          <w:szCs w:val="18"/>
        </w:rPr>
        <w:t>ante recordar que, de conformidad con lo previsto en las resoluciones que regulan la estructura tarifaria para el Contrato de Concesión No. 002 de 2021 mencionadas anteriormente, las tarifas de paje vigentes para el proyecto Ruta Caribe - Contrato de Conce</w:t>
      </w:r>
      <w:r>
        <w:rPr>
          <w:rFonts w:ascii="Work Sans" w:hAnsi="Work Sans" w:cs="Arial"/>
          <w:i/>
          <w:iCs/>
          <w:sz w:val="18"/>
          <w:szCs w:val="18"/>
        </w:rPr>
        <w:t xml:space="preserve">sión No. 008 de 2007 permanecerían vigentes en el marco del contrato de concesión Autopistas del Caribe Corredor de Carga Cartagena – Barranquilla, hasta tanto no entren en vigencia las tarifas previstas para el año 2022 en la Resolución No. </w:t>
      </w:r>
      <w:r>
        <w:rPr>
          <w:rFonts w:ascii="Work Sans" w:hAnsi="Work Sans"/>
          <w:i/>
          <w:iCs/>
          <w:sz w:val="18"/>
          <w:szCs w:val="18"/>
        </w:rPr>
        <w:t>20213040028355</w:t>
      </w:r>
      <w:r>
        <w:rPr>
          <w:rFonts w:ascii="Work Sans" w:hAnsi="Work Sans"/>
          <w:i/>
          <w:iCs/>
          <w:sz w:val="18"/>
          <w:szCs w:val="18"/>
        </w:rPr>
        <w:t>. Situación que no ha ocurrido hasta el momento.</w:t>
      </w:r>
    </w:p>
    <w:p w14:paraId="28BA269E" w14:textId="77777777" w:rsidR="0089596F" w:rsidRDefault="00E054F8">
      <w:pPr>
        <w:tabs>
          <w:tab w:val="left" w:pos="0"/>
          <w:tab w:val="left" w:pos="7703"/>
        </w:tabs>
        <w:autoSpaceDE w:val="0"/>
        <w:ind w:left="426" w:right="481"/>
        <w:jc w:val="both"/>
        <w:rPr>
          <w:rFonts w:ascii="Work Sans" w:hAnsi="Work Sans" w:cs="Arial"/>
          <w:i/>
          <w:iCs/>
          <w:sz w:val="18"/>
          <w:szCs w:val="18"/>
        </w:rPr>
      </w:pPr>
      <w:r>
        <w:rPr>
          <w:rFonts w:ascii="Work Sans" w:hAnsi="Work Sans" w:cs="Arial"/>
          <w:i/>
          <w:iCs/>
          <w:sz w:val="18"/>
          <w:szCs w:val="18"/>
        </w:rPr>
        <w:tab/>
      </w:r>
    </w:p>
    <w:p w14:paraId="086838D8" w14:textId="77777777" w:rsidR="0089596F" w:rsidRDefault="00E054F8">
      <w:pPr>
        <w:ind w:left="426" w:right="481"/>
        <w:jc w:val="both"/>
      </w:pPr>
      <w:r>
        <w:rPr>
          <w:rFonts w:ascii="Work Sans" w:hAnsi="Work Sans" w:cs="Arial"/>
          <w:i/>
          <w:iCs/>
          <w:sz w:val="18"/>
          <w:szCs w:val="18"/>
        </w:rPr>
        <w:t xml:space="preserve">Así, de conformidad con la Resolución </w:t>
      </w:r>
      <w:r>
        <w:rPr>
          <w:rFonts w:ascii="Work Sans" w:hAnsi="Work Sans" w:cs="Arial"/>
          <w:i/>
          <w:iCs/>
          <w:sz w:val="18"/>
          <w:szCs w:val="18"/>
          <w:lang w:bidi="ar-SA"/>
        </w:rPr>
        <w:t xml:space="preserve">004336 del 28 de septiembre de 2006 </w:t>
      </w:r>
      <w:r>
        <w:rPr>
          <w:rFonts w:ascii="Work Sans" w:hAnsi="Work Sans" w:cs="Arial"/>
          <w:i/>
          <w:iCs/>
          <w:sz w:val="18"/>
          <w:szCs w:val="18"/>
        </w:rPr>
        <w:t xml:space="preserve">del Ministerio de Transporte, </w:t>
      </w:r>
      <w:r>
        <w:rPr>
          <w:rFonts w:ascii="Work Sans" w:hAnsi="Work Sans" w:cs="Arial"/>
          <w:i/>
          <w:iCs/>
          <w:sz w:val="18"/>
          <w:szCs w:val="18"/>
          <w:lang w:bidi="ar-SA"/>
        </w:rPr>
        <w:t>para la Concesión del Proyecto Vial denominado “Ruta Caribe”</w:t>
      </w:r>
      <w:r>
        <w:rPr>
          <w:rFonts w:ascii="Work Sans" w:hAnsi="Work Sans" w:cs="Arial"/>
          <w:i/>
          <w:iCs/>
          <w:sz w:val="18"/>
          <w:szCs w:val="18"/>
        </w:rPr>
        <w:t xml:space="preserve"> </w:t>
      </w:r>
      <w:r>
        <w:rPr>
          <w:rFonts w:ascii="Work Sans" w:hAnsi="Work Sans" w:cs="Arial"/>
          <w:i/>
          <w:iCs/>
          <w:sz w:val="18"/>
          <w:szCs w:val="18"/>
          <w:lang w:bidi="ar-SA"/>
        </w:rPr>
        <w:t xml:space="preserve">Contrato de Concesión 008 de 2007, </w:t>
      </w:r>
      <w:r>
        <w:rPr>
          <w:rFonts w:ascii="Work Sans" w:hAnsi="Work Sans" w:cs="Arial"/>
          <w:i/>
          <w:iCs/>
          <w:sz w:val="18"/>
          <w:szCs w:val="18"/>
        </w:rPr>
        <w:t xml:space="preserve">las tarifas a cobrar en la estación de peaje </w:t>
      </w:r>
      <w:r>
        <w:rPr>
          <w:rFonts w:ascii="Work Sans" w:hAnsi="Work Sans" w:cs="Arial"/>
          <w:i/>
          <w:iCs/>
          <w:sz w:val="18"/>
          <w:szCs w:val="18"/>
          <w:lang w:bidi="ar-SA"/>
        </w:rPr>
        <w:t xml:space="preserve">Bayunca </w:t>
      </w:r>
      <w:r>
        <w:rPr>
          <w:rFonts w:ascii="Work Sans" w:hAnsi="Work Sans" w:cs="Arial"/>
          <w:i/>
          <w:iCs/>
          <w:sz w:val="18"/>
          <w:szCs w:val="18"/>
        </w:rPr>
        <w:t xml:space="preserve">son </w:t>
      </w:r>
      <w:r>
        <w:rPr>
          <w:rFonts w:ascii="Work Sans" w:hAnsi="Work Sans" w:cs="Arial"/>
          <w:i/>
          <w:iCs/>
          <w:sz w:val="18"/>
          <w:szCs w:val="18"/>
          <w:lang w:bidi="ar-SA"/>
        </w:rPr>
        <w:t xml:space="preserve">las siguientes: </w:t>
      </w:r>
    </w:p>
    <w:p w14:paraId="215967D9" w14:textId="77777777" w:rsidR="0089596F" w:rsidRDefault="0089596F">
      <w:pPr>
        <w:ind w:left="426" w:right="481"/>
        <w:jc w:val="both"/>
        <w:rPr>
          <w:rFonts w:ascii="Work Sans" w:hAnsi="Work Sans" w:cs="Arial"/>
          <w:b/>
          <w:bCs/>
          <w:i/>
          <w:iCs/>
          <w:sz w:val="16"/>
          <w:szCs w:val="16"/>
          <w:lang w:val="es"/>
        </w:rPr>
      </w:pPr>
    </w:p>
    <w:p w14:paraId="7DF1BE34" w14:textId="77777777" w:rsidR="0089596F" w:rsidRDefault="0089596F">
      <w:pPr>
        <w:ind w:left="720"/>
        <w:jc w:val="center"/>
        <w:rPr>
          <w:rFonts w:ascii="Work Sans" w:hAnsi="Work Sans" w:cs="Arial"/>
          <w:b/>
          <w:bCs/>
          <w:i/>
          <w:iCs/>
          <w:sz w:val="16"/>
          <w:szCs w:val="16"/>
        </w:rPr>
      </w:pPr>
    </w:p>
    <w:p w14:paraId="3E1AD0F2" w14:textId="77777777" w:rsidR="0089596F" w:rsidRDefault="00E054F8">
      <w:pPr>
        <w:tabs>
          <w:tab w:val="left" w:pos="0"/>
          <w:tab w:val="left" w:pos="426"/>
        </w:tabs>
        <w:autoSpaceDE w:val="0"/>
        <w:ind w:left="1440"/>
        <w:jc w:val="both"/>
      </w:pPr>
      <w:r>
        <w:rPr>
          <w:rFonts w:ascii="Work Sans" w:hAnsi="Work Sans"/>
          <w:i/>
          <w:iCs/>
          <w:noProof/>
          <w:sz w:val="16"/>
          <w:szCs w:val="16"/>
          <w:lang w:val="es-CO" w:eastAsia="es-CO" w:bidi="ar-SA"/>
        </w:rPr>
        <w:drawing>
          <wp:inline distT="0" distB="0" distL="0" distR="0" wp14:anchorId="1B338B3D" wp14:editId="2371615A">
            <wp:extent cx="2993672" cy="1079961"/>
            <wp:effectExtent l="0" t="0" r="0" b="5889"/>
            <wp:docPr id="2" name="Imagen 7" descr="Interfaz de usuario gráfica, Texto, Tabl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93672" cy="1079961"/>
                    </a:xfrm>
                    <a:prstGeom prst="rect">
                      <a:avLst/>
                    </a:prstGeom>
                    <a:noFill/>
                    <a:ln>
                      <a:noFill/>
                      <a:prstDash/>
                    </a:ln>
                  </pic:spPr>
                </pic:pic>
              </a:graphicData>
            </a:graphic>
          </wp:inline>
        </w:drawing>
      </w:r>
    </w:p>
    <w:p w14:paraId="25CE97BA" w14:textId="77777777" w:rsidR="0089596F" w:rsidRDefault="0089596F">
      <w:pPr>
        <w:pStyle w:val="Contents3"/>
        <w:ind w:left="1440" w:right="49" w:firstLine="0"/>
        <w:jc w:val="both"/>
        <w:rPr>
          <w:rFonts w:ascii="Work Sans" w:eastAsia="DejaVu Sans" w:hAnsi="Work Sans" w:cs="Arial"/>
          <w:i/>
          <w:iCs/>
          <w:sz w:val="16"/>
          <w:szCs w:val="16"/>
          <w:lang w:val="es-CO" w:bidi="hi-IN"/>
        </w:rPr>
      </w:pPr>
    </w:p>
    <w:bookmarkEnd w:id="4"/>
    <w:p w14:paraId="019F7CD0" w14:textId="77777777" w:rsidR="0089596F" w:rsidRDefault="0089596F">
      <w:pPr>
        <w:tabs>
          <w:tab w:val="left" w:pos="426"/>
        </w:tabs>
        <w:autoSpaceDE w:val="0"/>
        <w:ind w:left="720" w:right="481"/>
        <w:jc w:val="both"/>
        <w:rPr>
          <w:rFonts w:ascii="Work Sans" w:hAnsi="Work Sans" w:cs="Arial"/>
          <w:i/>
          <w:iCs/>
          <w:sz w:val="16"/>
          <w:szCs w:val="16"/>
        </w:rPr>
      </w:pPr>
    </w:p>
    <w:p w14:paraId="5E83DA8D" w14:textId="77777777" w:rsidR="0089596F" w:rsidRDefault="00E054F8">
      <w:pPr>
        <w:ind w:left="720" w:right="481"/>
        <w:jc w:val="both"/>
        <w:rPr>
          <w:rFonts w:ascii="Work Sans" w:hAnsi="Work Sans" w:cs="Arial"/>
          <w:i/>
          <w:iCs/>
          <w:sz w:val="18"/>
          <w:szCs w:val="18"/>
          <w:lang w:val="es"/>
        </w:rPr>
      </w:pPr>
      <w:r>
        <w:rPr>
          <w:rFonts w:ascii="Work Sans" w:hAnsi="Work Sans" w:cs="Arial"/>
          <w:i/>
          <w:iCs/>
          <w:sz w:val="18"/>
          <w:szCs w:val="18"/>
          <w:lang w:val="es"/>
        </w:rPr>
        <w:t xml:space="preserve">En ese sentido, las tarifas aplicables para el peaje de Bayunca en el año 2022 son: </w:t>
      </w:r>
    </w:p>
    <w:p w14:paraId="03644CC3" w14:textId="77777777" w:rsidR="0089596F" w:rsidRDefault="0089596F">
      <w:pPr>
        <w:ind w:left="720" w:right="481"/>
        <w:jc w:val="both"/>
        <w:rPr>
          <w:rFonts w:ascii="Work Sans" w:hAnsi="Work Sans" w:cs="Arial"/>
          <w:i/>
          <w:iCs/>
          <w:sz w:val="16"/>
          <w:szCs w:val="16"/>
          <w:lang w:val="es"/>
        </w:rPr>
      </w:pPr>
    </w:p>
    <w:p w14:paraId="39E1853F" w14:textId="77777777" w:rsidR="0089596F" w:rsidRDefault="00E054F8">
      <w:pPr>
        <w:pStyle w:val="Prrafodelista"/>
        <w:ind w:left="1440"/>
      </w:pPr>
      <w:r>
        <w:rPr>
          <w:rFonts w:ascii="Work Sans" w:hAnsi="Work Sans"/>
          <w:i/>
          <w:iCs/>
          <w:noProof/>
          <w:sz w:val="16"/>
          <w:szCs w:val="16"/>
          <w:lang w:val="es-CO" w:eastAsia="es-CO"/>
        </w:rPr>
        <w:lastRenderedPageBreak/>
        <w:drawing>
          <wp:inline distT="0" distB="0" distL="0" distR="0" wp14:anchorId="4FB08A64" wp14:editId="42BA1038">
            <wp:extent cx="3339800" cy="1594923"/>
            <wp:effectExtent l="0" t="0" r="0" b="5277"/>
            <wp:docPr id="3" name="Imagen 2" descr="Captura de pantalla de computado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339800" cy="1594923"/>
                    </a:xfrm>
                    <a:prstGeom prst="rect">
                      <a:avLst/>
                    </a:prstGeom>
                    <a:noFill/>
                    <a:ln>
                      <a:noFill/>
                      <a:prstDash/>
                    </a:ln>
                  </pic:spPr>
                </pic:pic>
              </a:graphicData>
            </a:graphic>
          </wp:inline>
        </w:drawing>
      </w:r>
    </w:p>
    <w:p w14:paraId="1BC18267" w14:textId="77777777" w:rsidR="0089596F" w:rsidRDefault="0089596F">
      <w:pPr>
        <w:tabs>
          <w:tab w:val="left" w:pos="426"/>
        </w:tabs>
        <w:autoSpaceDE w:val="0"/>
        <w:ind w:left="720"/>
        <w:jc w:val="both"/>
        <w:rPr>
          <w:rFonts w:ascii="Work Sans" w:hAnsi="Work Sans" w:cs="Arial"/>
          <w:b/>
          <w:bCs/>
          <w:i/>
          <w:iCs/>
          <w:sz w:val="16"/>
          <w:szCs w:val="16"/>
        </w:rPr>
      </w:pPr>
    </w:p>
    <w:p w14:paraId="69B46BF4" w14:textId="77777777" w:rsidR="0089596F" w:rsidRDefault="00E054F8">
      <w:pPr>
        <w:tabs>
          <w:tab w:val="left" w:pos="426"/>
        </w:tabs>
        <w:autoSpaceDE w:val="0"/>
        <w:ind w:left="426" w:right="481"/>
        <w:jc w:val="both"/>
        <w:rPr>
          <w:rFonts w:ascii="Work Sans" w:hAnsi="Work Sans" w:cs="Arial"/>
          <w:b/>
          <w:bCs/>
          <w:i/>
          <w:iCs/>
          <w:sz w:val="18"/>
          <w:szCs w:val="18"/>
        </w:rPr>
      </w:pPr>
      <w:r>
        <w:rPr>
          <w:rFonts w:ascii="Work Sans" w:hAnsi="Work Sans" w:cs="Arial"/>
          <w:b/>
          <w:bCs/>
          <w:i/>
          <w:iCs/>
          <w:sz w:val="18"/>
          <w:szCs w:val="18"/>
        </w:rPr>
        <w:t xml:space="preserve">1.2. Fundamentos que sustentan la solicitud </w:t>
      </w:r>
    </w:p>
    <w:p w14:paraId="499E54DE" w14:textId="77777777" w:rsidR="0089596F" w:rsidRDefault="0089596F">
      <w:pPr>
        <w:pStyle w:val="Prrafodelista"/>
        <w:ind w:left="426" w:right="481"/>
        <w:rPr>
          <w:rFonts w:ascii="Work Sans" w:eastAsia="DejaVu Sans" w:hAnsi="Work Sans" w:cs="Arial"/>
          <w:i/>
          <w:iCs/>
          <w:sz w:val="18"/>
          <w:szCs w:val="18"/>
        </w:rPr>
      </w:pPr>
    </w:p>
    <w:p w14:paraId="5A2AB1B2" w14:textId="77777777" w:rsidR="0089596F" w:rsidRDefault="00E054F8">
      <w:pPr>
        <w:ind w:left="426" w:right="481"/>
        <w:jc w:val="both"/>
        <w:rPr>
          <w:rFonts w:ascii="Work Sans" w:hAnsi="Work Sans" w:cs="Arial"/>
          <w:i/>
          <w:iCs/>
          <w:sz w:val="18"/>
          <w:szCs w:val="18"/>
        </w:rPr>
      </w:pPr>
      <w:r>
        <w:rPr>
          <w:rFonts w:ascii="Work Sans" w:hAnsi="Work Sans" w:cs="Arial"/>
          <w:i/>
          <w:iCs/>
          <w:sz w:val="18"/>
          <w:szCs w:val="18"/>
        </w:rPr>
        <w:t xml:space="preserve">En el marco de ejecución del </w:t>
      </w:r>
      <w:r>
        <w:rPr>
          <w:rFonts w:ascii="Work Sans" w:hAnsi="Work Sans" w:cs="Arial"/>
          <w:i/>
          <w:iCs/>
          <w:sz w:val="18"/>
          <w:szCs w:val="18"/>
        </w:rPr>
        <w:t>proyecto Autopistas del Caribe, corredor de carga Cartagena – Barranquilla, se han presentado episodios de alteración del orden público descritos en diversas comunicaciones y medios locales y nacionales de la siguiente manera:</w:t>
      </w:r>
    </w:p>
    <w:p w14:paraId="32EFECD4" w14:textId="77777777" w:rsidR="0089596F" w:rsidRDefault="0089596F">
      <w:pPr>
        <w:pStyle w:val="Prrafodelista"/>
        <w:ind w:left="426" w:right="481"/>
        <w:rPr>
          <w:rFonts w:ascii="Work Sans" w:hAnsi="Work Sans" w:cs="Arial"/>
          <w:i/>
          <w:iCs/>
          <w:sz w:val="18"/>
          <w:szCs w:val="18"/>
        </w:rPr>
      </w:pPr>
    </w:p>
    <w:p w14:paraId="395D61D3" w14:textId="77777777" w:rsidR="0089596F" w:rsidRDefault="00E054F8">
      <w:pPr>
        <w:pStyle w:val="Prrafodelista"/>
        <w:numPr>
          <w:ilvl w:val="0"/>
          <w:numId w:val="21"/>
        </w:numPr>
        <w:ind w:left="426" w:right="481" w:hanging="283"/>
        <w:jc w:val="both"/>
        <w:textAlignment w:val="auto"/>
        <w:rPr>
          <w:rFonts w:ascii="Work Sans" w:hAnsi="Work Sans" w:cs="Arial"/>
          <w:i/>
          <w:iCs/>
          <w:sz w:val="18"/>
          <w:szCs w:val="18"/>
        </w:rPr>
      </w:pPr>
      <w:r>
        <w:rPr>
          <w:rFonts w:ascii="Work Sans" w:hAnsi="Work Sans" w:cs="Arial"/>
          <w:i/>
          <w:iCs/>
          <w:sz w:val="18"/>
          <w:szCs w:val="18"/>
        </w:rPr>
        <w:t>Imposibilidad parcial de lle</w:t>
      </w:r>
      <w:r>
        <w:rPr>
          <w:rFonts w:ascii="Work Sans" w:hAnsi="Work Sans" w:cs="Arial"/>
          <w:i/>
          <w:iCs/>
          <w:sz w:val="18"/>
          <w:szCs w:val="18"/>
        </w:rPr>
        <w:t>var a cabo el recaudo del peaje en la estación de Turbaco, tal como se ha registrado en diferentes medios de comunicación locales y nacionales desde el mes de septiembre de 2021, situación que, a su vez, fue puesta en conocimiento a la Agencia por parte de</w:t>
      </w:r>
      <w:r>
        <w:rPr>
          <w:rFonts w:ascii="Work Sans" w:hAnsi="Work Sans" w:cs="Arial"/>
          <w:i/>
          <w:iCs/>
          <w:sz w:val="18"/>
          <w:szCs w:val="18"/>
        </w:rPr>
        <w:t>l Concesionario mediante oficio con radicado de entrada ANI No. 20214091266792 del 29 de octubre de 2021, así: “(…) El objeto de la presente es poner en su conocimiento la continuación de los episodios que alteran el orden público e imposibilitan el recaud</w:t>
      </w:r>
      <w:r>
        <w:rPr>
          <w:rFonts w:ascii="Work Sans" w:hAnsi="Work Sans" w:cs="Arial"/>
          <w:i/>
          <w:iCs/>
          <w:sz w:val="18"/>
          <w:szCs w:val="18"/>
        </w:rPr>
        <w:t>o en la estación de peaje de Turbaco, los cuales fueron informados a la Entidad mediante comunicación 2021-409-125053-2 del 26 de octubre del año corriente. Algunos miembros de la población civil, con los auspicios del Comité No Peaje, se toman por la fuer</w:t>
      </w:r>
      <w:r>
        <w:rPr>
          <w:rFonts w:ascii="Work Sans" w:hAnsi="Work Sans" w:cs="Arial"/>
          <w:i/>
          <w:iCs/>
          <w:sz w:val="18"/>
          <w:szCs w:val="18"/>
        </w:rPr>
        <w:t xml:space="preserve">za las zonas adyacentes, los carriles y las oficinas de la estación de peaje, amedrantan al personal, levantan las talanqueras, impiden el cobro de la tasa y, cada vez con mayor frecuencia, reclaman para sí el pago de dinero a los usuarios. </w:t>
      </w:r>
    </w:p>
    <w:p w14:paraId="4E7EA934" w14:textId="77777777" w:rsidR="0089596F" w:rsidRDefault="0089596F">
      <w:pPr>
        <w:ind w:left="426" w:right="481"/>
        <w:rPr>
          <w:rFonts w:ascii="Work Sans" w:hAnsi="Work Sans"/>
          <w:i/>
          <w:iCs/>
          <w:sz w:val="18"/>
          <w:szCs w:val="18"/>
        </w:rPr>
      </w:pPr>
    </w:p>
    <w:p w14:paraId="6C2E09A7" w14:textId="77777777" w:rsidR="0089596F" w:rsidRDefault="00E054F8">
      <w:pPr>
        <w:pStyle w:val="Prrafodelista"/>
        <w:ind w:left="426" w:right="481"/>
        <w:jc w:val="both"/>
        <w:rPr>
          <w:rFonts w:ascii="Work Sans" w:hAnsi="Work Sans"/>
          <w:i/>
          <w:iCs/>
          <w:sz w:val="18"/>
          <w:szCs w:val="18"/>
        </w:rPr>
      </w:pPr>
      <w:r>
        <w:rPr>
          <w:rFonts w:ascii="Work Sans" w:hAnsi="Work Sans"/>
          <w:i/>
          <w:iCs/>
          <w:sz w:val="18"/>
          <w:szCs w:val="18"/>
        </w:rPr>
        <w:t>La persistenc</w:t>
      </w:r>
      <w:r>
        <w:rPr>
          <w:rFonts w:ascii="Work Sans" w:hAnsi="Work Sans"/>
          <w:i/>
          <w:iCs/>
          <w:sz w:val="18"/>
          <w:szCs w:val="18"/>
        </w:rPr>
        <w:t>ia de estos hechos ha causado que algunos usuarios del corredor tomen la decisión de no pagar el peaje, descendiendo de sus vehículos y levantando por mano propia las barreras. Se trata de un fenómeno de alteración del orden público que erosiona la cultura</w:t>
      </w:r>
      <w:r>
        <w:rPr>
          <w:rFonts w:ascii="Work Sans" w:hAnsi="Work Sans"/>
          <w:i/>
          <w:iCs/>
          <w:sz w:val="18"/>
          <w:szCs w:val="18"/>
        </w:rPr>
        <w:t xml:space="preserve"> del pago de esta tasa y pone en riesgo el modelo de peajes como fuente de financiación para la provisión de infraestructura de transporte. Las evidencias fotográficas y fílmicas sobre los hechos que tuvieron lugar entre el 25 y el 28 de octubre de 2021 se</w:t>
      </w:r>
      <w:r>
        <w:rPr>
          <w:rFonts w:ascii="Work Sans" w:hAnsi="Work Sans"/>
          <w:i/>
          <w:iCs/>
          <w:sz w:val="18"/>
          <w:szCs w:val="18"/>
        </w:rPr>
        <w:t xml:space="preserve"> aportan en el disco compacto anexo a la comunicación (…)”. </w:t>
      </w:r>
    </w:p>
    <w:p w14:paraId="3D353CBC" w14:textId="77777777" w:rsidR="0089596F" w:rsidRDefault="0089596F">
      <w:pPr>
        <w:ind w:left="426" w:right="481" w:hanging="11"/>
        <w:jc w:val="both"/>
        <w:rPr>
          <w:rFonts w:ascii="Work Sans" w:hAnsi="Work Sans" w:cs="Arial"/>
          <w:i/>
          <w:iCs/>
          <w:sz w:val="18"/>
          <w:szCs w:val="18"/>
        </w:rPr>
      </w:pPr>
    </w:p>
    <w:p w14:paraId="3E67D5E2" w14:textId="77777777" w:rsidR="0089596F" w:rsidRDefault="0089596F">
      <w:pPr>
        <w:pStyle w:val="Prrafodelista"/>
        <w:tabs>
          <w:tab w:val="left" w:pos="7655"/>
        </w:tabs>
        <w:autoSpaceDE w:val="0"/>
        <w:ind w:left="426" w:right="481"/>
        <w:jc w:val="both"/>
        <w:rPr>
          <w:rFonts w:ascii="Work Sans" w:hAnsi="Work Sans" w:cs="Arial"/>
          <w:i/>
          <w:iCs/>
          <w:sz w:val="18"/>
          <w:szCs w:val="18"/>
        </w:rPr>
      </w:pPr>
    </w:p>
    <w:p w14:paraId="308513EC" w14:textId="77777777" w:rsidR="0089596F" w:rsidRDefault="00E054F8">
      <w:pPr>
        <w:pStyle w:val="paragraph"/>
        <w:numPr>
          <w:ilvl w:val="0"/>
          <w:numId w:val="21"/>
        </w:numPr>
        <w:tabs>
          <w:tab w:val="left" w:pos="7655"/>
        </w:tabs>
        <w:spacing w:before="0" w:after="0"/>
        <w:ind w:left="426" w:right="481"/>
        <w:jc w:val="both"/>
        <w:textAlignment w:val="baseline"/>
      </w:pPr>
      <w:r>
        <w:rPr>
          <w:rStyle w:val="normaltextrun"/>
          <w:rFonts w:ascii="Work Sans" w:hAnsi="Work Sans" w:cs="Arial"/>
          <w:i/>
          <w:iCs/>
          <w:sz w:val="18"/>
          <w:szCs w:val="18"/>
        </w:rPr>
        <w:t xml:space="preserve">El día 25 de noviembre de 2021 el “comité no peajes” realizó lo que denominó una “gran caravana y toma a los peajes de Turbaco, Bayunca, </w:t>
      </w:r>
      <w:proofErr w:type="spellStart"/>
      <w:r>
        <w:rPr>
          <w:rStyle w:val="normaltextrun"/>
          <w:rFonts w:ascii="Work Sans" w:hAnsi="Work Sans" w:cs="Arial"/>
          <w:i/>
          <w:iCs/>
          <w:sz w:val="18"/>
          <w:szCs w:val="18"/>
        </w:rPr>
        <w:t>Marahuaco</w:t>
      </w:r>
      <w:proofErr w:type="spellEnd"/>
      <w:r>
        <w:rPr>
          <w:rStyle w:val="normaltextrun"/>
          <w:rFonts w:ascii="Work Sans" w:hAnsi="Work Sans" w:cs="Arial"/>
          <w:i/>
          <w:iCs/>
          <w:sz w:val="18"/>
          <w:szCs w:val="18"/>
        </w:rPr>
        <w:t xml:space="preserve"> y Ceballos” y alzaron las </w:t>
      </w:r>
      <w:r>
        <w:rPr>
          <w:rStyle w:val="normaltextrun"/>
          <w:rFonts w:ascii="Work Sans" w:hAnsi="Work Sans" w:cs="Arial"/>
          <w:i/>
          <w:iCs/>
          <w:sz w:val="18"/>
          <w:szCs w:val="18"/>
        </w:rPr>
        <w:t xml:space="preserve">talanqueras en cada una de esas estaciones, situación que imposibilitó el cobro de </w:t>
      </w:r>
      <w:proofErr w:type="gramStart"/>
      <w:r>
        <w:rPr>
          <w:rStyle w:val="normaltextrun"/>
          <w:rFonts w:ascii="Work Sans" w:hAnsi="Work Sans" w:cs="Arial"/>
          <w:i/>
          <w:iCs/>
          <w:sz w:val="18"/>
          <w:szCs w:val="18"/>
        </w:rPr>
        <w:t>las mismas</w:t>
      </w:r>
      <w:proofErr w:type="gramEnd"/>
      <w:r>
        <w:rPr>
          <w:rStyle w:val="normaltextrun"/>
          <w:rFonts w:ascii="Work Sans" w:hAnsi="Work Sans" w:cs="Arial"/>
          <w:i/>
          <w:iCs/>
          <w:sz w:val="18"/>
          <w:szCs w:val="18"/>
        </w:rPr>
        <w:t xml:space="preserve"> durante el tiempo que realizaron su manifestación. Este hecho fue documentado en las páginas de Facebook del comité y de sus líderes más destacados</w:t>
      </w:r>
      <w:r>
        <w:rPr>
          <w:rStyle w:val="Refdenotaalpie"/>
          <w:rFonts w:ascii="Work Sans" w:hAnsi="Work Sans" w:cs="Arial"/>
          <w:i/>
          <w:iCs/>
          <w:sz w:val="18"/>
          <w:szCs w:val="18"/>
        </w:rPr>
        <w:footnoteReference w:id="1"/>
      </w:r>
      <w:r>
        <w:rPr>
          <w:rStyle w:val="normaltextrun"/>
          <w:rFonts w:ascii="Work Sans" w:hAnsi="Work Sans" w:cs="Arial"/>
          <w:i/>
          <w:iCs/>
          <w:sz w:val="18"/>
          <w:szCs w:val="18"/>
        </w:rPr>
        <w:t>. </w:t>
      </w:r>
      <w:r>
        <w:rPr>
          <w:rStyle w:val="eop"/>
          <w:rFonts w:ascii="Work Sans" w:hAnsi="Work Sans" w:cs="Arial"/>
          <w:i/>
          <w:iCs/>
          <w:sz w:val="18"/>
          <w:szCs w:val="18"/>
        </w:rPr>
        <w:t> </w:t>
      </w:r>
    </w:p>
    <w:p w14:paraId="7C5A0FE2" w14:textId="77777777" w:rsidR="0089596F" w:rsidRDefault="0089596F">
      <w:pPr>
        <w:tabs>
          <w:tab w:val="left" w:pos="7655"/>
        </w:tabs>
        <w:autoSpaceDE w:val="0"/>
        <w:ind w:left="426" w:right="481"/>
        <w:jc w:val="both"/>
        <w:rPr>
          <w:rFonts w:ascii="Work Sans" w:hAnsi="Work Sans" w:cs="Arial"/>
          <w:i/>
          <w:iCs/>
          <w:sz w:val="18"/>
          <w:szCs w:val="18"/>
        </w:rPr>
      </w:pPr>
    </w:p>
    <w:p w14:paraId="2620586D" w14:textId="77777777" w:rsidR="0089596F" w:rsidRDefault="00E054F8">
      <w:pPr>
        <w:pStyle w:val="Prrafodelista"/>
        <w:numPr>
          <w:ilvl w:val="0"/>
          <w:numId w:val="21"/>
        </w:numPr>
        <w:tabs>
          <w:tab w:val="left" w:pos="7655"/>
        </w:tabs>
        <w:autoSpaceDE w:val="0"/>
        <w:ind w:left="426" w:right="481" w:hanging="283"/>
        <w:jc w:val="both"/>
        <w:textAlignment w:val="auto"/>
      </w:pPr>
      <w:r>
        <w:rPr>
          <w:rFonts w:ascii="Work Sans" w:hAnsi="Work Sans" w:cs="Arial"/>
          <w:i/>
          <w:iCs/>
          <w:sz w:val="18"/>
          <w:szCs w:val="18"/>
        </w:rPr>
        <w:t>El 17 de enero de 2022, Caracol Radio –</w:t>
      </w:r>
      <w:r>
        <w:rPr>
          <w:rFonts w:ascii="Work Sans" w:hAnsi="Work Sans"/>
          <w:i/>
          <w:iCs/>
          <w:sz w:val="18"/>
          <w:szCs w:val="18"/>
        </w:rPr>
        <w:t xml:space="preserve"> Barranquilla informó: “Alistan manifestaciones </w:t>
      </w:r>
      <w:r>
        <w:rPr>
          <w:rFonts w:ascii="Work Sans" w:hAnsi="Work Sans"/>
          <w:i/>
          <w:iCs/>
          <w:sz w:val="18"/>
          <w:szCs w:val="18"/>
        </w:rPr>
        <w:t>en Atlántico por aumento de peajes. Las tarifas en el departamento incrementaron 5.62% desde el pasado fin de semana. En el Atlántico los diferentes gremios, entre ellos los de transportadores, adelantarán manifestaciones por el aumento de peajes. Las tari</w:t>
      </w:r>
      <w:r>
        <w:rPr>
          <w:rFonts w:ascii="Work Sans" w:hAnsi="Work Sans"/>
          <w:i/>
          <w:iCs/>
          <w:sz w:val="18"/>
          <w:szCs w:val="18"/>
        </w:rPr>
        <w:t>fas en el departamento aumentaron 5.62% a partir del pasado fin de semana.”</w:t>
      </w:r>
    </w:p>
    <w:p w14:paraId="41ED02DF" w14:textId="77777777" w:rsidR="0089596F" w:rsidRDefault="0089596F">
      <w:pPr>
        <w:pStyle w:val="Prrafodelista"/>
        <w:ind w:left="426" w:right="481"/>
        <w:rPr>
          <w:rFonts w:ascii="Work Sans" w:hAnsi="Work Sans" w:cs="Arial"/>
          <w:i/>
          <w:iCs/>
          <w:sz w:val="18"/>
          <w:szCs w:val="18"/>
        </w:rPr>
      </w:pPr>
    </w:p>
    <w:p w14:paraId="3C940479" w14:textId="77777777" w:rsidR="0089596F" w:rsidRDefault="0089596F">
      <w:pPr>
        <w:ind w:left="426" w:right="481"/>
        <w:rPr>
          <w:rFonts w:ascii="Work Sans" w:hAnsi="Work Sans"/>
          <w:i/>
          <w:iCs/>
          <w:sz w:val="18"/>
          <w:szCs w:val="18"/>
        </w:rPr>
      </w:pPr>
    </w:p>
    <w:p w14:paraId="157C592C" w14:textId="77777777" w:rsidR="0089596F" w:rsidRDefault="00E054F8">
      <w:pPr>
        <w:pStyle w:val="Prrafodelista"/>
        <w:numPr>
          <w:ilvl w:val="2"/>
          <w:numId w:val="22"/>
        </w:numPr>
        <w:ind w:left="426" w:right="481" w:firstLine="131"/>
      </w:pPr>
      <w:r>
        <w:rPr>
          <w:rFonts w:ascii="Work Sans" w:hAnsi="Work Sans" w:cs="Arial"/>
          <w:b/>
          <w:bCs/>
          <w:i/>
          <w:iCs/>
          <w:sz w:val="18"/>
          <w:szCs w:val="18"/>
        </w:rPr>
        <w:t xml:space="preserve">Respecto de las tarifas diferenciales en el </w:t>
      </w:r>
      <w:r>
        <w:rPr>
          <w:rFonts w:ascii="Work Sans" w:hAnsi="Work Sans" w:cs="Arial"/>
          <w:b/>
          <w:bCs/>
          <w:i/>
          <w:iCs/>
          <w:sz w:val="18"/>
          <w:szCs w:val="18"/>
          <w:lang w:val="es"/>
        </w:rPr>
        <w:t xml:space="preserve">peaje </w:t>
      </w:r>
      <w:r>
        <w:rPr>
          <w:rFonts w:ascii="Work Sans" w:eastAsia="Work Sans" w:hAnsi="Work Sans" w:cs="Work Sans"/>
          <w:b/>
          <w:bCs/>
          <w:i/>
          <w:iCs/>
          <w:sz w:val="18"/>
          <w:szCs w:val="18"/>
          <w:lang w:val="es"/>
        </w:rPr>
        <w:t>Bayunca</w:t>
      </w:r>
    </w:p>
    <w:p w14:paraId="5E759DD6" w14:textId="77777777" w:rsidR="0089596F" w:rsidRDefault="0089596F">
      <w:pPr>
        <w:pStyle w:val="Default"/>
        <w:ind w:left="426" w:right="481"/>
        <w:jc w:val="both"/>
        <w:rPr>
          <w:rFonts w:ascii="Work Sans" w:eastAsia="Work Sans" w:hAnsi="Work Sans" w:cs="Work Sans"/>
          <w:i/>
          <w:iCs/>
          <w:sz w:val="18"/>
          <w:szCs w:val="18"/>
          <w:lang w:val="es"/>
        </w:rPr>
      </w:pPr>
    </w:p>
    <w:p w14:paraId="61350510" w14:textId="77777777" w:rsidR="0089596F" w:rsidRDefault="00E054F8">
      <w:pPr>
        <w:spacing w:line="254" w:lineRule="auto"/>
        <w:ind w:left="426" w:right="481"/>
        <w:rPr>
          <w:rFonts w:ascii="Work Sans" w:hAnsi="Work Sans" w:cs="Arial"/>
          <w:b/>
          <w:bCs/>
          <w:i/>
          <w:iCs/>
          <w:sz w:val="18"/>
          <w:szCs w:val="18"/>
          <w:u w:val="single"/>
        </w:rPr>
      </w:pPr>
      <w:r>
        <w:rPr>
          <w:rFonts w:ascii="Work Sans" w:hAnsi="Work Sans" w:cs="Arial"/>
          <w:b/>
          <w:bCs/>
          <w:i/>
          <w:iCs/>
          <w:sz w:val="18"/>
          <w:szCs w:val="18"/>
          <w:u w:val="single"/>
        </w:rPr>
        <w:t xml:space="preserve">Aspectos Sociales:  </w:t>
      </w:r>
    </w:p>
    <w:p w14:paraId="4A102D59" w14:textId="77777777" w:rsidR="0089596F" w:rsidRDefault="0089596F">
      <w:pPr>
        <w:spacing w:line="254" w:lineRule="auto"/>
        <w:ind w:left="426" w:right="481"/>
        <w:rPr>
          <w:rFonts w:ascii="Work Sans" w:hAnsi="Work Sans" w:cs="Arial"/>
          <w:i/>
          <w:iCs/>
          <w:sz w:val="18"/>
          <w:szCs w:val="18"/>
        </w:rPr>
      </w:pPr>
    </w:p>
    <w:p w14:paraId="69A896CE" w14:textId="77777777" w:rsidR="0089596F" w:rsidRDefault="00E054F8">
      <w:pPr>
        <w:spacing w:line="254" w:lineRule="auto"/>
        <w:ind w:left="426" w:right="481"/>
        <w:jc w:val="both"/>
        <w:rPr>
          <w:rFonts w:ascii="Work Sans" w:hAnsi="Work Sans" w:cs="Arial"/>
          <w:i/>
          <w:iCs/>
          <w:sz w:val="18"/>
          <w:szCs w:val="18"/>
        </w:rPr>
      </w:pPr>
      <w:bookmarkStart w:id="5" w:name="_Hlk103937354"/>
      <w:r>
        <w:rPr>
          <w:rFonts w:ascii="Work Sans" w:hAnsi="Work Sans" w:cs="Arial"/>
          <w:i/>
          <w:iCs/>
          <w:sz w:val="18"/>
          <w:szCs w:val="18"/>
        </w:rPr>
        <w:lastRenderedPageBreak/>
        <w:t xml:space="preserve">El 23 de noviembre de 2021 los representantes de las comunidades de Santa Catalina y </w:t>
      </w:r>
      <w:r>
        <w:rPr>
          <w:rFonts w:ascii="Work Sans" w:hAnsi="Work Sans" w:cs="Arial"/>
          <w:i/>
          <w:iCs/>
          <w:sz w:val="18"/>
          <w:szCs w:val="18"/>
        </w:rPr>
        <w:t>Clemencia remitieron a la Agencia Nacional de Infraestructura la comunicación con radicado ANI No. 20214091362522, en la cual manifestaron</w:t>
      </w:r>
      <w:bookmarkEnd w:id="5"/>
      <w:r>
        <w:rPr>
          <w:rFonts w:ascii="Work Sans" w:hAnsi="Work Sans" w:cs="Arial"/>
          <w:i/>
          <w:iCs/>
          <w:sz w:val="18"/>
          <w:szCs w:val="18"/>
        </w:rPr>
        <w:t xml:space="preserve">: </w:t>
      </w:r>
    </w:p>
    <w:p w14:paraId="03AE571F" w14:textId="77777777" w:rsidR="0089596F" w:rsidRDefault="0089596F">
      <w:pPr>
        <w:spacing w:line="254" w:lineRule="auto"/>
        <w:ind w:left="426" w:right="481"/>
        <w:jc w:val="both"/>
        <w:rPr>
          <w:rFonts w:ascii="Work Sans" w:hAnsi="Work Sans" w:cs="Arial"/>
          <w:i/>
          <w:iCs/>
          <w:sz w:val="18"/>
          <w:szCs w:val="18"/>
        </w:rPr>
      </w:pPr>
    </w:p>
    <w:p w14:paraId="52510485" w14:textId="77777777" w:rsidR="0089596F" w:rsidRDefault="00E054F8">
      <w:pPr>
        <w:spacing w:line="254" w:lineRule="auto"/>
        <w:ind w:left="426" w:right="481"/>
        <w:jc w:val="both"/>
        <w:rPr>
          <w:rFonts w:ascii="Work Sans" w:hAnsi="Work Sans" w:cs="Arial"/>
          <w:i/>
          <w:iCs/>
          <w:sz w:val="18"/>
          <w:szCs w:val="18"/>
        </w:rPr>
      </w:pPr>
      <w:r>
        <w:rPr>
          <w:rFonts w:ascii="Work Sans" w:hAnsi="Work Sans" w:cs="Arial"/>
          <w:i/>
          <w:iCs/>
          <w:sz w:val="18"/>
          <w:szCs w:val="18"/>
        </w:rPr>
        <w:t xml:space="preserve">“(…) solicitar tarifa especial diferencial del peaje de bayunca para los propietarios de vehículos particulares y </w:t>
      </w:r>
      <w:r>
        <w:rPr>
          <w:rFonts w:ascii="Work Sans" w:hAnsi="Work Sans" w:cs="Arial"/>
          <w:i/>
          <w:iCs/>
          <w:sz w:val="18"/>
          <w:szCs w:val="18"/>
        </w:rPr>
        <w:t>transporte público de los municipios de Clemencia y Santa Catalina (</w:t>
      </w:r>
      <w:proofErr w:type="gramStart"/>
      <w:r>
        <w:rPr>
          <w:rFonts w:ascii="Work Sans" w:hAnsi="Work Sans" w:cs="Arial"/>
          <w:i/>
          <w:iCs/>
          <w:sz w:val="18"/>
          <w:szCs w:val="18"/>
        </w:rPr>
        <w:t>…)“</w:t>
      </w:r>
      <w:proofErr w:type="gramEnd"/>
      <w:r>
        <w:rPr>
          <w:rFonts w:ascii="Work Sans" w:hAnsi="Work Sans" w:cs="Arial"/>
          <w:i/>
          <w:iCs/>
          <w:sz w:val="18"/>
          <w:szCs w:val="18"/>
        </w:rPr>
        <w:t>.</w:t>
      </w:r>
    </w:p>
    <w:p w14:paraId="09274E5E" w14:textId="77777777" w:rsidR="0089596F" w:rsidRDefault="0089596F">
      <w:pPr>
        <w:spacing w:line="254" w:lineRule="auto"/>
        <w:ind w:left="426" w:right="481"/>
        <w:jc w:val="both"/>
        <w:rPr>
          <w:rFonts w:ascii="Work Sans" w:hAnsi="Work Sans" w:cs="Arial"/>
          <w:i/>
          <w:iCs/>
          <w:sz w:val="18"/>
          <w:szCs w:val="18"/>
        </w:rPr>
      </w:pPr>
    </w:p>
    <w:p w14:paraId="43F61CC7" w14:textId="77777777" w:rsidR="0089596F" w:rsidRDefault="00E054F8">
      <w:pPr>
        <w:spacing w:line="254" w:lineRule="auto"/>
        <w:ind w:left="426" w:right="481"/>
        <w:jc w:val="both"/>
        <w:rPr>
          <w:rFonts w:ascii="Work Sans" w:hAnsi="Work Sans" w:cs="Arial"/>
          <w:i/>
          <w:iCs/>
          <w:sz w:val="18"/>
          <w:szCs w:val="18"/>
        </w:rPr>
      </w:pPr>
      <w:bookmarkStart w:id="6" w:name="_Hlk103937364"/>
      <w:r>
        <w:rPr>
          <w:rFonts w:ascii="Work Sans" w:hAnsi="Work Sans" w:cs="Arial"/>
          <w:i/>
          <w:iCs/>
          <w:sz w:val="18"/>
          <w:szCs w:val="18"/>
        </w:rPr>
        <w:t>Mediante oficio con radicado ANI No. 20216030386901 del 7 de diciembre de 2021, la Agencia emitió respuesta favorable al requerimiento mencionado y solicitó a la comunidad un espacio</w:t>
      </w:r>
      <w:r>
        <w:rPr>
          <w:rFonts w:ascii="Work Sans" w:hAnsi="Work Sans" w:cs="Arial"/>
          <w:i/>
          <w:iCs/>
          <w:sz w:val="18"/>
          <w:szCs w:val="18"/>
        </w:rPr>
        <w:t xml:space="preserve"> para realizar los cálculos y la modelación financiera requerida para estimar un valor de tarifa. No obstante, los personeros de ambos municipios reiteraron la solicitud de tarifa diferencial a través de oficio con radicado ANI No. 20224090197062 del 21 de</w:t>
      </w:r>
      <w:r>
        <w:rPr>
          <w:rFonts w:ascii="Work Sans" w:hAnsi="Work Sans" w:cs="Arial"/>
          <w:i/>
          <w:iCs/>
          <w:sz w:val="18"/>
          <w:szCs w:val="18"/>
        </w:rPr>
        <w:t xml:space="preserve"> febrero de 2022</w:t>
      </w:r>
      <w:bookmarkEnd w:id="6"/>
      <w:r>
        <w:rPr>
          <w:rFonts w:ascii="Work Sans" w:hAnsi="Work Sans" w:cs="Arial"/>
          <w:i/>
          <w:iCs/>
          <w:sz w:val="18"/>
          <w:szCs w:val="18"/>
        </w:rPr>
        <w:t>, así:</w:t>
      </w:r>
    </w:p>
    <w:p w14:paraId="53BAD3B6" w14:textId="77777777" w:rsidR="0089596F" w:rsidRDefault="0089596F">
      <w:pPr>
        <w:spacing w:line="254" w:lineRule="auto"/>
        <w:ind w:left="426" w:right="481"/>
        <w:jc w:val="both"/>
        <w:rPr>
          <w:rFonts w:ascii="Work Sans" w:hAnsi="Work Sans" w:cs="Arial"/>
          <w:i/>
          <w:iCs/>
          <w:sz w:val="18"/>
          <w:szCs w:val="18"/>
        </w:rPr>
      </w:pPr>
    </w:p>
    <w:p w14:paraId="4158C9A7" w14:textId="77777777" w:rsidR="0089596F" w:rsidRDefault="00E054F8">
      <w:pPr>
        <w:spacing w:line="254" w:lineRule="auto"/>
        <w:ind w:left="426" w:right="481"/>
        <w:jc w:val="both"/>
        <w:rPr>
          <w:rFonts w:ascii="Work Sans" w:hAnsi="Work Sans" w:cs="Arial"/>
          <w:i/>
          <w:iCs/>
          <w:sz w:val="18"/>
          <w:szCs w:val="18"/>
        </w:rPr>
      </w:pPr>
      <w:r>
        <w:rPr>
          <w:rFonts w:ascii="Work Sans" w:hAnsi="Work Sans" w:cs="Arial"/>
          <w:i/>
          <w:iCs/>
          <w:sz w:val="18"/>
          <w:szCs w:val="18"/>
        </w:rPr>
        <w:t>“(…) Solicitamos de la manera más atenta, enérgica y comedidamente de que se aplique la solicitud de tarifa especial diferencial del peaje de Bayunca para los propietarios de vehículos particulares y de transporte público de los mun</w:t>
      </w:r>
      <w:r>
        <w:rPr>
          <w:rFonts w:ascii="Work Sans" w:hAnsi="Work Sans" w:cs="Arial"/>
          <w:i/>
          <w:iCs/>
          <w:sz w:val="18"/>
          <w:szCs w:val="18"/>
        </w:rPr>
        <w:t>icipios de Clemencia y Santa Catalina. En el término perentorio, tal como reza la Resolución 2021603086901. (…)”</w:t>
      </w:r>
    </w:p>
    <w:p w14:paraId="063CF206" w14:textId="77777777" w:rsidR="0089596F" w:rsidRDefault="0089596F">
      <w:pPr>
        <w:spacing w:line="254" w:lineRule="auto"/>
        <w:ind w:left="426" w:right="481"/>
        <w:jc w:val="both"/>
        <w:rPr>
          <w:rFonts w:ascii="Work Sans" w:hAnsi="Work Sans" w:cs="Arial"/>
          <w:i/>
          <w:iCs/>
          <w:sz w:val="18"/>
          <w:szCs w:val="18"/>
        </w:rPr>
      </w:pPr>
    </w:p>
    <w:p w14:paraId="6B1D884C" w14:textId="77777777" w:rsidR="0089596F" w:rsidRDefault="00E054F8">
      <w:pPr>
        <w:spacing w:line="254" w:lineRule="auto"/>
        <w:ind w:left="426" w:right="481"/>
        <w:jc w:val="both"/>
        <w:rPr>
          <w:rFonts w:ascii="Work Sans" w:hAnsi="Work Sans" w:cs="Arial"/>
          <w:i/>
          <w:iCs/>
          <w:sz w:val="18"/>
          <w:szCs w:val="18"/>
        </w:rPr>
      </w:pPr>
      <w:bookmarkStart w:id="7" w:name="_Hlk103937396"/>
      <w:r>
        <w:rPr>
          <w:rFonts w:ascii="Work Sans" w:hAnsi="Work Sans" w:cs="Arial"/>
          <w:i/>
          <w:iCs/>
          <w:sz w:val="18"/>
          <w:szCs w:val="18"/>
        </w:rPr>
        <w:t>Posteriormente, miembros de la comunidad se acercaron al peaje Bayunca en donde, según lo referido por el Concesionario en su comunicación ANI</w:t>
      </w:r>
      <w:r>
        <w:rPr>
          <w:rFonts w:ascii="Work Sans" w:hAnsi="Work Sans" w:cs="Arial"/>
          <w:i/>
          <w:iCs/>
          <w:sz w:val="18"/>
          <w:szCs w:val="18"/>
        </w:rPr>
        <w:t xml:space="preserve"> No. 20224090455782 (ADC-1260-2022) del 24 de abril de 2022, se alzaron talanqueras bajo la premisa de “no más peaje” manifestando además su adhesión a la “familia no más peajes</w:t>
      </w:r>
      <w:bookmarkEnd w:id="7"/>
      <w:r>
        <w:rPr>
          <w:rFonts w:ascii="Work Sans" w:hAnsi="Work Sans" w:cs="Arial"/>
          <w:i/>
          <w:iCs/>
          <w:sz w:val="18"/>
          <w:szCs w:val="18"/>
        </w:rPr>
        <w:t>”:</w:t>
      </w:r>
    </w:p>
    <w:p w14:paraId="6702CDAF" w14:textId="77777777" w:rsidR="0089596F" w:rsidRDefault="0089596F">
      <w:pPr>
        <w:spacing w:line="254" w:lineRule="auto"/>
        <w:ind w:left="426" w:right="481"/>
        <w:rPr>
          <w:rFonts w:ascii="Work Sans" w:hAnsi="Work Sans" w:cs="Arial"/>
          <w:i/>
          <w:iCs/>
          <w:sz w:val="18"/>
          <w:szCs w:val="18"/>
        </w:rPr>
      </w:pPr>
    </w:p>
    <w:p w14:paraId="71999900" w14:textId="77777777" w:rsidR="0089596F" w:rsidRDefault="00E054F8">
      <w:pPr>
        <w:spacing w:line="254" w:lineRule="auto"/>
        <w:ind w:left="426" w:right="481" w:firstLine="14"/>
        <w:jc w:val="both"/>
        <w:rPr>
          <w:rFonts w:ascii="Work Sans" w:hAnsi="Work Sans" w:cs="Arial"/>
          <w:i/>
          <w:iCs/>
          <w:sz w:val="18"/>
          <w:szCs w:val="18"/>
        </w:rPr>
      </w:pPr>
      <w:r>
        <w:rPr>
          <w:rFonts w:ascii="Work Sans" w:hAnsi="Work Sans" w:cs="Arial"/>
          <w:i/>
          <w:iCs/>
          <w:sz w:val="18"/>
          <w:szCs w:val="18"/>
        </w:rPr>
        <w:t xml:space="preserve">“(…) Por otro lado, el pasado miércoles 20 de abril de 2022, a pesar de la </w:t>
      </w:r>
      <w:r>
        <w:rPr>
          <w:rFonts w:ascii="Work Sans" w:hAnsi="Work Sans" w:cs="Arial"/>
          <w:i/>
          <w:iCs/>
          <w:sz w:val="18"/>
          <w:szCs w:val="18"/>
        </w:rPr>
        <w:t>presencia de efectivos de la Dirección de Tránsito y Transporte de la Policía Nacional, personas del municipio de Clemencia, Bolívar, irrumpieron en la estación de Bayunca, amedrentaron al personal que hacía presencia en las casetas de cobro y levantaron l</w:t>
      </w:r>
      <w:r>
        <w:rPr>
          <w:rFonts w:ascii="Work Sans" w:hAnsi="Work Sans" w:cs="Arial"/>
          <w:i/>
          <w:iCs/>
          <w:sz w:val="18"/>
          <w:szCs w:val="18"/>
        </w:rPr>
        <w:t xml:space="preserve">as talanqueras, lo que provocó que fuera imposible recaudar el peaje que debían pagar 102 vehículos (34 de la categoría l, 25 de la categoría ll, 11 de la categoría </w:t>
      </w:r>
      <w:proofErr w:type="spellStart"/>
      <w:r>
        <w:rPr>
          <w:rFonts w:ascii="Work Sans" w:hAnsi="Work Sans" w:cs="Arial"/>
          <w:i/>
          <w:iCs/>
          <w:sz w:val="18"/>
          <w:szCs w:val="18"/>
        </w:rPr>
        <w:t>lll</w:t>
      </w:r>
      <w:proofErr w:type="spellEnd"/>
      <w:r>
        <w:rPr>
          <w:rFonts w:ascii="Work Sans" w:hAnsi="Work Sans" w:cs="Arial"/>
          <w:i/>
          <w:iCs/>
          <w:sz w:val="18"/>
          <w:szCs w:val="18"/>
        </w:rPr>
        <w:t xml:space="preserve">, 15 de la categoría </w:t>
      </w:r>
      <w:proofErr w:type="spellStart"/>
      <w:r>
        <w:rPr>
          <w:rFonts w:ascii="Work Sans" w:hAnsi="Work Sans" w:cs="Arial"/>
          <w:i/>
          <w:iCs/>
          <w:sz w:val="18"/>
          <w:szCs w:val="18"/>
        </w:rPr>
        <w:t>lV</w:t>
      </w:r>
      <w:proofErr w:type="spellEnd"/>
      <w:r>
        <w:rPr>
          <w:rFonts w:ascii="Work Sans" w:hAnsi="Work Sans" w:cs="Arial"/>
          <w:i/>
          <w:iCs/>
          <w:sz w:val="18"/>
          <w:szCs w:val="18"/>
        </w:rPr>
        <w:t xml:space="preserve"> y 17 de la categoría V). Más aún, en el marco de un " plan tortu</w:t>
      </w:r>
      <w:r>
        <w:rPr>
          <w:rFonts w:ascii="Work Sans" w:hAnsi="Work Sans" w:cs="Arial"/>
          <w:i/>
          <w:iCs/>
          <w:sz w:val="18"/>
          <w:szCs w:val="18"/>
        </w:rPr>
        <w:t>ga', algunos usuarios atravesaron sus vehículos en cercanías a la estación generando un importante represamiento de vehículos y la imposibilidad de paso de vehículos en ambos sentidos viales. (…)”. Caracol radio registró este hecho en su portal de noticias</w:t>
      </w:r>
      <w:r>
        <w:rPr>
          <w:rFonts w:ascii="Work Sans" w:hAnsi="Work Sans" w:cs="Arial"/>
          <w:i/>
          <w:iCs/>
          <w:sz w:val="18"/>
          <w:szCs w:val="18"/>
        </w:rPr>
        <w:t xml:space="preserve"> </w:t>
      </w:r>
      <w:proofErr w:type="spellStart"/>
      <w:r>
        <w:rPr>
          <w:rFonts w:ascii="Work Sans" w:hAnsi="Work Sans" w:cs="Arial"/>
          <w:i/>
          <w:iCs/>
          <w:sz w:val="18"/>
          <w:szCs w:val="18"/>
        </w:rPr>
        <w:t>on</w:t>
      </w:r>
      <w:proofErr w:type="spellEnd"/>
      <w:r>
        <w:rPr>
          <w:rFonts w:ascii="Work Sans" w:hAnsi="Work Sans" w:cs="Arial"/>
          <w:i/>
          <w:iCs/>
          <w:sz w:val="18"/>
          <w:szCs w:val="18"/>
        </w:rPr>
        <w:t xml:space="preserve"> line: “(…) Por más de dos horas, un grupo de habitantes de Clemencia bloqueó La Cordialidad, en inmediaciones del peaje, localizado cerca de Bayunca, exigiendo a la Agencia Nacional de Infraestructura (ANI) ponga en funcionamiento la tarifa diferencial</w:t>
      </w:r>
      <w:r>
        <w:rPr>
          <w:rFonts w:ascii="Work Sans" w:hAnsi="Work Sans" w:cs="Arial"/>
          <w:i/>
          <w:iCs/>
          <w:sz w:val="18"/>
          <w:szCs w:val="18"/>
        </w:rPr>
        <w:t xml:space="preserve"> especial para los habitantes de ese municipio y Santa Catalina, aprobada en diciembre del 2021.</w:t>
      </w:r>
    </w:p>
    <w:p w14:paraId="2C8F7A74" w14:textId="77777777" w:rsidR="0089596F" w:rsidRDefault="0089596F">
      <w:pPr>
        <w:spacing w:line="254" w:lineRule="auto"/>
        <w:ind w:left="426" w:right="481" w:firstLine="14"/>
        <w:jc w:val="both"/>
        <w:rPr>
          <w:rFonts w:ascii="Work Sans" w:hAnsi="Work Sans" w:cs="Arial"/>
          <w:i/>
          <w:iCs/>
          <w:sz w:val="18"/>
          <w:szCs w:val="18"/>
        </w:rPr>
      </w:pPr>
    </w:p>
    <w:p w14:paraId="17598BE2" w14:textId="77777777" w:rsidR="0089596F" w:rsidRDefault="00E054F8">
      <w:pPr>
        <w:spacing w:line="254" w:lineRule="auto"/>
        <w:ind w:left="426" w:right="481" w:firstLine="14"/>
        <w:jc w:val="both"/>
        <w:rPr>
          <w:rFonts w:ascii="Work Sans" w:hAnsi="Work Sans" w:cs="Arial"/>
          <w:i/>
          <w:iCs/>
          <w:sz w:val="18"/>
          <w:szCs w:val="18"/>
        </w:rPr>
      </w:pPr>
      <w:r>
        <w:rPr>
          <w:rFonts w:ascii="Work Sans" w:hAnsi="Work Sans" w:cs="Arial"/>
          <w:i/>
          <w:iCs/>
          <w:sz w:val="18"/>
          <w:szCs w:val="18"/>
        </w:rPr>
        <w:t>Los protestantes exigen a la ANI definir la rebaja en el cobro del peaje, debido a que son 20 años pagando la tarifa plena por utilizar apenas 20 kilómetros d</w:t>
      </w:r>
      <w:r>
        <w:rPr>
          <w:rFonts w:ascii="Work Sans" w:hAnsi="Work Sans" w:cs="Arial"/>
          <w:i/>
          <w:iCs/>
          <w:sz w:val="18"/>
          <w:szCs w:val="18"/>
        </w:rPr>
        <w:t xml:space="preserve">e vía. “La ley nos beneficia y ya ejercimos nuestro derecho, logrando la aprobación de la tarifa, pero la ANI nada que cumple”, dijo Juan </w:t>
      </w:r>
      <w:proofErr w:type="spellStart"/>
      <w:r>
        <w:rPr>
          <w:rFonts w:ascii="Work Sans" w:hAnsi="Work Sans" w:cs="Arial"/>
          <w:i/>
          <w:iCs/>
          <w:sz w:val="18"/>
          <w:szCs w:val="18"/>
        </w:rPr>
        <w:t>Ayola</w:t>
      </w:r>
      <w:proofErr w:type="spellEnd"/>
      <w:r>
        <w:rPr>
          <w:rFonts w:ascii="Work Sans" w:hAnsi="Work Sans" w:cs="Arial"/>
          <w:i/>
          <w:iCs/>
          <w:sz w:val="18"/>
          <w:szCs w:val="18"/>
        </w:rPr>
        <w:t>, uno de los manifestantes.</w:t>
      </w:r>
    </w:p>
    <w:p w14:paraId="61582B7A" w14:textId="77777777" w:rsidR="0089596F" w:rsidRDefault="0089596F">
      <w:pPr>
        <w:spacing w:line="254" w:lineRule="auto"/>
        <w:ind w:left="426" w:right="481" w:firstLine="14"/>
        <w:jc w:val="both"/>
        <w:rPr>
          <w:rFonts w:ascii="Work Sans" w:hAnsi="Work Sans" w:cs="Arial"/>
          <w:i/>
          <w:iCs/>
          <w:sz w:val="18"/>
          <w:szCs w:val="18"/>
        </w:rPr>
      </w:pPr>
    </w:p>
    <w:p w14:paraId="0E88C103" w14:textId="77777777" w:rsidR="0089596F" w:rsidRDefault="00E054F8">
      <w:pPr>
        <w:spacing w:line="254" w:lineRule="auto"/>
        <w:ind w:left="426" w:right="481" w:firstLine="14"/>
        <w:jc w:val="both"/>
      </w:pPr>
      <w:r>
        <w:rPr>
          <w:rFonts w:ascii="Work Sans" w:hAnsi="Work Sans" w:cs="Arial"/>
          <w:i/>
          <w:iCs/>
          <w:sz w:val="18"/>
          <w:szCs w:val="18"/>
        </w:rPr>
        <w:t xml:space="preserve">Por su parte, Antonio Vizcaíno, personero de Clemencia, precisó que como agente del </w:t>
      </w:r>
      <w:r>
        <w:rPr>
          <w:rFonts w:ascii="Work Sans" w:hAnsi="Work Sans" w:cs="Arial"/>
          <w:i/>
          <w:iCs/>
          <w:sz w:val="18"/>
          <w:szCs w:val="18"/>
        </w:rPr>
        <w:t xml:space="preserve">Ministerio Público ha presentado acciones ante la ANI en conjunto con el Personero de Santa Catalina, </w:t>
      </w:r>
      <w:proofErr w:type="spellStart"/>
      <w:r>
        <w:rPr>
          <w:rFonts w:ascii="Work Sans" w:hAnsi="Work Sans" w:cs="Arial"/>
          <w:i/>
          <w:iCs/>
          <w:sz w:val="18"/>
          <w:szCs w:val="18"/>
        </w:rPr>
        <w:t>Jamis</w:t>
      </w:r>
      <w:proofErr w:type="spellEnd"/>
      <w:r>
        <w:rPr>
          <w:rFonts w:ascii="Work Sans" w:hAnsi="Work Sans" w:cs="Arial"/>
          <w:i/>
          <w:iCs/>
          <w:sz w:val="18"/>
          <w:szCs w:val="18"/>
        </w:rPr>
        <w:t xml:space="preserve"> </w:t>
      </w:r>
      <w:proofErr w:type="spellStart"/>
      <w:r>
        <w:rPr>
          <w:rFonts w:ascii="Work Sans" w:hAnsi="Work Sans" w:cs="Arial"/>
          <w:i/>
          <w:iCs/>
          <w:sz w:val="18"/>
          <w:szCs w:val="18"/>
        </w:rPr>
        <w:t>Chalabe</w:t>
      </w:r>
      <w:proofErr w:type="spellEnd"/>
      <w:r>
        <w:rPr>
          <w:rFonts w:ascii="Work Sans" w:hAnsi="Work Sans" w:cs="Arial"/>
          <w:i/>
          <w:iCs/>
          <w:sz w:val="18"/>
          <w:szCs w:val="18"/>
        </w:rPr>
        <w:t>, que ya fueron respondidas, pero que aún no se han puesto en práctica. "Hoy la comunidad salió a protestar para presionar se dé el cambio de</w:t>
      </w:r>
      <w:r>
        <w:rPr>
          <w:rFonts w:ascii="Work Sans" w:hAnsi="Work Sans" w:cs="Arial"/>
          <w:i/>
          <w:iCs/>
          <w:sz w:val="18"/>
          <w:szCs w:val="18"/>
        </w:rPr>
        <w:t xml:space="preserve"> tarifa”, dijo (…)”</w:t>
      </w:r>
      <w:r>
        <w:rPr>
          <w:rStyle w:val="Refdenotaalpie"/>
          <w:rFonts w:ascii="Work Sans" w:hAnsi="Work Sans" w:cs="Arial"/>
          <w:i/>
          <w:iCs/>
          <w:sz w:val="18"/>
          <w:szCs w:val="18"/>
        </w:rPr>
        <w:footnoteReference w:id="2"/>
      </w:r>
      <w:r>
        <w:rPr>
          <w:rFonts w:ascii="Work Sans" w:hAnsi="Work Sans" w:cs="Arial"/>
          <w:i/>
          <w:iCs/>
          <w:sz w:val="18"/>
          <w:szCs w:val="18"/>
        </w:rPr>
        <w:t>.</w:t>
      </w:r>
    </w:p>
    <w:p w14:paraId="2F6153D4" w14:textId="77777777" w:rsidR="0089596F" w:rsidRDefault="0089596F">
      <w:pPr>
        <w:spacing w:line="254" w:lineRule="auto"/>
        <w:ind w:left="426" w:right="481" w:hanging="90"/>
        <w:jc w:val="both"/>
        <w:rPr>
          <w:rFonts w:ascii="Work Sans" w:hAnsi="Work Sans" w:cs="Arial"/>
          <w:i/>
          <w:iCs/>
          <w:sz w:val="18"/>
          <w:szCs w:val="18"/>
        </w:rPr>
      </w:pPr>
    </w:p>
    <w:p w14:paraId="43D9A749" w14:textId="77777777" w:rsidR="0089596F" w:rsidRDefault="00E054F8">
      <w:pPr>
        <w:spacing w:line="254" w:lineRule="auto"/>
        <w:ind w:left="426" w:right="481"/>
        <w:jc w:val="both"/>
        <w:rPr>
          <w:rFonts w:ascii="Work Sans" w:hAnsi="Work Sans" w:cs="Arial"/>
          <w:i/>
          <w:iCs/>
          <w:sz w:val="18"/>
          <w:szCs w:val="18"/>
        </w:rPr>
      </w:pPr>
      <w:r>
        <w:rPr>
          <w:rFonts w:ascii="Work Sans" w:hAnsi="Work Sans" w:cs="Arial"/>
          <w:i/>
          <w:iCs/>
          <w:sz w:val="18"/>
          <w:szCs w:val="18"/>
        </w:rPr>
        <w:t>Dada esta situación, el 3 de mayo de 2022 la Agencia Nacional de Infraestructura llevó a cabo la primera mesa de trabajo con los representantes de las comunidades de Clemencia, S</w:t>
      </w:r>
      <w:r>
        <w:rPr>
          <w:rFonts w:ascii="Work Sans" w:hAnsi="Work Sans" w:cs="Arial"/>
          <w:i/>
          <w:iCs/>
          <w:sz w:val="18"/>
          <w:szCs w:val="18"/>
        </w:rPr>
        <w:t>anta Catalina y Bayunca (alcaldes, Concejales, Personeros representantes de ambos municipios y Presidente y Vicepresidente del Concejo comunitario de corregimiento de Bayunca), quienes presentaron sus solicitudes, dentro de las cuales se encontraba la exig</w:t>
      </w:r>
      <w:r>
        <w:rPr>
          <w:rFonts w:ascii="Work Sans" w:hAnsi="Work Sans" w:cs="Arial"/>
          <w:i/>
          <w:iCs/>
          <w:sz w:val="18"/>
          <w:szCs w:val="18"/>
        </w:rPr>
        <w:t xml:space="preserve">encia del traslado del peaje Bayunca a las afueras de Clemencia y Santa Catalina. El desarrollo de la mesa de trabajo fue documentado en las memorias </w:t>
      </w:r>
      <w:r>
        <w:rPr>
          <w:rFonts w:ascii="Work Sans" w:hAnsi="Work Sans" w:cs="Arial"/>
          <w:i/>
          <w:iCs/>
          <w:sz w:val="18"/>
          <w:szCs w:val="18"/>
        </w:rPr>
        <w:lastRenderedPageBreak/>
        <w:t xml:space="preserve">de la reunión de la siguiente manera: </w:t>
      </w:r>
    </w:p>
    <w:p w14:paraId="0FF36900" w14:textId="77777777" w:rsidR="0089596F" w:rsidRDefault="0089596F">
      <w:pPr>
        <w:spacing w:line="254" w:lineRule="auto"/>
        <w:ind w:left="426" w:right="481" w:hanging="90"/>
        <w:jc w:val="both"/>
        <w:rPr>
          <w:rFonts w:ascii="Work Sans" w:hAnsi="Work Sans" w:cs="Arial"/>
          <w:i/>
          <w:iCs/>
          <w:sz w:val="18"/>
          <w:szCs w:val="18"/>
        </w:rPr>
      </w:pPr>
    </w:p>
    <w:p w14:paraId="080FD170" w14:textId="77777777" w:rsidR="0089596F" w:rsidRDefault="00E054F8">
      <w:pPr>
        <w:ind w:left="426" w:right="481" w:hanging="90"/>
        <w:jc w:val="both"/>
        <w:rPr>
          <w:rFonts w:ascii="Work Sans" w:hAnsi="Work Sans" w:cs="Arial"/>
          <w:i/>
          <w:iCs/>
          <w:sz w:val="18"/>
          <w:szCs w:val="18"/>
        </w:rPr>
      </w:pPr>
      <w:r>
        <w:rPr>
          <w:rFonts w:ascii="Work Sans" w:hAnsi="Work Sans" w:cs="Arial"/>
          <w:i/>
          <w:iCs/>
          <w:sz w:val="18"/>
          <w:szCs w:val="18"/>
        </w:rPr>
        <w:t xml:space="preserve">“(…)  El personero de Clemencia manifiesta que en la </w:t>
      </w:r>
      <w:r>
        <w:rPr>
          <w:rFonts w:ascii="Work Sans" w:hAnsi="Work Sans" w:cs="Arial"/>
          <w:i/>
          <w:iCs/>
          <w:sz w:val="18"/>
          <w:szCs w:val="18"/>
        </w:rPr>
        <w:t xml:space="preserve">historia del municipio se ha visto perjudicado con ocasión de la construcción de la caseta. Hay una generación de </w:t>
      </w:r>
      <w:proofErr w:type="spellStart"/>
      <w:r>
        <w:rPr>
          <w:rFonts w:ascii="Work Sans" w:hAnsi="Work Sans" w:cs="Arial"/>
          <w:i/>
          <w:iCs/>
          <w:sz w:val="18"/>
          <w:szCs w:val="18"/>
        </w:rPr>
        <w:t>clemecieros</w:t>
      </w:r>
      <w:proofErr w:type="spellEnd"/>
      <w:r>
        <w:rPr>
          <w:rFonts w:ascii="Work Sans" w:hAnsi="Work Sans" w:cs="Arial"/>
          <w:i/>
          <w:iCs/>
          <w:sz w:val="18"/>
          <w:szCs w:val="18"/>
        </w:rPr>
        <w:t xml:space="preserve"> que nació junto con el peaje (1995). Hasta el año pasado el personero fue citado por el concejo y se expuso la idea de tarifa dife</w:t>
      </w:r>
      <w:r>
        <w:rPr>
          <w:rFonts w:ascii="Work Sans" w:hAnsi="Work Sans" w:cs="Arial"/>
          <w:i/>
          <w:iCs/>
          <w:sz w:val="18"/>
          <w:szCs w:val="18"/>
        </w:rPr>
        <w:t>rencial planteando la diversidad de argumentos para justificar esta tarifa. Manifiesta que tiene una sola empresa en el parque industrial de Clemencia. Complementa que Clemencia y Santa Catalina son un municipio totalmente agrario y se encuentra que los ca</w:t>
      </w:r>
      <w:r>
        <w:rPr>
          <w:rFonts w:ascii="Work Sans" w:hAnsi="Work Sans" w:cs="Arial"/>
          <w:i/>
          <w:iCs/>
          <w:sz w:val="18"/>
          <w:szCs w:val="18"/>
        </w:rPr>
        <w:t>mpesinos dejan perder las cosechas por la dificultad de llevar los productos al mercado de Bazurto. Se pierden los productos en las fincas por el alto costo de fletes. En cuanto a los estudiantes, es más costoso el tema de los transportes que de la misma u</w:t>
      </w:r>
      <w:r>
        <w:rPr>
          <w:rFonts w:ascii="Work Sans" w:hAnsi="Work Sans" w:cs="Arial"/>
          <w:i/>
          <w:iCs/>
          <w:sz w:val="18"/>
          <w:szCs w:val="18"/>
        </w:rPr>
        <w:t xml:space="preserve">niversidad, y se replica la misma situación para las personas que trabajan en Cartagena. </w:t>
      </w:r>
    </w:p>
    <w:p w14:paraId="61E25E26" w14:textId="77777777" w:rsidR="0089596F" w:rsidRDefault="00E054F8">
      <w:pPr>
        <w:ind w:left="426" w:right="481" w:hanging="90"/>
        <w:jc w:val="both"/>
        <w:rPr>
          <w:rFonts w:ascii="Work Sans" w:hAnsi="Work Sans" w:cs="Arial"/>
          <w:i/>
          <w:iCs/>
          <w:sz w:val="18"/>
          <w:szCs w:val="18"/>
        </w:rPr>
      </w:pPr>
      <w:r>
        <w:rPr>
          <w:rFonts w:ascii="Work Sans" w:hAnsi="Work Sans" w:cs="Arial"/>
          <w:i/>
          <w:iCs/>
          <w:sz w:val="18"/>
          <w:szCs w:val="18"/>
        </w:rPr>
        <w:t xml:space="preserve"> </w:t>
      </w:r>
    </w:p>
    <w:p w14:paraId="4442B4F1" w14:textId="77777777" w:rsidR="0089596F" w:rsidRDefault="00E054F8">
      <w:pPr>
        <w:ind w:left="426" w:right="481"/>
        <w:jc w:val="both"/>
        <w:rPr>
          <w:rFonts w:ascii="Work Sans" w:hAnsi="Work Sans" w:cs="Arial"/>
          <w:i/>
          <w:iCs/>
          <w:sz w:val="18"/>
          <w:szCs w:val="18"/>
        </w:rPr>
      </w:pPr>
      <w:r>
        <w:rPr>
          <w:rFonts w:ascii="Work Sans" w:hAnsi="Work Sans" w:cs="Arial"/>
          <w:i/>
          <w:iCs/>
          <w:sz w:val="18"/>
          <w:szCs w:val="18"/>
        </w:rPr>
        <w:t>Se viene evidenciando un proceso de parcialización en el municipio perjudicando al sector privado y las iniciativas de construcción de casas. Se concluye que el pea</w:t>
      </w:r>
      <w:r>
        <w:rPr>
          <w:rFonts w:ascii="Work Sans" w:hAnsi="Work Sans" w:cs="Arial"/>
          <w:i/>
          <w:iCs/>
          <w:sz w:val="18"/>
          <w:szCs w:val="18"/>
        </w:rPr>
        <w:t xml:space="preserve">je es un obstáculo para el crecimiento del municipio ya que dependen de Cartagena de Indias. </w:t>
      </w:r>
    </w:p>
    <w:p w14:paraId="4E2452EC" w14:textId="77777777" w:rsidR="0089596F" w:rsidRDefault="0089596F">
      <w:pPr>
        <w:ind w:left="426" w:right="481" w:hanging="90"/>
        <w:jc w:val="both"/>
        <w:rPr>
          <w:rFonts w:ascii="Work Sans" w:hAnsi="Work Sans" w:cs="Arial"/>
          <w:i/>
          <w:iCs/>
          <w:sz w:val="18"/>
          <w:szCs w:val="18"/>
        </w:rPr>
      </w:pPr>
    </w:p>
    <w:p w14:paraId="628E0B9D" w14:textId="77777777" w:rsidR="0089596F" w:rsidRDefault="00E054F8">
      <w:pPr>
        <w:spacing w:line="254" w:lineRule="auto"/>
        <w:ind w:left="426" w:right="481"/>
        <w:jc w:val="both"/>
        <w:rPr>
          <w:rFonts w:ascii="Work Sans" w:hAnsi="Work Sans" w:cs="Arial"/>
          <w:i/>
          <w:iCs/>
          <w:sz w:val="18"/>
          <w:szCs w:val="18"/>
        </w:rPr>
      </w:pPr>
      <w:r>
        <w:rPr>
          <w:rFonts w:ascii="Work Sans" w:hAnsi="Work Sans" w:cs="Arial"/>
          <w:i/>
          <w:iCs/>
          <w:sz w:val="18"/>
          <w:szCs w:val="18"/>
        </w:rPr>
        <w:t>Continúa manifestando el personero la relatoría de hechos que reviste el tema de tarifa diferencial. Refiere que con compañía del comité no más peajes han eviden</w:t>
      </w:r>
      <w:r>
        <w:rPr>
          <w:rFonts w:ascii="Work Sans" w:hAnsi="Work Sans" w:cs="Arial"/>
          <w:i/>
          <w:iCs/>
          <w:sz w:val="18"/>
          <w:szCs w:val="18"/>
        </w:rPr>
        <w:t xml:space="preserve">ciado falencias en el contrato y que desisten de la tarifa diferencial solicitando o su desmonte o reubicación. Solicita una postura por parte de la Agencia teniendo en cuenta el rezago del municipio (…)”. </w:t>
      </w:r>
    </w:p>
    <w:p w14:paraId="7E6064BE" w14:textId="77777777" w:rsidR="0089596F" w:rsidRDefault="0089596F">
      <w:pPr>
        <w:spacing w:line="254" w:lineRule="auto"/>
        <w:ind w:left="426" w:right="481" w:hanging="90"/>
        <w:jc w:val="both"/>
        <w:rPr>
          <w:rFonts w:ascii="Work Sans" w:hAnsi="Work Sans" w:cs="Arial"/>
          <w:i/>
          <w:iCs/>
          <w:sz w:val="18"/>
          <w:szCs w:val="18"/>
        </w:rPr>
      </w:pPr>
    </w:p>
    <w:p w14:paraId="5305BDA4" w14:textId="77777777" w:rsidR="0089596F" w:rsidRDefault="00E054F8">
      <w:pPr>
        <w:ind w:left="426" w:right="481" w:hanging="90"/>
        <w:jc w:val="both"/>
        <w:rPr>
          <w:rFonts w:ascii="Work Sans" w:hAnsi="Work Sans" w:cs="Arial"/>
          <w:i/>
          <w:iCs/>
          <w:sz w:val="18"/>
          <w:szCs w:val="18"/>
        </w:rPr>
      </w:pPr>
      <w:r>
        <w:rPr>
          <w:rFonts w:ascii="Work Sans" w:hAnsi="Work Sans" w:cs="Arial"/>
          <w:i/>
          <w:iCs/>
          <w:sz w:val="18"/>
          <w:szCs w:val="18"/>
        </w:rPr>
        <w:t>“(…) Se plantea nueva reunión el 10 de mayo de 2</w:t>
      </w:r>
      <w:r>
        <w:rPr>
          <w:rFonts w:ascii="Work Sans" w:hAnsi="Work Sans" w:cs="Arial"/>
          <w:i/>
          <w:iCs/>
          <w:sz w:val="18"/>
          <w:szCs w:val="18"/>
        </w:rPr>
        <w:t xml:space="preserve">022 para conocer las cifras reales y el impacto al modelo financiero. La comunidad solicita tiempos, y ubicación del peaje en esa fecha, sin embargo, el VPRE reitera que no se puede mover el peaje. Los análisis toman 6 meses. </w:t>
      </w:r>
    </w:p>
    <w:p w14:paraId="1E4916B8" w14:textId="77777777" w:rsidR="0089596F" w:rsidRDefault="0089596F">
      <w:pPr>
        <w:spacing w:line="254" w:lineRule="auto"/>
        <w:ind w:left="426" w:right="481"/>
        <w:jc w:val="both"/>
        <w:rPr>
          <w:rFonts w:ascii="Work Sans" w:hAnsi="Work Sans" w:cs="Arial"/>
          <w:i/>
          <w:iCs/>
          <w:sz w:val="18"/>
          <w:szCs w:val="18"/>
        </w:rPr>
      </w:pPr>
    </w:p>
    <w:p w14:paraId="74F95806" w14:textId="77777777" w:rsidR="0089596F" w:rsidRDefault="00E054F8">
      <w:pPr>
        <w:spacing w:line="254" w:lineRule="auto"/>
        <w:ind w:left="426" w:right="481"/>
        <w:jc w:val="both"/>
      </w:pPr>
      <w:r>
        <w:rPr>
          <w:rFonts w:ascii="Work Sans" w:hAnsi="Work Sans" w:cs="Arial"/>
          <w:i/>
          <w:iCs/>
          <w:sz w:val="18"/>
          <w:szCs w:val="18"/>
        </w:rPr>
        <w:t>Diego Morales reitera que re</w:t>
      </w:r>
      <w:r>
        <w:rPr>
          <w:rFonts w:ascii="Work Sans" w:hAnsi="Work Sans" w:cs="Arial"/>
          <w:i/>
          <w:iCs/>
          <w:sz w:val="18"/>
          <w:szCs w:val="18"/>
        </w:rPr>
        <w:t>quiere los datos de los municipios y corregimientos que requieren tarifa. El día 10 de mayo se entregarán los datos (…)</w:t>
      </w:r>
      <w:r>
        <w:rPr>
          <w:rStyle w:val="Refdenotaalpie"/>
          <w:rFonts w:ascii="Work Sans" w:hAnsi="Work Sans" w:cs="Arial"/>
          <w:i/>
          <w:iCs/>
          <w:sz w:val="18"/>
          <w:szCs w:val="18"/>
        </w:rPr>
        <w:footnoteReference w:id="3"/>
      </w:r>
      <w:r>
        <w:rPr>
          <w:rFonts w:ascii="Work Sans" w:hAnsi="Work Sans" w:cs="Arial"/>
          <w:i/>
          <w:iCs/>
          <w:sz w:val="18"/>
          <w:szCs w:val="18"/>
        </w:rPr>
        <w:t>”.</w:t>
      </w:r>
    </w:p>
    <w:p w14:paraId="1CB2CD73" w14:textId="77777777" w:rsidR="0089596F" w:rsidRDefault="00E054F8">
      <w:pPr>
        <w:spacing w:line="254" w:lineRule="auto"/>
        <w:ind w:left="426" w:right="481"/>
        <w:jc w:val="both"/>
        <w:rPr>
          <w:rFonts w:ascii="Work Sans" w:hAnsi="Work Sans" w:cs="Arial"/>
          <w:i/>
          <w:iCs/>
          <w:sz w:val="18"/>
          <w:szCs w:val="18"/>
        </w:rPr>
      </w:pPr>
      <w:r>
        <w:rPr>
          <w:rFonts w:ascii="Work Sans" w:hAnsi="Work Sans" w:cs="Arial"/>
          <w:i/>
          <w:iCs/>
          <w:sz w:val="18"/>
          <w:szCs w:val="18"/>
        </w:rPr>
        <w:t xml:space="preserve"> </w:t>
      </w:r>
    </w:p>
    <w:p w14:paraId="12808494" w14:textId="77777777" w:rsidR="0089596F" w:rsidRDefault="00E054F8">
      <w:pPr>
        <w:spacing w:line="254" w:lineRule="auto"/>
        <w:ind w:left="426" w:right="481"/>
        <w:jc w:val="both"/>
        <w:rPr>
          <w:rFonts w:ascii="Work Sans" w:hAnsi="Work Sans" w:cs="Arial"/>
          <w:i/>
          <w:iCs/>
          <w:sz w:val="18"/>
          <w:szCs w:val="18"/>
        </w:rPr>
      </w:pPr>
      <w:r>
        <w:rPr>
          <w:rFonts w:ascii="Work Sans" w:hAnsi="Work Sans" w:cs="Arial"/>
          <w:i/>
          <w:iCs/>
          <w:sz w:val="18"/>
          <w:szCs w:val="18"/>
        </w:rPr>
        <w:t>El censo de los municipios de Clemencia y Santa Catalina fue remitido por el personero del municipio de Clemencia a la Agencia el 13 de mayo de 2022, vía correo electrónico. Igu</w:t>
      </w:r>
      <w:r>
        <w:rPr>
          <w:rFonts w:ascii="Work Sans" w:hAnsi="Work Sans" w:cs="Arial"/>
          <w:i/>
          <w:iCs/>
          <w:sz w:val="18"/>
          <w:szCs w:val="18"/>
        </w:rPr>
        <w:t xml:space="preserve">almente, el censo de Bayunca fue presentado por el presidente del Concejo Comunitario. </w:t>
      </w:r>
    </w:p>
    <w:p w14:paraId="676AE666" w14:textId="77777777" w:rsidR="0089596F" w:rsidRDefault="0089596F">
      <w:pPr>
        <w:spacing w:line="254" w:lineRule="auto"/>
        <w:ind w:left="426" w:right="481"/>
        <w:jc w:val="both"/>
        <w:rPr>
          <w:rFonts w:ascii="Work Sans" w:hAnsi="Work Sans" w:cs="Arial"/>
          <w:i/>
          <w:iCs/>
          <w:sz w:val="18"/>
          <w:szCs w:val="18"/>
        </w:rPr>
      </w:pPr>
    </w:p>
    <w:p w14:paraId="0B15BF95" w14:textId="77777777" w:rsidR="0089596F" w:rsidRDefault="00E054F8">
      <w:pPr>
        <w:spacing w:line="254" w:lineRule="auto"/>
        <w:ind w:left="426" w:right="481"/>
        <w:jc w:val="both"/>
        <w:rPr>
          <w:rFonts w:ascii="Work Sans" w:hAnsi="Work Sans" w:cs="Arial"/>
          <w:i/>
          <w:iCs/>
          <w:sz w:val="18"/>
          <w:szCs w:val="18"/>
        </w:rPr>
      </w:pPr>
      <w:r>
        <w:rPr>
          <w:rFonts w:ascii="Work Sans" w:hAnsi="Work Sans" w:cs="Arial"/>
          <w:i/>
          <w:iCs/>
          <w:sz w:val="18"/>
          <w:szCs w:val="18"/>
        </w:rPr>
        <w:t>El día 16 de mayo de 2022 la comunidad del corregimiento de Bayunca y municipios de Santa Catalina y Clemencia manifestaron en sitios web su intención de toma del peaj</w:t>
      </w:r>
      <w:r>
        <w:rPr>
          <w:rFonts w:ascii="Work Sans" w:hAnsi="Work Sans" w:cs="Arial"/>
          <w:i/>
          <w:iCs/>
          <w:sz w:val="18"/>
          <w:szCs w:val="18"/>
        </w:rPr>
        <w:t xml:space="preserve">e Bayunca por no contar con una tarifa diferencial.  En el grupo de Facebook denominado “Clemencia Peajes” se registraron publicaciones como: </w:t>
      </w:r>
    </w:p>
    <w:p w14:paraId="5C637984" w14:textId="77777777" w:rsidR="0089596F" w:rsidRDefault="0089596F">
      <w:pPr>
        <w:spacing w:line="254" w:lineRule="auto"/>
        <w:ind w:left="426" w:right="481"/>
        <w:rPr>
          <w:rFonts w:ascii="Work Sans" w:hAnsi="Work Sans" w:cs="Arial"/>
          <w:i/>
          <w:iCs/>
          <w:sz w:val="18"/>
          <w:szCs w:val="18"/>
        </w:rPr>
      </w:pPr>
    </w:p>
    <w:p w14:paraId="6F39943E" w14:textId="77777777" w:rsidR="0089596F" w:rsidRDefault="00E054F8">
      <w:pPr>
        <w:pStyle w:val="Prrafodelista"/>
        <w:numPr>
          <w:ilvl w:val="0"/>
          <w:numId w:val="23"/>
        </w:numPr>
        <w:spacing w:line="254" w:lineRule="auto"/>
        <w:ind w:left="426" w:right="481"/>
      </w:pPr>
      <w:r>
        <w:rPr>
          <w:rFonts w:ascii="Work Sans" w:hAnsi="Work Sans" w:cs="Arial"/>
          <w:i/>
          <w:iCs/>
          <w:sz w:val="18"/>
          <w:szCs w:val="18"/>
        </w:rPr>
        <w:t xml:space="preserve">“NO HUBO ACUERDOS CON LA ANI! </w:t>
      </w:r>
      <w:proofErr w:type="gramStart"/>
      <w:r>
        <w:rPr>
          <w:rFonts w:ascii="Work Sans" w:hAnsi="Work Sans" w:cs="Arial"/>
          <w:i/>
          <w:iCs/>
          <w:sz w:val="18"/>
          <w:szCs w:val="18"/>
        </w:rPr>
        <w:t>TALANQUERAS ARRIBA!</w:t>
      </w:r>
      <w:proofErr w:type="gramEnd"/>
      <w:r>
        <w:rPr>
          <w:rFonts w:ascii="Work Sans" w:hAnsi="Work Sans" w:cs="Arial"/>
          <w:i/>
          <w:iCs/>
          <w:sz w:val="18"/>
          <w:szCs w:val="18"/>
        </w:rPr>
        <w:t xml:space="preserve"> No +Peaje”</w:t>
      </w:r>
      <w:r>
        <w:rPr>
          <w:rStyle w:val="Refdenotaalpie"/>
          <w:rFonts w:ascii="Work Sans" w:hAnsi="Work Sans" w:cs="Arial"/>
          <w:i/>
          <w:iCs/>
          <w:sz w:val="18"/>
          <w:szCs w:val="18"/>
        </w:rPr>
        <w:footnoteReference w:id="4"/>
      </w:r>
    </w:p>
    <w:p w14:paraId="0EF8FFD1" w14:textId="77777777" w:rsidR="0089596F" w:rsidRDefault="0089596F">
      <w:pPr>
        <w:pStyle w:val="Prrafodelista"/>
        <w:spacing w:line="254" w:lineRule="auto"/>
        <w:ind w:left="426" w:right="481"/>
        <w:rPr>
          <w:rFonts w:ascii="Work Sans" w:hAnsi="Work Sans" w:cs="Arial"/>
          <w:i/>
          <w:iCs/>
          <w:sz w:val="18"/>
          <w:szCs w:val="18"/>
        </w:rPr>
      </w:pPr>
    </w:p>
    <w:p w14:paraId="017AC0FB" w14:textId="77777777" w:rsidR="0089596F" w:rsidRDefault="00E054F8">
      <w:pPr>
        <w:pStyle w:val="Prrafodelista"/>
        <w:numPr>
          <w:ilvl w:val="0"/>
          <w:numId w:val="23"/>
        </w:numPr>
        <w:spacing w:line="254" w:lineRule="auto"/>
        <w:ind w:left="426" w:right="481"/>
        <w:jc w:val="both"/>
        <w:rPr>
          <w:rFonts w:ascii="Work Sans" w:hAnsi="Work Sans" w:cs="Arial"/>
          <w:i/>
          <w:iCs/>
          <w:sz w:val="18"/>
          <w:szCs w:val="18"/>
        </w:rPr>
      </w:pPr>
      <w:r>
        <w:rPr>
          <w:rFonts w:ascii="Work Sans" w:hAnsi="Work Sans" w:cs="Arial"/>
          <w:i/>
          <w:iCs/>
          <w:sz w:val="18"/>
          <w:szCs w:val="18"/>
        </w:rPr>
        <w:t>“ATENCIÓN AL PUEBLO DE CLEMENCIA Y SANTA CATALINA!! El comité NO +PEAJE Convoca a</w:t>
      </w:r>
      <w:r>
        <w:rPr>
          <w:rFonts w:ascii="Work Sans" w:hAnsi="Work Sans" w:cs="Arial"/>
          <w:i/>
          <w:iCs/>
          <w:sz w:val="18"/>
          <w:szCs w:val="18"/>
        </w:rPr>
        <w:t xml:space="preserve"> todos los moradores de estos municipios a unirse a la manifestación en contra del funcionamiento del Peaje. Únete a esta gran lucha, para beneficio de nuestros pueblos</w:t>
      </w:r>
    </w:p>
    <w:p w14:paraId="5D4A1EAB" w14:textId="77777777" w:rsidR="0089596F" w:rsidRDefault="00E054F8">
      <w:pPr>
        <w:pStyle w:val="Prrafodelista"/>
        <w:spacing w:line="254" w:lineRule="auto"/>
        <w:ind w:left="426" w:right="481" w:firstLine="414"/>
        <w:jc w:val="both"/>
        <w:rPr>
          <w:rFonts w:ascii="Work Sans" w:hAnsi="Work Sans" w:cs="Arial"/>
          <w:i/>
          <w:iCs/>
          <w:sz w:val="18"/>
          <w:szCs w:val="18"/>
        </w:rPr>
      </w:pPr>
      <w:r>
        <w:rPr>
          <w:rFonts w:ascii="Work Sans" w:hAnsi="Work Sans" w:cs="Arial"/>
          <w:i/>
          <w:iCs/>
          <w:sz w:val="18"/>
          <w:szCs w:val="18"/>
        </w:rPr>
        <w:t xml:space="preserve">Fecha: </w:t>
      </w:r>
    </w:p>
    <w:p w14:paraId="7F877CE1" w14:textId="77777777" w:rsidR="0089596F" w:rsidRDefault="00E054F8">
      <w:pPr>
        <w:pStyle w:val="Prrafodelista"/>
        <w:spacing w:line="254" w:lineRule="auto"/>
        <w:ind w:left="426" w:right="481" w:firstLine="414"/>
        <w:jc w:val="both"/>
        <w:rPr>
          <w:rFonts w:ascii="Work Sans" w:hAnsi="Work Sans" w:cs="Arial"/>
          <w:i/>
          <w:iCs/>
          <w:sz w:val="18"/>
          <w:szCs w:val="18"/>
        </w:rPr>
      </w:pPr>
      <w:r>
        <w:rPr>
          <w:rFonts w:ascii="Work Sans" w:hAnsi="Work Sans" w:cs="Arial"/>
          <w:i/>
          <w:iCs/>
          <w:sz w:val="18"/>
          <w:szCs w:val="18"/>
        </w:rPr>
        <w:t>Lunes 16 de mayo de 2022</w:t>
      </w:r>
    </w:p>
    <w:p w14:paraId="0BCECB96" w14:textId="77777777" w:rsidR="0089596F" w:rsidRDefault="00E054F8">
      <w:pPr>
        <w:pStyle w:val="Prrafodelista"/>
        <w:spacing w:line="254" w:lineRule="auto"/>
        <w:ind w:left="426" w:right="481" w:firstLine="414"/>
        <w:jc w:val="both"/>
        <w:rPr>
          <w:rFonts w:ascii="Work Sans" w:hAnsi="Work Sans" w:cs="Arial"/>
          <w:i/>
          <w:iCs/>
          <w:sz w:val="18"/>
          <w:szCs w:val="18"/>
        </w:rPr>
      </w:pPr>
      <w:r>
        <w:rPr>
          <w:rFonts w:ascii="Work Sans" w:hAnsi="Work Sans" w:cs="Arial"/>
          <w:i/>
          <w:iCs/>
          <w:sz w:val="18"/>
          <w:szCs w:val="18"/>
        </w:rPr>
        <w:t xml:space="preserve">Punto de encuentro: </w:t>
      </w:r>
    </w:p>
    <w:p w14:paraId="1764F91C" w14:textId="77777777" w:rsidR="0089596F" w:rsidRDefault="00E054F8">
      <w:pPr>
        <w:pStyle w:val="Prrafodelista"/>
        <w:spacing w:line="254" w:lineRule="auto"/>
        <w:ind w:left="426" w:right="481" w:firstLine="414"/>
        <w:jc w:val="both"/>
        <w:rPr>
          <w:rFonts w:ascii="Work Sans" w:hAnsi="Work Sans" w:cs="Arial"/>
          <w:i/>
          <w:iCs/>
          <w:sz w:val="18"/>
          <w:szCs w:val="18"/>
        </w:rPr>
      </w:pPr>
      <w:r>
        <w:rPr>
          <w:rFonts w:ascii="Work Sans" w:hAnsi="Work Sans" w:cs="Arial"/>
          <w:i/>
          <w:iCs/>
          <w:sz w:val="18"/>
          <w:szCs w:val="18"/>
        </w:rPr>
        <w:t>Plaza del parque</w:t>
      </w:r>
    </w:p>
    <w:p w14:paraId="17B562D1" w14:textId="77777777" w:rsidR="0089596F" w:rsidRDefault="00E054F8">
      <w:pPr>
        <w:pStyle w:val="Prrafodelista"/>
        <w:spacing w:line="254" w:lineRule="auto"/>
        <w:ind w:left="426" w:right="481" w:firstLine="414"/>
        <w:jc w:val="both"/>
      </w:pPr>
      <w:r>
        <w:rPr>
          <w:rFonts w:ascii="Work Sans" w:hAnsi="Work Sans" w:cs="Arial"/>
          <w:i/>
          <w:iCs/>
          <w:sz w:val="18"/>
          <w:szCs w:val="18"/>
        </w:rPr>
        <w:t xml:space="preserve">Hora: </w:t>
      </w:r>
      <w:r>
        <w:rPr>
          <w:rFonts w:ascii="Work Sans" w:hAnsi="Work Sans" w:cs="Arial"/>
          <w:i/>
          <w:iCs/>
          <w:sz w:val="18"/>
          <w:szCs w:val="18"/>
        </w:rPr>
        <w:t>9:00am”</w:t>
      </w:r>
      <w:r>
        <w:rPr>
          <w:rStyle w:val="Refdenotaalpie"/>
          <w:rFonts w:ascii="Work Sans" w:hAnsi="Work Sans" w:cs="Arial"/>
          <w:i/>
          <w:iCs/>
          <w:sz w:val="18"/>
          <w:szCs w:val="18"/>
        </w:rPr>
        <w:footnoteReference w:id="5"/>
      </w:r>
    </w:p>
    <w:p w14:paraId="249CB5E2" w14:textId="77777777" w:rsidR="0089596F" w:rsidRDefault="0089596F">
      <w:pPr>
        <w:spacing w:line="254" w:lineRule="auto"/>
        <w:ind w:left="426" w:right="481"/>
        <w:rPr>
          <w:rFonts w:ascii="Work Sans" w:hAnsi="Work Sans" w:cs="Arial"/>
          <w:i/>
          <w:iCs/>
          <w:sz w:val="18"/>
          <w:szCs w:val="18"/>
        </w:rPr>
      </w:pPr>
    </w:p>
    <w:p w14:paraId="2AFA5D4B" w14:textId="77777777" w:rsidR="0089596F" w:rsidRDefault="00E054F8">
      <w:pPr>
        <w:pStyle w:val="paragraph"/>
        <w:spacing w:before="0" w:after="0"/>
        <w:ind w:left="426" w:right="481"/>
        <w:jc w:val="both"/>
        <w:textAlignment w:val="baseline"/>
      </w:pPr>
      <w:r>
        <w:rPr>
          <w:rStyle w:val="normaltextrun"/>
          <w:rFonts w:ascii="Work Sans" w:hAnsi="Work Sans" w:cs="Segoe UI"/>
          <w:i/>
          <w:iCs/>
          <w:sz w:val="18"/>
          <w:szCs w:val="18"/>
          <w:lang w:val="es-ES"/>
        </w:rPr>
        <w:lastRenderedPageBreak/>
        <w:t>Dicha convocatoria se hizo efectiva el 1</w:t>
      </w:r>
      <w:r>
        <w:rPr>
          <w:rStyle w:val="normaltextrun"/>
          <w:rFonts w:ascii="Work Sans" w:hAnsi="Work Sans" w:cs="Segoe UI"/>
          <w:i/>
          <w:iCs/>
          <w:sz w:val="18"/>
          <w:szCs w:val="18"/>
          <w:lang w:val="es-ES"/>
        </w:rPr>
        <w:t>6 de mayo de 2022 en el peaje Bayunca en donde se evidenciaron alteraciones al recaudo y al funcionamiento normal de la vía desde las 10:00 am hasta las 11:30 am, momento en el que decidieron retirarse y bloquear la vía nacional.</w:t>
      </w:r>
      <w:r>
        <w:rPr>
          <w:rStyle w:val="superscript"/>
          <w:rFonts w:ascii="Work Sans" w:hAnsi="Work Sans" w:cs="Segoe UI"/>
          <w:i/>
          <w:iCs/>
          <w:sz w:val="18"/>
          <w:szCs w:val="18"/>
          <w:vertAlign w:val="superscript"/>
        </w:rPr>
        <w:t>5</w:t>
      </w:r>
      <w:r>
        <w:rPr>
          <w:rStyle w:val="eop"/>
          <w:rFonts w:ascii="Work Sans" w:hAnsi="Work Sans" w:cs="Segoe UI"/>
          <w:i/>
          <w:iCs/>
          <w:sz w:val="18"/>
          <w:szCs w:val="18"/>
        </w:rPr>
        <w:t> </w:t>
      </w:r>
    </w:p>
    <w:p w14:paraId="61D9D6F1" w14:textId="77777777" w:rsidR="0089596F" w:rsidRDefault="00E054F8">
      <w:pPr>
        <w:pStyle w:val="paragraph"/>
        <w:spacing w:before="0" w:after="0"/>
        <w:ind w:left="426" w:right="481"/>
        <w:textAlignment w:val="baseline"/>
      </w:pPr>
      <w:r>
        <w:rPr>
          <w:rStyle w:val="eop"/>
          <w:rFonts w:ascii="Work Sans" w:hAnsi="Work Sans" w:cs="Segoe UI"/>
          <w:i/>
          <w:iCs/>
          <w:sz w:val="18"/>
          <w:szCs w:val="18"/>
        </w:rPr>
        <w:t> </w:t>
      </w:r>
    </w:p>
    <w:p w14:paraId="7D17CD70" w14:textId="77777777" w:rsidR="0089596F" w:rsidRDefault="00E054F8">
      <w:pPr>
        <w:pStyle w:val="paragraph"/>
        <w:spacing w:before="0" w:after="0"/>
        <w:ind w:left="426" w:right="481"/>
        <w:textAlignment w:val="baseline"/>
      </w:pPr>
      <w:r>
        <w:rPr>
          <w:rStyle w:val="normaltextrun"/>
          <w:rFonts w:ascii="Cambria Math" w:hAnsi="Cambria Math" w:cs="Cambria Math"/>
          <w:i/>
          <w:iCs/>
          <w:color w:val="D13438"/>
          <w:sz w:val="18"/>
          <w:szCs w:val="18"/>
          <w:u w:val="single"/>
          <w:lang w:val="es-ES"/>
        </w:rPr>
        <w:t> </w:t>
      </w:r>
      <w:r>
        <w:rPr>
          <w:rStyle w:val="eop"/>
          <w:rFonts w:ascii="Work Sans" w:hAnsi="Work Sans" w:cs="Segoe UI"/>
          <w:i/>
          <w:iCs/>
          <w:sz w:val="18"/>
          <w:szCs w:val="18"/>
        </w:rPr>
        <w:t> </w:t>
      </w:r>
    </w:p>
    <w:p w14:paraId="1531457D" w14:textId="77777777" w:rsidR="0089596F" w:rsidRDefault="00E054F8">
      <w:pPr>
        <w:pStyle w:val="paragraph"/>
        <w:spacing w:before="0" w:after="0"/>
        <w:ind w:left="426" w:right="481"/>
        <w:jc w:val="both"/>
        <w:textAlignment w:val="baseline"/>
      </w:pPr>
      <w:r>
        <w:rPr>
          <w:rStyle w:val="normaltextrun"/>
          <w:rFonts w:ascii="Work Sans" w:hAnsi="Work Sans" w:cs="Segoe UI"/>
          <w:i/>
          <w:iCs/>
          <w:sz w:val="18"/>
          <w:szCs w:val="18"/>
          <w:lang w:val="es-ES"/>
        </w:rPr>
        <w:t xml:space="preserve">El 19 de mayo de </w:t>
      </w:r>
      <w:r>
        <w:rPr>
          <w:rStyle w:val="normaltextrun"/>
          <w:rFonts w:ascii="Work Sans" w:hAnsi="Work Sans" w:cs="Segoe UI"/>
          <w:i/>
          <w:iCs/>
          <w:sz w:val="18"/>
          <w:szCs w:val="18"/>
          <w:lang w:val="es-ES"/>
        </w:rPr>
        <w:t xml:space="preserve">2022 se llevó a cabo reunión en la sede de la procuraduría provincial de Cartagena a la cual asistieron los alcaldes y personeros de Santa Catalina y Clemencia, miembros del comité no más peajes de Clemencia y parte de la familia no más peaje, quienes, en </w:t>
      </w:r>
      <w:r>
        <w:rPr>
          <w:rStyle w:val="normaltextrun"/>
          <w:rFonts w:ascii="Work Sans" w:hAnsi="Work Sans" w:cs="Segoe UI"/>
          <w:i/>
          <w:iCs/>
          <w:sz w:val="18"/>
          <w:szCs w:val="18"/>
          <w:lang w:val="es-ES"/>
        </w:rPr>
        <w:t>representación de la comunidad, solicitaron dar continuidad a la mesa de diálogo permanente y, en cuanto al beneficio de tarifa diferencial manifestaron: “(…) que hay placas que faltaron por ser incluidas o que quedaron con fallas en la digitalización</w:t>
      </w:r>
      <w:r>
        <w:rPr>
          <w:rStyle w:val="normaltextrun"/>
          <w:rFonts w:ascii="Work Sans" w:hAnsi="Work Sans" w:cs="Calibri"/>
          <w:i/>
          <w:iCs/>
          <w:sz w:val="18"/>
          <w:szCs w:val="18"/>
          <w:lang w:val="es-ES"/>
        </w:rPr>
        <w:t xml:space="preserve"> </w:t>
      </w:r>
      <w:r>
        <w:rPr>
          <w:rStyle w:val="normaltextrun"/>
          <w:rFonts w:ascii="Work Sans" w:hAnsi="Work Sans" w:cs="Segoe UI"/>
          <w:i/>
          <w:iCs/>
          <w:sz w:val="18"/>
          <w:szCs w:val="18"/>
          <w:lang w:val="es-ES"/>
        </w:rPr>
        <w:t>(…)”</w:t>
      </w:r>
      <w:r>
        <w:rPr>
          <w:rStyle w:val="normaltextrun"/>
          <w:rFonts w:ascii="Work Sans" w:hAnsi="Work Sans" w:cs="Segoe UI"/>
          <w:i/>
          <w:iCs/>
          <w:sz w:val="18"/>
          <w:szCs w:val="18"/>
          <w:lang w:val="es-ES"/>
        </w:rPr>
        <w:t xml:space="preserve">. </w:t>
      </w:r>
    </w:p>
    <w:p w14:paraId="1E43935F" w14:textId="77777777" w:rsidR="0089596F" w:rsidRDefault="0089596F">
      <w:pPr>
        <w:pStyle w:val="paragraph"/>
        <w:spacing w:before="0" w:after="0"/>
        <w:ind w:left="426" w:right="481"/>
        <w:jc w:val="both"/>
        <w:rPr>
          <w:rFonts w:ascii="Work Sans" w:hAnsi="Work Sans"/>
          <w:sz w:val="18"/>
          <w:szCs w:val="18"/>
        </w:rPr>
      </w:pPr>
    </w:p>
    <w:p w14:paraId="21795784" w14:textId="77777777" w:rsidR="0089596F" w:rsidRDefault="00E054F8">
      <w:pPr>
        <w:pStyle w:val="paragraph"/>
        <w:spacing w:before="0" w:after="0"/>
        <w:ind w:left="426" w:right="481"/>
        <w:jc w:val="both"/>
      </w:pPr>
      <w:r>
        <w:rPr>
          <w:rStyle w:val="eop"/>
          <w:rFonts w:ascii="Work Sans" w:hAnsi="Work Sans" w:cs="Segoe UI"/>
          <w:i/>
          <w:iCs/>
          <w:sz w:val="18"/>
          <w:szCs w:val="18"/>
          <w:lang w:val="es-ES"/>
        </w:rPr>
        <w:t>Es así como el 26 de mayo de 2022, por medio de correo electrónico, los municipios allegaron nuevos censos con solicitud de inscripción de caros en categorías I y II de la siguiente manera:</w:t>
      </w:r>
    </w:p>
    <w:p w14:paraId="471F18AD" w14:textId="77777777" w:rsidR="0089596F" w:rsidRDefault="0089596F">
      <w:pPr>
        <w:pStyle w:val="paragraph"/>
        <w:spacing w:before="0" w:after="0"/>
        <w:ind w:left="720"/>
        <w:jc w:val="both"/>
      </w:pPr>
    </w:p>
    <w:tbl>
      <w:tblPr>
        <w:tblW w:w="4245" w:type="dxa"/>
        <w:jc w:val="center"/>
        <w:tblLayout w:type="fixed"/>
        <w:tblCellMar>
          <w:left w:w="10" w:type="dxa"/>
          <w:right w:w="10" w:type="dxa"/>
        </w:tblCellMar>
        <w:tblLook w:val="0000" w:firstRow="0" w:lastRow="0" w:firstColumn="0" w:lastColumn="0" w:noHBand="0" w:noVBand="0"/>
      </w:tblPr>
      <w:tblGrid>
        <w:gridCol w:w="1845"/>
        <w:gridCol w:w="1200"/>
        <w:gridCol w:w="1200"/>
      </w:tblGrid>
      <w:tr w:rsidR="0089596F" w14:paraId="4E551DB9" w14:textId="77777777">
        <w:tblPrEx>
          <w:tblCellMar>
            <w:top w:w="0" w:type="dxa"/>
            <w:bottom w:w="0" w:type="dxa"/>
          </w:tblCellMar>
        </w:tblPrEx>
        <w:trPr>
          <w:trHeight w:val="300"/>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287C2" w14:textId="77777777" w:rsidR="0089596F" w:rsidRDefault="00E054F8">
            <w:pPr>
              <w:jc w:val="center"/>
              <w:textAlignment w:val="auto"/>
              <w:rPr>
                <w:rFonts w:ascii="Work Sans" w:eastAsia="Arial" w:hAnsi="Work Sans" w:cs="Arial"/>
                <w:i/>
                <w:iCs/>
                <w:color w:val="000000"/>
                <w:sz w:val="12"/>
                <w:szCs w:val="12"/>
              </w:rPr>
            </w:pPr>
            <w:r>
              <w:rPr>
                <w:rFonts w:ascii="Work Sans" w:eastAsia="Arial" w:hAnsi="Work Sans" w:cs="Arial"/>
                <w:i/>
                <w:iCs/>
                <w:color w:val="000000"/>
                <w:sz w:val="12"/>
                <w:szCs w:val="12"/>
              </w:rPr>
              <w:t xml:space="preserve">Unidad territorial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EC7F5" w14:textId="77777777" w:rsidR="0089596F" w:rsidRDefault="00E054F8">
            <w:pPr>
              <w:jc w:val="center"/>
              <w:textAlignment w:val="auto"/>
              <w:rPr>
                <w:rFonts w:ascii="Work Sans" w:eastAsia="Arial" w:hAnsi="Work Sans" w:cs="Arial"/>
                <w:i/>
                <w:iCs/>
                <w:color w:val="000000"/>
                <w:sz w:val="12"/>
                <w:szCs w:val="12"/>
              </w:rPr>
            </w:pPr>
            <w:r>
              <w:rPr>
                <w:rFonts w:ascii="Work Sans" w:eastAsia="Arial" w:hAnsi="Work Sans" w:cs="Arial"/>
                <w:i/>
                <w:iCs/>
                <w:color w:val="000000"/>
                <w:sz w:val="12"/>
                <w:szCs w:val="12"/>
              </w:rPr>
              <w:t>Categoría 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A01D6" w14:textId="77777777" w:rsidR="0089596F" w:rsidRDefault="00E054F8">
            <w:pPr>
              <w:jc w:val="center"/>
              <w:textAlignment w:val="auto"/>
              <w:rPr>
                <w:rFonts w:ascii="Work Sans" w:eastAsia="Arial" w:hAnsi="Work Sans" w:cs="Arial"/>
                <w:i/>
                <w:iCs/>
                <w:color w:val="000000"/>
                <w:sz w:val="12"/>
                <w:szCs w:val="12"/>
              </w:rPr>
            </w:pPr>
            <w:r>
              <w:rPr>
                <w:rFonts w:ascii="Work Sans" w:eastAsia="Arial" w:hAnsi="Work Sans" w:cs="Arial"/>
                <w:i/>
                <w:iCs/>
                <w:color w:val="000000"/>
                <w:sz w:val="12"/>
                <w:szCs w:val="12"/>
              </w:rPr>
              <w:t>Categoría II</w:t>
            </w:r>
          </w:p>
        </w:tc>
      </w:tr>
      <w:tr w:rsidR="0089596F" w14:paraId="69E74C46" w14:textId="77777777">
        <w:tblPrEx>
          <w:tblCellMar>
            <w:top w:w="0" w:type="dxa"/>
            <w:bottom w:w="0" w:type="dxa"/>
          </w:tblCellMar>
        </w:tblPrEx>
        <w:trPr>
          <w:trHeight w:val="934"/>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17C7" w14:textId="77777777" w:rsidR="0089596F" w:rsidRDefault="00E054F8">
            <w:pPr>
              <w:jc w:val="center"/>
              <w:textAlignment w:val="auto"/>
              <w:rPr>
                <w:rFonts w:ascii="Work Sans" w:eastAsia="Arial" w:hAnsi="Work Sans" w:cs="Arial"/>
                <w:i/>
                <w:iCs/>
                <w:color w:val="000000"/>
                <w:sz w:val="12"/>
                <w:szCs w:val="12"/>
              </w:rPr>
            </w:pPr>
            <w:r>
              <w:rPr>
                <w:rFonts w:ascii="Work Sans" w:eastAsia="Arial" w:hAnsi="Work Sans" w:cs="Arial"/>
                <w:i/>
                <w:iCs/>
                <w:color w:val="000000"/>
                <w:sz w:val="12"/>
                <w:szCs w:val="12"/>
              </w:rPr>
              <w:t>Municipio de Clemencia, Santa Catalina y corregimiento de Bayunca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6F166" w14:textId="77777777" w:rsidR="0089596F" w:rsidRDefault="00E054F8">
            <w:pPr>
              <w:spacing w:line="254" w:lineRule="auto"/>
              <w:jc w:val="center"/>
              <w:textAlignment w:val="auto"/>
            </w:pPr>
            <w:r>
              <w:rPr>
                <w:rFonts w:ascii="Work Sans" w:eastAsia="Arial" w:hAnsi="Work Sans" w:cs="Arial"/>
                <w:i/>
                <w:iCs/>
                <w:color w:val="000000"/>
                <w:sz w:val="12"/>
                <w:szCs w:val="12"/>
              </w:rPr>
              <w:t>1500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7DA86" w14:textId="77777777" w:rsidR="0089596F" w:rsidRDefault="00E054F8">
            <w:pPr>
              <w:spacing w:line="254" w:lineRule="auto"/>
              <w:jc w:val="center"/>
              <w:textAlignment w:val="auto"/>
            </w:pPr>
            <w:r>
              <w:rPr>
                <w:rFonts w:ascii="Work Sans" w:eastAsia="Arial" w:hAnsi="Work Sans" w:cs="Arial"/>
                <w:i/>
                <w:iCs/>
                <w:color w:val="000000"/>
                <w:sz w:val="12"/>
                <w:szCs w:val="12"/>
              </w:rPr>
              <w:t>100</w:t>
            </w:r>
          </w:p>
        </w:tc>
      </w:tr>
    </w:tbl>
    <w:p w14:paraId="69661489" w14:textId="77777777" w:rsidR="0089596F" w:rsidRDefault="00E054F8">
      <w:pPr>
        <w:pStyle w:val="paragraph"/>
        <w:ind w:left="720" w:right="481"/>
        <w:jc w:val="both"/>
      </w:pPr>
      <w:r>
        <w:rPr>
          <w:rStyle w:val="eop"/>
          <w:rFonts w:ascii="Work Sans" w:hAnsi="Work Sans" w:cs="Segoe UI"/>
          <w:i/>
          <w:iCs/>
          <w:sz w:val="18"/>
          <w:szCs w:val="18"/>
          <w:lang w:val="es-ES"/>
        </w:rPr>
        <w:t xml:space="preserve">Ahora bien, </w:t>
      </w:r>
      <w:r>
        <w:rPr>
          <w:rStyle w:val="normaltextrun"/>
          <w:rFonts w:ascii="Work Sans" w:hAnsi="Work Sans" w:cs="Segoe UI"/>
          <w:i/>
          <w:iCs/>
          <w:sz w:val="18"/>
          <w:szCs w:val="18"/>
          <w:lang w:val="es-ES"/>
        </w:rPr>
        <w:t xml:space="preserve">en concepto de la Interventoría con radicado ANI No. 20224090551972 del 17 de mayo de 2022 (CICMV-OP-VE-557-2021-0214) se indicó: “En lo que atañe al ámbito </w:t>
      </w:r>
      <w:r>
        <w:rPr>
          <w:rStyle w:val="normaltextrun"/>
          <w:rFonts w:ascii="Work Sans" w:hAnsi="Work Sans" w:cs="Segoe UI"/>
          <w:i/>
          <w:iCs/>
          <w:sz w:val="18"/>
          <w:szCs w:val="18"/>
          <w:lang w:val="es-ES"/>
        </w:rPr>
        <w:t>social, esta Interventoría conoce de los diálogos que ha venido adelantando con líderes sociales de Clemencia, Bayunca y Santa Catalina; quienes expresan en los encuentros de concertación la necesidad de disminuir el costo del pago de un peaje que han veni</w:t>
      </w:r>
      <w:r>
        <w:rPr>
          <w:rStyle w:val="normaltextrun"/>
          <w:rFonts w:ascii="Work Sans" w:hAnsi="Work Sans" w:cs="Segoe UI"/>
          <w:i/>
          <w:iCs/>
          <w:sz w:val="18"/>
          <w:szCs w:val="18"/>
          <w:lang w:val="es-ES"/>
        </w:rPr>
        <w:t xml:space="preserve">do realizando por muchos años y se consideran económicamente afectados por la dificultad de comercializar los productos que cultivan debido al alto costo del transporte de los mismos. </w:t>
      </w:r>
      <w:proofErr w:type="gramStart"/>
      <w:r>
        <w:rPr>
          <w:rStyle w:val="normaltextrun"/>
          <w:rFonts w:ascii="Work Sans" w:hAnsi="Work Sans" w:cs="Segoe UI"/>
          <w:i/>
          <w:iCs/>
          <w:sz w:val="18"/>
          <w:szCs w:val="18"/>
          <w:lang w:val="es-ES"/>
        </w:rPr>
        <w:t>En razón de</w:t>
      </w:r>
      <w:proofErr w:type="gramEnd"/>
      <w:r>
        <w:rPr>
          <w:rStyle w:val="normaltextrun"/>
          <w:rFonts w:ascii="Work Sans" w:hAnsi="Work Sans" w:cs="Segoe UI"/>
          <w:i/>
          <w:iCs/>
          <w:sz w:val="18"/>
          <w:szCs w:val="18"/>
          <w:lang w:val="es-ES"/>
        </w:rPr>
        <w:t xml:space="preserve"> lo anterior, los líderes manifestantes con el apoyo de la fa</w:t>
      </w:r>
      <w:r>
        <w:rPr>
          <w:rStyle w:val="normaltextrun"/>
          <w:rFonts w:ascii="Work Sans" w:hAnsi="Work Sans" w:cs="Segoe UI"/>
          <w:i/>
          <w:iCs/>
          <w:sz w:val="18"/>
          <w:szCs w:val="18"/>
          <w:lang w:val="es-ES"/>
        </w:rPr>
        <w:t>milia No + peajes, han tomado medidas de hecho, ubicándose en varias ocasiones en las instalaciones del peaje con mensajes alusivos a su solicitud, con lo que se destaca la importancia que el recaudo de las tarifas tiene para los habitantes de la zona”.</w:t>
      </w:r>
      <w:r>
        <w:rPr>
          <w:rStyle w:val="normaltextrun"/>
          <w:rFonts w:ascii="Work Sans" w:hAnsi="Work Sans" w:cs="Arial"/>
          <w:i/>
          <w:iCs/>
          <w:sz w:val="18"/>
          <w:szCs w:val="18"/>
        </w:rPr>
        <w:t> </w:t>
      </w:r>
      <w:r>
        <w:rPr>
          <w:rStyle w:val="eop"/>
          <w:rFonts w:ascii="Work Sans" w:hAnsi="Work Sans" w:cs="Segoe UI"/>
          <w:i/>
          <w:iCs/>
          <w:sz w:val="18"/>
          <w:szCs w:val="18"/>
        </w:rPr>
        <w:t> </w:t>
      </w:r>
    </w:p>
    <w:p w14:paraId="0C2EB652" w14:textId="77777777" w:rsidR="0089596F" w:rsidRDefault="00E054F8">
      <w:pPr>
        <w:shd w:val="clear" w:color="auto" w:fill="FFFFFF"/>
        <w:ind w:left="720" w:right="481"/>
        <w:jc w:val="both"/>
        <w:rPr>
          <w:rFonts w:ascii="Work Sans" w:hAnsi="Work Sans" w:cs="Arial"/>
          <w:b/>
          <w:i/>
          <w:iCs/>
          <w:sz w:val="18"/>
          <w:szCs w:val="18"/>
          <w:u w:val="single"/>
        </w:rPr>
      </w:pPr>
      <w:r>
        <w:rPr>
          <w:rFonts w:ascii="Work Sans" w:hAnsi="Work Sans" w:cs="Arial"/>
          <w:b/>
          <w:i/>
          <w:iCs/>
          <w:sz w:val="18"/>
          <w:szCs w:val="18"/>
          <w:u w:val="single"/>
        </w:rPr>
        <w:t>Aspectos Técnicos:</w:t>
      </w:r>
    </w:p>
    <w:p w14:paraId="77152680" w14:textId="77777777" w:rsidR="0089596F" w:rsidRDefault="0089596F">
      <w:pPr>
        <w:shd w:val="clear" w:color="auto" w:fill="FFFFFF"/>
        <w:ind w:left="720" w:right="481"/>
        <w:jc w:val="both"/>
        <w:rPr>
          <w:rFonts w:ascii="Work Sans" w:hAnsi="Work Sans" w:cs="Arial"/>
          <w:i/>
          <w:iCs/>
          <w:sz w:val="18"/>
          <w:szCs w:val="18"/>
        </w:rPr>
      </w:pPr>
    </w:p>
    <w:p w14:paraId="0172FDFB" w14:textId="77777777" w:rsidR="0089596F" w:rsidRDefault="00E054F8">
      <w:pPr>
        <w:ind w:left="720" w:right="481"/>
        <w:jc w:val="both"/>
      </w:pPr>
      <w:r>
        <w:rPr>
          <w:rFonts w:ascii="Work Sans" w:hAnsi="Work Sans" w:cs="Arial"/>
          <w:i/>
          <w:iCs/>
          <w:sz w:val="18"/>
          <w:szCs w:val="18"/>
        </w:rPr>
        <w:t xml:space="preserve">Teniendo en cuenta lo anterior, se ha estructurado una propuesta de tarifas diferenciales que resulte técnica y financieramente viable </w:t>
      </w:r>
      <w:proofErr w:type="gramStart"/>
      <w:r>
        <w:rPr>
          <w:rFonts w:ascii="Work Sans" w:hAnsi="Work Sans" w:cs="Arial"/>
          <w:i/>
          <w:iCs/>
          <w:sz w:val="18"/>
          <w:szCs w:val="18"/>
        </w:rPr>
        <w:t>para  los</w:t>
      </w:r>
      <w:proofErr w:type="gramEnd"/>
      <w:r>
        <w:rPr>
          <w:rFonts w:ascii="Work Sans" w:hAnsi="Work Sans" w:cs="Arial"/>
          <w:i/>
          <w:iCs/>
          <w:sz w:val="18"/>
          <w:szCs w:val="18"/>
        </w:rPr>
        <w:t xml:space="preserve"> usuarios de servicio particular </w:t>
      </w:r>
      <w:r>
        <w:rPr>
          <w:rFonts w:ascii="Work Sans" w:hAnsi="Work Sans" w:cs="Arial"/>
          <w:i/>
          <w:iCs/>
          <w:color w:val="000000"/>
          <w:sz w:val="18"/>
          <w:szCs w:val="18"/>
        </w:rPr>
        <w:t xml:space="preserve">y de transporte público de pasajeros </w:t>
      </w:r>
      <w:r>
        <w:rPr>
          <w:rFonts w:ascii="Work Sans" w:hAnsi="Work Sans" w:cs="Arial"/>
          <w:i/>
          <w:iCs/>
          <w:sz w:val="18"/>
          <w:szCs w:val="18"/>
        </w:rPr>
        <w:t xml:space="preserve">de Categoría I y </w:t>
      </w:r>
      <w:r>
        <w:rPr>
          <w:rFonts w:ascii="Work Sans" w:hAnsi="Work Sans" w:cs="Arial"/>
          <w:i/>
          <w:iCs/>
          <w:sz w:val="18"/>
          <w:szCs w:val="18"/>
        </w:rPr>
        <w:t xml:space="preserve">para usuarios de servicio público intermunicipal de la Categoría II de la estación de peaje Bayunca, así: </w:t>
      </w:r>
    </w:p>
    <w:p w14:paraId="338634DD" w14:textId="77777777" w:rsidR="0089596F" w:rsidRDefault="0089596F">
      <w:pPr>
        <w:pStyle w:val="Prrafodelista"/>
        <w:ind w:left="1428" w:right="481"/>
        <w:jc w:val="both"/>
        <w:rPr>
          <w:rFonts w:ascii="Work Sans" w:hAnsi="Work Sans" w:cs="Arial"/>
          <w:i/>
          <w:iCs/>
          <w:sz w:val="18"/>
          <w:szCs w:val="18"/>
        </w:rPr>
      </w:pPr>
    </w:p>
    <w:p w14:paraId="3EA6E258" w14:textId="77777777" w:rsidR="0089596F" w:rsidRDefault="00E054F8">
      <w:pPr>
        <w:pStyle w:val="Prrafodelista"/>
        <w:numPr>
          <w:ilvl w:val="0"/>
          <w:numId w:val="24"/>
        </w:numPr>
        <w:ind w:left="1440" w:right="481"/>
        <w:jc w:val="both"/>
        <w:textAlignment w:val="auto"/>
        <w:rPr>
          <w:rFonts w:ascii="Work Sans" w:hAnsi="Work Sans" w:cs="Arial"/>
          <w:i/>
          <w:iCs/>
          <w:sz w:val="18"/>
          <w:szCs w:val="18"/>
        </w:rPr>
      </w:pPr>
      <w:r>
        <w:rPr>
          <w:rFonts w:ascii="Work Sans" w:hAnsi="Work Sans" w:cs="Arial"/>
          <w:i/>
          <w:iCs/>
          <w:sz w:val="18"/>
          <w:szCs w:val="18"/>
        </w:rPr>
        <w:t>Categoría I: la tarifa diferencial corresponde aproximadamente al 16% de la tarifa plena vigente. Esta tarifa corresponde a lo acordado con la comun</w:t>
      </w:r>
      <w:r>
        <w:rPr>
          <w:rFonts w:ascii="Work Sans" w:hAnsi="Work Sans" w:cs="Arial"/>
          <w:i/>
          <w:iCs/>
          <w:sz w:val="18"/>
          <w:szCs w:val="18"/>
        </w:rPr>
        <w:t>idad en las mesas de trabajo.</w:t>
      </w:r>
    </w:p>
    <w:p w14:paraId="23462A11" w14:textId="77777777" w:rsidR="0089596F" w:rsidRDefault="0089596F">
      <w:pPr>
        <w:ind w:left="720" w:right="481"/>
        <w:jc w:val="both"/>
        <w:rPr>
          <w:rFonts w:ascii="Work Sans" w:hAnsi="Work Sans" w:cs="Arial"/>
          <w:i/>
          <w:iCs/>
          <w:sz w:val="18"/>
          <w:szCs w:val="18"/>
        </w:rPr>
      </w:pPr>
    </w:p>
    <w:p w14:paraId="55C8931C" w14:textId="77777777" w:rsidR="0089596F" w:rsidRDefault="00E054F8">
      <w:pPr>
        <w:pStyle w:val="Prrafodelista"/>
        <w:numPr>
          <w:ilvl w:val="0"/>
          <w:numId w:val="24"/>
        </w:numPr>
        <w:ind w:left="1440" w:right="481"/>
        <w:jc w:val="both"/>
        <w:textAlignment w:val="auto"/>
        <w:rPr>
          <w:rFonts w:ascii="Work Sans" w:hAnsi="Work Sans" w:cs="Arial"/>
          <w:i/>
          <w:iCs/>
          <w:sz w:val="18"/>
          <w:szCs w:val="18"/>
        </w:rPr>
      </w:pPr>
      <w:bookmarkStart w:id="8" w:name="_Hlk103937523"/>
      <w:r>
        <w:rPr>
          <w:rFonts w:ascii="Work Sans" w:hAnsi="Work Sans" w:cs="Arial"/>
          <w:i/>
          <w:iCs/>
          <w:sz w:val="18"/>
          <w:szCs w:val="18"/>
        </w:rPr>
        <w:t>Categoría II: la tarifa diferencial corresponde aproximadamente al 15% de la tarifa plena vigente. Esta tarifa corresponde a lo acordado con la comunidad en las mesas de trabajo</w:t>
      </w:r>
      <w:bookmarkEnd w:id="8"/>
      <w:r>
        <w:rPr>
          <w:rFonts w:ascii="Work Sans" w:hAnsi="Work Sans" w:cs="Arial"/>
          <w:i/>
          <w:iCs/>
          <w:sz w:val="18"/>
          <w:szCs w:val="18"/>
        </w:rPr>
        <w:t>.</w:t>
      </w:r>
    </w:p>
    <w:p w14:paraId="0AC07736" w14:textId="77777777" w:rsidR="0089596F" w:rsidRDefault="0089596F">
      <w:pPr>
        <w:ind w:left="720" w:right="481"/>
        <w:rPr>
          <w:rFonts w:ascii="Work Sans" w:hAnsi="Work Sans" w:cs="Arial"/>
          <w:i/>
          <w:iCs/>
          <w:sz w:val="18"/>
          <w:szCs w:val="18"/>
        </w:rPr>
      </w:pPr>
    </w:p>
    <w:p w14:paraId="14AA0486" w14:textId="77777777" w:rsidR="0089596F" w:rsidRDefault="00E054F8">
      <w:pPr>
        <w:pStyle w:val="Prrafodelista"/>
        <w:numPr>
          <w:ilvl w:val="0"/>
          <w:numId w:val="24"/>
        </w:numPr>
        <w:ind w:left="1440" w:right="481"/>
        <w:jc w:val="both"/>
        <w:textAlignment w:val="auto"/>
        <w:rPr>
          <w:rFonts w:ascii="Work Sans" w:hAnsi="Work Sans" w:cs="Arial"/>
          <w:i/>
          <w:iCs/>
          <w:sz w:val="18"/>
          <w:szCs w:val="18"/>
        </w:rPr>
      </w:pPr>
      <w:r>
        <w:rPr>
          <w:rFonts w:ascii="Work Sans" w:hAnsi="Work Sans" w:cs="Arial"/>
          <w:i/>
          <w:iCs/>
          <w:sz w:val="18"/>
          <w:szCs w:val="18"/>
        </w:rPr>
        <w:t xml:space="preserve">De acuerdo con los censos allegados por </w:t>
      </w:r>
      <w:r>
        <w:rPr>
          <w:rFonts w:ascii="Work Sans" w:hAnsi="Work Sans" w:cs="Arial"/>
          <w:i/>
          <w:iCs/>
          <w:sz w:val="18"/>
          <w:szCs w:val="18"/>
        </w:rPr>
        <w:t>cada uno de los municipios se requiere otorgar un total de 1600 cupos en la Estación de Peaje Bayunca para las poblaciones de Clemencia, Santa Catalina y Bayunca, distribuidos de esta forma:</w:t>
      </w:r>
    </w:p>
    <w:p w14:paraId="597C3B1B" w14:textId="77777777" w:rsidR="0089596F" w:rsidRDefault="0089596F">
      <w:pPr>
        <w:ind w:left="720"/>
        <w:jc w:val="both"/>
        <w:rPr>
          <w:rFonts w:ascii="Work Sans" w:hAnsi="Work Sans" w:cs="Arial"/>
          <w:i/>
          <w:iCs/>
          <w:sz w:val="18"/>
          <w:szCs w:val="18"/>
        </w:rPr>
      </w:pPr>
    </w:p>
    <w:p w14:paraId="0DF45E04" w14:textId="77777777" w:rsidR="0089596F" w:rsidRDefault="00E054F8">
      <w:pPr>
        <w:pStyle w:val="Prrafodelista"/>
        <w:numPr>
          <w:ilvl w:val="1"/>
          <w:numId w:val="25"/>
        </w:numPr>
        <w:ind w:left="2868"/>
        <w:jc w:val="both"/>
        <w:textAlignment w:val="auto"/>
        <w:rPr>
          <w:rFonts w:ascii="Work Sans" w:hAnsi="Work Sans" w:cs="Arial"/>
          <w:i/>
          <w:iCs/>
          <w:sz w:val="18"/>
          <w:szCs w:val="18"/>
        </w:rPr>
      </w:pPr>
      <w:r>
        <w:rPr>
          <w:rFonts w:ascii="Work Sans" w:hAnsi="Work Sans" w:cs="Arial"/>
          <w:i/>
          <w:iCs/>
          <w:sz w:val="18"/>
          <w:szCs w:val="18"/>
        </w:rPr>
        <w:t>1500 cupos para la Categoría IE.</w:t>
      </w:r>
    </w:p>
    <w:p w14:paraId="72C785CF" w14:textId="77777777" w:rsidR="0089596F" w:rsidRDefault="00E054F8">
      <w:pPr>
        <w:pStyle w:val="Prrafodelista"/>
        <w:numPr>
          <w:ilvl w:val="1"/>
          <w:numId w:val="25"/>
        </w:numPr>
        <w:ind w:left="2868"/>
        <w:jc w:val="both"/>
        <w:textAlignment w:val="auto"/>
        <w:rPr>
          <w:rFonts w:ascii="Work Sans" w:hAnsi="Work Sans" w:cs="Arial"/>
          <w:i/>
          <w:iCs/>
          <w:sz w:val="18"/>
          <w:szCs w:val="18"/>
        </w:rPr>
      </w:pPr>
      <w:r>
        <w:rPr>
          <w:rFonts w:ascii="Work Sans" w:hAnsi="Work Sans" w:cs="Arial"/>
          <w:i/>
          <w:iCs/>
          <w:sz w:val="18"/>
          <w:szCs w:val="18"/>
        </w:rPr>
        <w:t>100 cupos para la Categoría IIE</w:t>
      </w:r>
      <w:r>
        <w:rPr>
          <w:rFonts w:ascii="Work Sans" w:hAnsi="Work Sans" w:cs="Arial"/>
          <w:i/>
          <w:iCs/>
          <w:sz w:val="18"/>
          <w:szCs w:val="18"/>
        </w:rPr>
        <w:t>.</w:t>
      </w:r>
    </w:p>
    <w:p w14:paraId="6B65458A" w14:textId="77777777" w:rsidR="0089596F" w:rsidRDefault="0089596F">
      <w:pPr>
        <w:ind w:left="1428"/>
        <w:jc w:val="both"/>
        <w:rPr>
          <w:rFonts w:ascii="Work Sans" w:hAnsi="Work Sans" w:cs="Arial"/>
          <w:i/>
          <w:iCs/>
          <w:sz w:val="12"/>
          <w:szCs w:val="12"/>
        </w:rPr>
      </w:pPr>
    </w:p>
    <w:tbl>
      <w:tblPr>
        <w:tblW w:w="6063" w:type="dxa"/>
        <w:jc w:val="center"/>
        <w:tblCellMar>
          <w:left w:w="10" w:type="dxa"/>
          <w:right w:w="10" w:type="dxa"/>
        </w:tblCellMar>
        <w:tblLook w:val="0000" w:firstRow="0" w:lastRow="0" w:firstColumn="0" w:lastColumn="0" w:noHBand="0" w:noVBand="0"/>
      </w:tblPr>
      <w:tblGrid>
        <w:gridCol w:w="1812"/>
        <w:gridCol w:w="1442"/>
        <w:gridCol w:w="1478"/>
        <w:gridCol w:w="1331"/>
      </w:tblGrid>
      <w:tr w:rsidR="0089596F" w14:paraId="609FA2BB" w14:textId="77777777">
        <w:tblPrEx>
          <w:tblCellMar>
            <w:top w:w="0" w:type="dxa"/>
            <w:bottom w:w="0" w:type="dxa"/>
          </w:tblCellMar>
        </w:tblPrEx>
        <w:trPr>
          <w:trHeight w:val="202"/>
          <w:tblHeader/>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729BC57" w14:textId="77777777" w:rsidR="0089596F" w:rsidRDefault="00E054F8">
            <w:pPr>
              <w:ind w:right="20"/>
              <w:jc w:val="center"/>
            </w:pPr>
            <w:r>
              <w:rPr>
                <w:rFonts w:ascii="Work Sans" w:hAnsi="Work Sans" w:cs="Arial"/>
                <w:b/>
                <w:i/>
                <w:iCs/>
                <w:sz w:val="12"/>
                <w:szCs w:val="12"/>
              </w:rPr>
              <w:t>CATEGORÍAS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72B1D2A" w14:textId="77777777" w:rsidR="0089596F" w:rsidRDefault="00E054F8">
            <w:pPr>
              <w:jc w:val="center"/>
              <w:rPr>
                <w:rFonts w:ascii="Work Sans" w:hAnsi="Work Sans" w:cs="Arial"/>
                <w:b/>
                <w:i/>
                <w:iCs/>
                <w:sz w:val="12"/>
                <w:szCs w:val="12"/>
              </w:rPr>
            </w:pPr>
            <w:r>
              <w:rPr>
                <w:rFonts w:ascii="Work Sans" w:hAnsi="Work Sans" w:cs="Arial"/>
                <w:b/>
                <w:i/>
                <w:iCs/>
                <w:sz w:val="12"/>
                <w:szCs w:val="12"/>
              </w:rPr>
              <w:t>DESCRIPCIÓN</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C0A99A5" w14:textId="77777777" w:rsidR="0089596F" w:rsidRDefault="00E054F8">
            <w:pPr>
              <w:jc w:val="center"/>
              <w:rPr>
                <w:rFonts w:ascii="Work Sans" w:hAnsi="Work Sans" w:cs="Arial"/>
                <w:b/>
                <w:i/>
                <w:iCs/>
                <w:sz w:val="12"/>
                <w:szCs w:val="12"/>
              </w:rPr>
            </w:pPr>
            <w:r>
              <w:rPr>
                <w:rFonts w:ascii="Work Sans" w:hAnsi="Work Sans" w:cs="Arial"/>
                <w:b/>
                <w:i/>
                <w:iCs/>
                <w:sz w:val="12"/>
                <w:szCs w:val="12"/>
              </w:rPr>
              <w:t>TARIFAS 2022</w:t>
            </w:r>
          </w:p>
          <w:p w14:paraId="5DB50A0F" w14:textId="77777777" w:rsidR="0089596F" w:rsidRDefault="00E054F8">
            <w:pPr>
              <w:jc w:val="center"/>
              <w:rPr>
                <w:rFonts w:ascii="Work Sans" w:hAnsi="Work Sans" w:cs="Arial"/>
                <w:b/>
                <w:i/>
                <w:iCs/>
                <w:sz w:val="12"/>
                <w:szCs w:val="12"/>
              </w:rPr>
            </w:pPr>
            <w:r>
              <w:rPr>
                <w:rFonts w:ascii="Work Sans" w:hAnsi="Work Sans" w:cs="Arial"/>
                <w:b/>
                <w:i/>
                <w:iCs/>
                <w:sz w:val="12"/>
                <w:szCs w:val="12"/>
              </w:rPr>
              <w:t>(No Incluye FOSEVI)</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54FC75B" w14:textId="77777777" w:rsidR="0089596F" w:rsidRDefault="00E054F8">
            <w:pPr>
              <w:jc w:val="center"/>
              <w:rPr>
                <w:rFonts w:ascii="Work Sans" w:hAnsi="Work Sans" w:cs="Arial"/>
                <w:b/>
                <w:i/>
                <w:iCs/>
                <w:sz w:val="12"/>
                <w:szCs w:val="12"/>
              </w:rPr>
            </w:pPr>
            <w:r>
              <w:rPr>
                <w:rFonts w:ascii="Work Sans" w:hAnsi="Work Sans" w:cs="Arial"/>
                <w:b/>
                <w:i/>
                <w:iCs/>
                <w:sz w:val="12"/>
                <w:szCs w:val="12"/>
              </w:rPr>
              <w:t>CUPOS</w:t>
            </w:r>
          </w:p>
        </w:tc>
      </w:tr>
      <w:tr w:rsidR="0089596F" w14:paraId="26474B57" w14:textId="77777777">
        <w:tblPrEx>
          <w:tblCellMar>
            <w:top w:w="0" w:type="dxa"/>
            <w:bottom w:w="0" w:type="dxa"/>
          </w:tblCellMar>
        </w:tblPrEx>
        <w:trPr>
          <w:trHeight w:val="103"/>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732D45F" w14:textId="77777777" w:rsidR="0089596F" w:rsidRDefault="00E054F8">
            <w:pPr>
              <w:jc w:val="center"/>
              <w:rPr>
                <w:rFonts w:ascii="Work Sans" w:hAnsi="Work Sans" w:cs="Arial"/>
                <w:i/>
                <w:iCs/>
                <w:sz w:val="12"/>
                <w:szCs w:val="12"/>
              </w:rPr>
            </w:pPr>
            <w:r>
              <w:rPr>
                <w:rFonts w:ascii="Work Sans" w:hAnsi="Work Sans" w:cs="Arial"/>
                <w:i/>
                <w:iCs/>
                <w:sz w:val="12"/>
                <w:szCs w:val="12"/>
              </w:rPr>
              <w:t>Categoría IE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tcPr>
          <w:p w14:paraId="240A24B1" w14:textId="77777777" w:rsidR="0089596F" w:rsidRDefault="00E054F8">
            <w:pPr>
              <w:jc w:val="center"/>
              <w:rPr>
                <w:rFonts w:ascii="Work Sans" w:hAnsi="Work Sans" w:cs="Arial"/>
                <w:i/>
                <w:iCs/>
                <w:sz w:val="12"/>
                <w:szCs w:val="12"/>
              </w:rPr>
            </w:pPr>
            <w:r>
              <w:rPr>
                <w:rFonts w:ascii="Work Sans" w:hAnsi="Work Sans" w:cs="Arial"/>
                <w:i/>
                <w:iCs/>
                <w:sz w:val="12"/>
                <w:szCs w:val="12"/>
              </w:rPr>
              <w:t xml:space="preserve">Automóviles, camperos, </w:t>
            </w:r>
            <w:r>
              <w:rPr>
                <w:rFonts w:ascii="Work Sans" w:hAnsi="Work Sans" w:cs="Arial"/>
                <w:i/>
                <w:iCs/>
                <w:sz w:val="12"/>
                <w:szCs w:val="12"/>
              </w:rPr>
              <w:lastRenderedPageBreak/>
              <w:t>camionetas y microbuses con ejes de llanta sencilla</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42E6E85" w14:textId="77777777" w:rsidR="0089596F" w:rsidRDefault="00E054F8">
            <w:pPr>
              <w:jc w:val="center"/>
              <w:rPr>
                <w:rFonts w:ascii="Work Sans" w:hAnsi="Work Sans" w:cs="Arial"/>
                <w:i/>
                <w:iCs/>
                <w:sz w:val="12"/>
                <w:szCs w:val="12"/>
              </w:rPr>
            </w:pPr>
            <w:r>
              <w:rPr>
                <w:rFonts w:ascii="Work Sans" w:hAnsi="Work Sans" w:cs="Arial"/>
                <w:i/>
                <w:iCs/>
                <w:sz w:val="12"/>
                <w:szCs w:val="12"/>
              </w:rPr>
              <w:lastRenderedPageBreak/>
              <w:t>$1.400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452C472" w14:textId="77777777" w:rsidR="0089596F" w:rsidRDefault="00E054F8">
            <w:pPr>
              <w:jc w:val="center"/>
              <w:rPr>
                <w:rFonts w:ascii="Work Sans" w:hAnsi="Work Sans" w:cs="Arial"/>
                <w:i/>
                <w:iCs/>
                <w:sz w:val="12"/>
                <w:szCs w:val="12"/>
              </w:rPr>
            </w:pPr>
            <w:r>
              <w:rPr>
                <w:rFonts w:ascii="Work Sans" w:hAnsi="Work Sans" w:cs="Arial"/>
                <w:i/>
                <w:iCs/>
                <w:sz w:val="12"/>
                <w:szCs w:val="12"/>
              </w:rPr>
              <w:t xml:space="preserve">1500 </w:t>
            </w:r>
          </w:p>
        </w:tc>
      </w:tr>
      <w:tr w:rsidR="0089596F" w14:paraId="5D43B5BC" w14:textId="77777777">
        <w:tblPrEx>
          <w:tblCellMar>
            <w:top w:w="0" w:type="dxa"/>
            <w:bottom w:w="0" w:type="dxa"/>
          </w:tblCellMar>
        </w:tblPrEx>
        <w:trPr>
          <w:trHeight w:val="103"/>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8222140" w14:textId="77777777" w:rsidR="0089596F" w:rsidRDefault="00E054F8">
            <w:pPr>
              <w:jc w:val="center"/>
              <w:rPr>
                <w:rFonts w:ascii="Work Sans" w:hAnsi="Work Sans" w:cs="Arial"/>
                <w:i/>
                <w:iCs/>
                <w:sz w:val="12"/>
                <w:szCs w:val="12"/>
              </w:rPr>
            </w:pPr>
            <w:r>
              <w:rPr>
                <w:rFonts w:ascii="Work Sans" w:hAnsi="Work Sans" w:cs="Arial"/>
                <w:i/>
                <w:iCs/>
                <w:sz w:val="12"/>
                <w:szCs w:val="12"/>
              </w:rPr>
              <w:t>Categoría IIE</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tcPr>
          <w:p w14:paraId="70624327" w14:textId="77777777" w:rsidR="0089596F" w:rsidRDefault="00E054F8">
            <w:pPr>
              <w:jc w:val="center"/>
              <w:rPr>
                <w:rFonts w:ascii="Work Sans" w:hAnsi="Work Sans" w:cs="Arial"/>
                <w:i/>
                <w:iCs/>
                <w:sz w:val="12"/>
                <w:szCs w:val="12"/>
              </w:rPr>
            </w:pPr>
            <w:r>
              <w:rPr>
                <w:rFonts w:ascii="Work Sans" w:hAnsi="Work Sans" w:cs="Arial"/>
                <w:i/>
                <w:iCs/>
                <w:sz w:val="12"/>
                <w:szCs w:val="12"/>
              </w:rPr>
              <w:t xml:space="preserve">Buses, busetas, microbuses con eje trasero de doble llanta </w:t>
            </w:r>
            <w:r>
              <w:rPr>
                <w:rFonts w:ascii="Work Sans" w:hAnsi="Work Sans" w:cs="Arial"/>
                <w:i/>
                <w:iCs/>
                <w:sz w:val="12"/>
                <w:szCs w:val="12"/>
              </w:rPr>
              <w:t>camiones de dos ejes</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4B72423" w14:textId="77777777" w:rsidR="0089596F" w:rsidRDefault="00E054F8">
            <w:pPr>
              <w:jc w:val="center"/>
              <w:rPr>
                <w:rFonts w:ascii="Work Sans" w:hAnsi="Work Sans" w:cs="Arial"/>
                <w:i/>
                <w:iCs/>
                <w:sz w:val="12"/>
                <w:szCs w:val="12"/>
              </w:rPr>
            </w:pPr>
            <w:r>
              <w:rPr>
                <w:rFonts w:ascii="Work Sans" w:hAnsi="Work Sans" w:cs="Arial"/>
                <w:i/>
                <w:iCs/>
                <w:sz w:val="12"/>
                <w:szCs w:val="12"/>
              </w:rPr>
              <w:t>$1.400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0F1F4A9" w14:textId="77777777" w:rsidR="0089596F" w:rsidRDefault="00E054F8">
            <w:pPr>
              <w:jc w:val="center"/>
              <w:rPr>
                <w:rFonts w:ascii="Work Sans" w:hAnsi="Work Sans" w:cs="Arial"/>
                <w:i/>
                <w:iCs/>
                <w:sz w:val="12"/>
                <w:szCs w:val="12"/>
              </w:rPr>
            </w:pPr>
            <w:r>
              <w:rPr>
                <w:rFonts w:ascii="Work Sans" w:hAnsi="Work Sans" w:cs="Arial"/>
                <w:i/>
                <w:iCs/>
                <w:sz w:val="12"/>
                <w:szCs w:val="12"/>
              </w:rPr>
              <w:t>100</w:t>
            </w:r>
          </w:p>
        </w:tc>
      </w:tr>
    </w:tbl>
    <w:p w14:paraId="099FCBF0" w14:textId="77777777" w:rsidR="0089596F" w:rsidRDefault="0089596F">
      <w:pPr>
        <w:ind w:left="720" w:right="49"/>
        <w:jc w:val="both"/>
        <w:rPr>
          <w:rFonts w:ascii="Work Sans" w:hAnsi="Work Sans" w:cs="Arial"/>
          <w:i/>
          <w:iCs/>
          <w:sz w:val="16"/>
          <w:szCs w:val="16"/>
        </w:rPr>
      </w:pPr>
      <w:bookmarkStart w:id="9" w:name="_Hlk81589679"/>
    </w:p>
    <w:p w14:paraId="525F5E93" w14:textId="77777777" w:rsidR="0089596F" w:rsidRDefault="00E054F8">
      <w:pPr>
        <w:ind w:left="720" w:right="623"/>
        <w:jc w:val="both"/>
        <w:rPr>
          <w:rFonts w:ascii="Work Sans" w:hAnsi="Work Sans" w:cs="Arial"/>
          <w:i/>
          <w:iCs/>
          <w:sz w:val="18"/>
          <w:szCs w:val="18"/>
        </w:rPr>
      </w:pPr>
      <w:r>
        <w:rPr>
          <w:rFonts w:ascii="Work Sans" w:hAnsi="Work Sans" w:cs="Arial"/>
          <w:i/>
          <w:iCs/>
          <w:sz w:val="18"/>
          <w:szCs w:val="18"/>
        </w:rPr>
        <w:t xml:space="preserve">La tarifa de peaje fijada no incluye el valor correspondiente al FOSEVI. En todo caso, si el FOSEVI se llegare a incrementar, dicho incremento se deberá adicionar a esta tarifa en el momento del cobro. </w:t>
      </w:r>
      <w:bookmarkEnd w:id="9"/>
    </w:p>
    <w:p w14:paraId="2FBC0392" w14:textId="77777777" w:rsidR="0089596F" w:rsidRDefault="0089596F">
      <w:pPr>
        <w:ind w:left="720" w:right="49"/>
        <w:jc w:val="both"/>
        <w:rPr>
          <w:rFonts w:ascii="Work Sans" w:hAnsi="Work Sans" w:cs="Arial"/>
          <w:i/>
          <w:iCs/>
          <w:sz w:val="18"/>
          <w:szCs w:val="18"/>
        </w:rPr>
      </w:pPr>
    </w:p>
    <w:tbl>
      <w:tblPr>
        <w:tblW w:w="7649" w:type="dxa"/>
        <w:tblInd w:w="720" w:type="dxa"/>
        <w:tblLayout w:type="fixed"/>
        <w:tblCellMar>
          <w:left w:w="10" w:type="dxa"/>
          <w:right w:w="10" w:type="dxa"/>
        </w:tblCellMar>
        <w:tblLook w:val="0000" w:firstRow="0" w:lastRow="0" w:firstColumn="0" w:lastColumn="0" w:noHBand="0" w:noVBand="0"/>
      </w:tblPr>
      <w:tblGrid>
        <w:gridCol w:w="1092"/>
        <w:gridCol w:w="1092"/>
        <w:gridCol w:w="1092"/>
        <w:gridCol w:w="1092"/>
        <w:gridCol w:w="1092"/>
        <w:gridCol w:w="1092"/>
        <w:gridCol w:w="1097"/>
      </w:tblGrid>
      <w:tr w:rsidR="0089596F" w14:paraId="2396BDEA" w14:textId="77777777">
        <w:tblPrEx>
          <w:tblCellMar>
            <w:top w:w="0" w:type="dxa"/>
            <w:bottom w:w="0" w:type="dxa"/>
          </w:tblCellMar>
        </w:tblPrEx>
        <w:trPr>
          <w:trHeight w:val="413"/>
        </w:trPr>
        <w:tc>
          <w:tcPr>
            <w:tcW w:w="764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1CD88" w14:textId="77777777" w:rsidR="0089596F" w:rsidRDefault="00E054F8">
            <w:pPr>
              <w:jc w:val="center"/>
              <w:textAlignment w:val="auto"/>
            </w:pPr>
            <w:r>
              <w:rPr>
                <w:rFonts w:ascii="Work Sans" w:eastAsia="Calibri" w:hAnsi="Work Sans" w:cs="Calibri"/>
                <w:b/>
                <w:i/>
                <w:iCs/>
                <w:color w:val="000000"/>
                <w:sz w:val="12"/>
                <w:szCs w:val="12"/>
              </w:rPr>
              <w:t xml:space="preserve">Peaje </w:t>
            </w:r>
            <w:r>
              <w:rPr>
                <w:rFonts w:ascii="Work Sans" w:eastAsia="Calibri" w:hAnsi="Work Sans" w:cs="Calibri"/>
                <w:b/>
                <w:i/>
                <w:iCs/>
                <w:color w:val="000000"/>
                <w:sz w:val="12"/>
                <w:szCs w:val="12"/>
              </w:rPr>
              <w:t>Bayunca - Autopistas del Caribe</w:t>
            </w:r>
            <w:r>
              <w:rPr>
                <w:rFonts w:ascii="Work Sans" w:hAnsi="Work Sans"/>
                <w:i/>
                <w:iCs/>
                <w:sz w:val="12"/>
                <w:szCs w:val="12"/>
              </w:rPr>
              <w:br/>
            </w:r>
            <w:r>
              <w:rPr>
                <w:rFonts w:ascii="Work Sans" w:eastAsia="Calibri" w:hAnsi="Work Sans" w:cs="Calibri"/>
                <w:b/>
                <w:i/>
                <w:iCs/>
                <w:color w:val="000000"/>
                <w:sz w:val="12"/>
                <w:szCs w:val="12"/>
              </w:rPr>
              <w:t xml:space="preserve"> Vigencia 2022</w:t>
            </w:r>
          </w:p>
        </w:tc>
      </w:tr>
      <w:tr w:rsidR="0089596F" w14:paraId="09A3D3C9" w14:textId="77777777">
        <w:tblPrEx>
          <w:tblCellMar>
            <w:top w:w="0" w:type="dxa"/>
            <w:bottom w:w="0" w:type="dxa"/>
          </w:tblCellMar>
        </w:tblPrEx>
        <w:trPr>
          <w:trHeight w:val="620"/>
        </w:trPr>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075E0" w14:textId="77777777" w:rsidR="0089596F" w:rsidRDefault="00E054F8">
            <w:pPr>
              <w:jc w:val="center"/>
              <w:textAlignment w:val="auto"/>
              <w:rPr>
                <w:rFonts w:ascii="Work Sans" w:eastAsia="Calibri" w:hAnsi="Work Sans" w:cs="Calibri"/>
                <w:b/>
                <w:i/>
                <w:iCs/>
                <w:color w:val="000000"/>
                <w:sz w:val="12"/>
                <w:szCs w:val="12"/>
              </w:rPr>
            </w:pPr>
            <w:r>
              <w:rPr>
                <w:rFonts w:ascii="Work Sans" w:eastAsia="Calibri" w:hAnsi="Work Sans" w:cs="Calibri"/>
                <w:b/>
                <w:i/>
                <w:iCs/>
                <w:color w:val="000000"/>
                <w:sz w:val="12"/>
                <w:szCs w:val="12"/>
              </w:rPr>
              <w:t>Categoría</w:t>
            </w: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6F13C" w14:textId="77777777" w:rsidR="0089596F" w:rsidRDefault="00E054F8">
            <w:pPr>
              <w:jc w:val="center"/>
              <w:textAlignment w:val="auto"/>
            </w:pPr>
            <w:proofErr w:type="spellStart"/>
            <w:r>
              <w:rPr>
                <w:rFonts w:ascii="Work Sans" w:eastAsia="Calibri" w:hAnsi="Work Sans" w:cs="Calibri"/>
                <w:b/>
                <w:i/>
                <w:iCs/>
                <w:color w:val="000000"/>
                <w:sz w:val="12"/>
                <w:szCs w:val="12"/>
              </w:rPr>
              <w:t>Fosevi</w:t>
            </w:r>
            <w:proofErr w:type="spellEnd"/>
            <w:r>
              <w:rPr>
                <w:rFonts w:ascii="Work Sans" w:hAnsi="Work Sans"/>
                <w:i/>
                <w:iCs/>
                <w:sz w:val="12"/>
                <w:szCs w:val="12"/>
              </w:rPr>
              <w:br/>
            </w:r>
            <w:r>
              <w:rPr>
                <w:rFonts w:ascii="Work Sans" w:eastAsia="Calibri" w:hAnsi="Work Sans" w:cs="Calibri"/>
                <w:b/>
                <w:i/>
                <w:iCs/>
                <w:color w:val="000000"/>
                <w:sz w:val="12"/>
                <w:szCs w:val="12"/>
              </w:rPr>
              <w:t xml:space="preserve"> (a)</w:t>
            </w: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162FC" w14:textId="77777777" w:rsidR="0089596F" w:rsidRDefault="00E054F8">
            <w:pPr>
              <w:jc w:val="center"/>
              <w:textAlignment w:val="auto"/>
            </w:pPr>
            <w:r>
              <w:rPr>
                <w:rFonts w:ascii="Work Sans" w:eastAsia="Calibri" w:hAnsi="Work Sans" w:cs="Calibri"/>
                <w:b/>
                <w:i/>
                <w:iCs/>
                <w:color w:val="000000"/>
                <w:sz w:val="12"/>
                <w:szCs w:val="12"/>
              </w:rPr>
              <w:t>Tarifa Plena</w:t>
            </w:r>
            <w:r>
              <w:rPr>
                <w:rFonts w:ascii="Work Sans" w:hAnsi="Work Sans"/>
                <w:i/>
                <w:iCs/>
                <w:sz w:val="12"/>
                <w:szCs w:val="12"/>
              </w:rPr>
              <w:br/>
            </w:r>
            <w:r>
              <w:rPr>
                <w:rFonts w:ascii="Work Sans" w:eastAsia="Calibri" w:hAnsi="Work Sans" w:cs="Calibri"/>
                <w:b/>
                <w:i/>
                <w:iCs/>
                <w:color w:val="000000"/>
                <w:sz w:val="12"/>
                <w:szCs w:val="12"/>
              </w:rPr>
              <w:t xml:space="preserve"> sin </w:t>
            </w:r>
            <w:proofErr w:type="spellStart"/>
            <w:r>
              <w:rPr>
                <w:rFonts w:ascii="Work Sans" w:eastAsia="Calibri" w:hAnsi="Work Sans" w:cs="Calibri"/>
                <w:b/>
                <w:i/>
                <w:iCs/>
                <w:color w:val="000000"/>
                <w:sz w:val="12"/>
                <w:szCs w:val="12"/>
              </w:rPr>
              <w:t>Fosevi</w:t>
            </w:r>
            <w:proofErr w:type="spellEnd"/>
            <w:r>
              <w:rPr>
                <w:rFonts w:ascii="Work Sans" w:hAnsi="Work Sans"/>
                <w:i/>
                <w:iCs/>
                <w:sz w:val="12"/>
                <w:szCs w:val="12"/>
              </w:rPr>
              <w:br/>
            </w:r>
            <w:r>
              <w:rPr>
                <w:rFonts w:ascii="Work Sans" w:eastAsia="Calibri" w:hAnsi="Work Sans" w:cs="Calibri"/>
                <w:b/>
                <w:i/>
                <w:iCs/>
                <w:color w:val="000000"/>
                <w:sz w:val="12"/>
                <w:szCs w:val="12"/>
              </w:rPr>
              <w:t xml:space="preserve"> (b)</w:t>
            </w: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55BC" w14:textId="77777777" w:rsidR="0089596F" w:rsidRDefault="00E054F8">
            <w:pPr>
              <w:jc w:val="center"/>
              <w:textAlignment w:val="auto"/>
            </w:pPr>
            <w:r>
              <w:rPr>
                <w:rFonts w:ascii="Work Sans" w:eastAsia="Calibri" w:hAnsi="Work Sans" w:cs="Calibri"/>
                <w:b/>
                <w:i/>
                <w:iCs/>
                <w:color w:val="000000"/>
                <w:sz w:val="12"/>
                <w:szCs w:val="12"/>
              </w:rPr>
              <w:t>Tarifa Plena</w:t>
            </w:r>
            <w:r>
              <w:rPr>
                <w:rFonts w:ascii="Work Sans" w:hAnsi="Work Sans"/>
                <w:i/>
                <w:iCs/>
                <w:sz w:val="12"/>
                <w:szCs w:val="12"/>
              </w:rPr>
              <w:br/>
            </w:r>
            <w:r>
              <w:rPr>
                <w:rFonts w:ascii="Work Sans" w:eastAsia="Calibri" w:hAnsi="Work Sans" w:cs="Calibri"/>
                <w:b/>
                <w:i/>
                <w:iCs/>
                <w:color w:val="000000"/>
                <w:sz w:val="12"/>
                <w:szCs w:val="12"/>
              </w:rPr>
              <w:t xml:space="preserve"> con </w:t>
            </w:r>
            <w:proofErr w:type="spellStart"/>
            <w:r>
              <w:rPr>
                <w:rFonts w:ascii="Work Sans" w:eastAsia="Calibri" w:hAnsi="Work Sans" w:cs="Calibri"/>
                <w:b/>
                <w:i/>
                <w:iCs/>
                <w:color w:val="000000"/>
                <w:sz w:val="12"/>
                <w:szCs w:val="12"/>
              </w:rPr>
              <w:t>Fosevi</w:t>
            </w:r>
            <w:proofErr w:type="spellEnd"/>
            <w:r>
              <w:rPr>
                <w:rFonts w:ascii="Work Sans" w:hAnsi="Work Sans"/>
                <w:i/>
                <w:iCs/>
                <w:sz w:val="12"/>
                <w:szCs w:val="12"/>
              </w:rPr>
              <w:br/>
            </w:r>
            <w:r>
              <w:rPr>
                <w:rFonts w:ascii="Work Sans" w:eastAsia="Calibri" w:hAnsi="Work Sans" w:cs="Calibri"/>
                <w:b/>
                <w:i/>
                <w:iCs/>
                <w:color w:val="000000"/>
                <w:sz w:val="12"/>
                <w:szCs w:val="12"/>
              </w:rPr>
              <w:t xml:space="preserve"> (c) = (a) + (b)</w:t>
            </w: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8CE42" w14:textId="77777777" w:rsidR="0089596F" w:rsidRDefault="00E054F8">
            <w:pPr>
              <w:jc w:val="center"/>
              <w:textAlignment w:val="auto"/>
            </w:pPr>
            <w:r>
              <w:rPr>
                <w:rFonts w:ascii="Work Sans" w:eastAsia="Calibri" w:hAnsi="Work Sans" w:cs="Calibri"/>
                <w:b/>
                <w:i/>
                <w:iCs/>
                <w:color w:val="000000"/>
                <w:sz w:val="12"/>
                <w:szCs w:val="12"/>
              </w:rPr>
              <w:t>Tarifa Especial</w:t>
            </w:r>
            <w:r>
              <w:rPr>
                <w:rFonts w:ascii="Work Sans" w:hAnsi="Work Sans"/>
                <w:i/>
                <w:iCs/>
                <w:sz w:val="12"/>
                <w:szCs w:val="12"/>
              </w:rPr>
              <w:br/>
            </w:r>
            <w:r>
              <w:rPr>
                <w:rFonts w:ascii="Work Sans" w:eastAsia="Calibri" w:hAnsi="Work Sans" w:cs="Calibri"/>
                <w:b/>
                <w:i/>
                <w:iCs/>
                <w:color w:val="000000"/>
                <w:sz w:val="12"/>
                <w:szCs w:val="12"/>
              </w:rPr>
              <w:t xml:space="preserve"> sin </w:t>
            </w:r>
            <w:proofErr w:type="spellStart"/>
            <w:r>
              <w:rPr>
                <w:rFonts w:ascii="Work Sans" w:eastAsia="Calibri" w:hAnsi="Work Sans" w:cs="Calibri"/>
                <w:b/>
                <w:i/>
                <w:iCs/>
                <w:color w:val="000000"/>
                <w:sz w:val="12"/>
                <w:szCs w:val="12"/>
              </w:rPr>
              <w:t>Fosevi</w:t>
            </w:r>
            <w:proofErr w:type="spellEnd"/>
            <w:r>
              <w:rPr>
                <w:rFonts w:ascii="Work Sans" w:hAnsi="Work Sans"/>
                <w:i/>
                <w:iCs/>
                <w:sz w:val="12"/>
                <w:szCs w:val="12"/>
              </w:rPr>
              <w:br/>
            </w:r>
            <w:r>
              <w:rPr>
                <w:rFonts w:ascii="Work Sans" w:eastAsia="Calibri" w:hAnsi="Work Sans" w:cs="Calibri"/>
                <w:b/>
                <w:i/>
                <w:iCs/>
                <w:color w:val="000000"/>
                <w:sz w:val="12"/>
                <w:szCs w:val="12"/>
              </w:rPr>
              <w:t xml:space="preserve"> (d)</w:t>
            </w:r>
          </w:p>
        </w:tc>
        <w:tc>
          <w:tcPr>
            <w:tcW w:w="10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DA652" w14:textId="77777777" w:rsidR="0089596F" w:rsidRDefault="00E054F8">
            <w:pPr>
              <w:jc w:val="center"/>
              <w:textAlignment w:val="auto"/>
            </w:pPr>
            <w:r>
              <w:rPr>
                <w:rFonts w:ascii="Work Sans" w:eastAsia="Calibri" w:hAnsi="Work Sans" w:cs="Calibri"/>
                <w:b/>
                <w:i/>
                <w:iCs/>
                <w:color w:val="000000"/>
                <w:sz w:val="12"/>
                <w:szCs w:val="12"/>
              </w:rPr>
              <w:t>Tarifa Especial</w:t>
            </w:r>
            <w:r>
              <w:rPr>
                <w:rFonts w:ascii="Work Sans" w:hAnsi="Work Sans"/>
                <w:i/>
                <w:iCs/>
                <w:sz w:val="12"/>
                <w:szCs w:val="12"/>
              </w:rPr>
              <w:br/>
            </w:r>
            <w:r>
              <w:rPr>
                <w:rFonts w:ascii="Work Sans" w:eastAsia="Calibri" w:hAnsi="Work Sans" w:cs="Calibri"/>
                <w:b/>
                <w:i/>
                <w:iCs/>
                <w:color w:val="000000"/>
                <w:sz w:val="12"/>
                <w:szCs w:val="12"/>
              </w:rPr>
              <w:t xml:space="preserve"> con </w:t>
            </w:r>
            <w:proofErr w:type="spellStart"/>
            <w:r>
              <w:rPr>
                <w:rFonts w:ascii="Work Sans" w:eastAsia="Calibri" w:hAnsi="Work Sans" w:cs="Calibri"/>
                <w:b/>
                <w:i/>
                <w:iCs/>
                <w:color w:val="000000"/>
                <w:sz w:val="12"/>
                <w:szCs w:val="12"/>
              </w:rPr>
              <w:t>Fosevi</w:t>
            </w:r>
            <w:proofErr w:type="spellEnd"/>
            <w:r>
              <w:rPr>
                <w:rFonts w:ascii="Work Sans" w:hAnsi="Work Sans"/>
                <w:i/>
                <w:iCs/>
                <w:sz w:val="12"/>
                <w:szCs w:val="12"/>
              </w:rPr>
              <w:br/>
            </w:r>
            <w:r>
              <w:rPr>
                <w:rFonts w:ascii="Work Sans" w:eastAsia="Calibri" w:hAnsi="Work Sans" w:cs="Calibri"/>
                <w:b/>
                <w:i/>
                <w:iCs/>
                <w:color w:val="000000"/>
                <w:sz w:val="12"/>
                <w:szCs w:val="12"/>
              </w:rPr>
              <w:t xml:space="preserve"> (e) = (a) + (d)</w:t>
            </w:r>
          </w:p>
        </w:tc>
        <w:tc>
          <w:tcPr>
            <w:tcW w:w="1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28ACE" w14:textId="77777777" w:rsidR="0089596F" w:rsidRDefault="00E054F8">
            <w:pPr>
              <w:jc w:val="center"/>
              <w:textAlignment w:val="auto"/>
            </w:pPr>
            <w:r>
              <w:rPr>
                <w:rFonts w:ascii="Work Sans" w:eastAsia="Calibri" w:hAnsi="Work Sans" w:cs="Calibri"/>
                <w:b/>
                <w:i/>
                <w:iCs/>
                <w:color w:val="000000"/>
                <w:sz w:val="12"/>
                <w:szCs w:val="12"/>
              </w:rPr>
              <w:t>Diferencia</w:t>
            </w:r>
            <w:r>
              <w:rPr>
                <w:rFonts w:ascii="Work Sans" w:hAnsi="Work Sans"/>
                <w:i/>
                <w:iCs/>
                <w:sz w:val="12"/>
                <w:szCs w:val="12"/>
              </w:rPr>
              <w:br/>
            </w:r>
            <w:r>
              <w:rPr>
                <w:rFonts w:ascii="Work Sans" w:eastAsia="Calibri" w:hAnsi="Work Sans" w:cs="Calibri"/>
                <w:b/>
                <w:i/>
                <w:iCs/>
                <w:color w:val="000000"/>
                <w:sz w:val="12"/>
                <w:szCs w:val="12"/>
              </w:rPr>
              <w:t xml:space="preserve"> Tarifaria</w:t>
            </w:r>
            <w:r>
              <w:rPr>
                <w:rFonts w:ascii="Work Sans" w:hAnsi="Work Sans"/>
                <w:i/>
                <w:iCs/>
                <w:sz w:val="12"/>
                <w:szCs w:val="12"/>
              </w:rPr>
              <w:br/>
            </w:r>
            <w:r>
              <w:rPr>
                <w:rFonts w:ascii="Work Sans" w:eastAsia="Calibri" w:hAnsi="Work Sans" w:cs="Calibri"/>
                <w:b/>
                <w:i/>
                <w:iCs/>
                <w:color w:val="000000"/>
                <w:sz w:val="12"/>
                <w:szCs w:val="12"/>
              </w:rPr>
              <w:t xml:space="preserve"> (f) = (b) - </w:t>
            </w:r>
            <w:r>
              <w:rPr>
                <w:rFonts w:ascii="Work Sans" w:eastAsia="Calibri" w:hAnsi="Work Sans" w:cs="Calibri"/>
                <w:b/>
                <w:i/>
                <w:iCs/>
                <w:color w:val="000000"/>
                <w:sz w:val="12"/>
                <w:szCs w:val="12"/>
              </w:rPr>
              <w:t>(d)</w:t>
            </w:r>
          </w:p>
        </w:tc>
      </w:tr>
      <w:tr w:rsidR="0089596F" w14:paraId="2D085AC6" w14:textId="77777777">
        <w:tblPrEx>
          <w:tblCellMar>
            <w:top w:w="0" w:type="dxa"/>
            <w:bottom w:w="0" w:type="dxa"/>
          </w:tblCellMar>
        </w:tblPrEx>
        <w:trPr>
          <w:trHeight w:val="206"/>
        </w:trPr>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07C6A" w14:textId="77777777" w:rsidR="0089596F" w:rsidRDefault="00E054F8">
            <w:pPr>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Categoría 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1E9C4"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200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D667"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8.700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AEADB"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8.900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0D1AA"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1.400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83534"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1.600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2E9"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7.300 </w:t>
            </w:r>
          </w:p>
        </w:tc>
      </w:tr>
      <w:tr w:rsidR="0089596F" w14:paraId="2B1BF741" w14:textId="77777777">
        <w:tblPrEx>
          <w:tblCellMar>
            <w:top w:w="0" w:type="dxa"/>
            <w:bottom w:w="0" w:type="dxa"/>
          </w:tblCellMar>
        </w:tblPrEx>
        <w:trPr>
          <w:trHeight w:val="206"/>
        </w:trPr>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F2783" w14:textId="77777777" w:rsidR="0089596F" w:rsidRDefault="00E054F8">
            <w:pPr>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Categoría II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B8E4D"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200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F0546"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9.600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A3E73"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9.800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A8A75"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1.400 </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E8BB0"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1.600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1A8F7" w14:textId="77777777" w:rsidR="0089596F" w:rsidRDefault="00E054F8">
            <w:pPr>
              <w:jc w:val="right"/>
              <w:textAlignment w:val="auto"/>
              <w:rPr>
                <w:rFonts w:ascii="Work Sans" w:eastAsia="Calibri" w:hAnsi="Work Sans" w:cs="Calibri"/>
                <w:i/>
                <w:iCs/>
                <w:color w:val="000000"/>
                <w:sz w:val="12"/>
                <w:szCs w:val="12"/>
              </w:rPr>
            </w:pPr>
            <w:r>
              <w:rPr>
                <w:rFonts w:ascii="Work Sans" w:eastAsia="Calibri" w:hAnsi="Work Sans" w:cs="Calibri"/>
                <w:i/>
                <w:iCs/>
                <w:color w:val="000000"/>
                <w:sz w:val="12"/>
                <w:szCs w:val="12"/>
              </w:rPr>
              <w:t xml:space="preserve"> $        8.200</w:t>
            </w:r>
          </w:p>
        </w:tc>
      </w:tr>
    </w:tbl>
    <w:p w14:paraId="6AE94530" w14:textId="77777777" w:rsidR="0089596F" w:rsidRDefault="0089596F">
      <w:pPr>
        <w:ind w:left="720" w:right="49"/>
        <w:jc w:val="center"/>
        <w:rPr>
          <w:rFonts w:ascii="Work Sans" w:hAnsi="Work Sans" w:cs="Arial"/>
          <w:i/>
          <w:iCs/>
          <w:sz w:val="12"/>
          <w:szCs w:val="12"/>
        </w:rPr>
      </w:pPr>
    </w:p>
    <w:p w14:paraId="121034B5" w14:textId="77777777" w:rsidR="0089596F" w:rsidRDefault="0089596F">
      <w:pPr>
        <w:shd w:val="clear" w:color="auto" w:fill="FFFFFF"/>
        <w:ind w:left="720" w:right="49"/>
        <w:jc w:val="both"/>
        <w:rPr>
          <w:rFonts w:ascii="Work Sans" w:hAnsi="Work Sans" w:cs="Arial"/>
          <w:b/>
          <w:i/>
          <w:iCs/>
          <w:sz w:val="12"/>
          <w:szCs w:val="12"/>
          <w:u w:val="single"/>
        </w:rPr>
      </w:pPr>
    </w:p>
    <w:p w14:paraId="12C2B762" w14:textId="77777777" w:rsidR="0089596F" w:rsidRDefault="00E054F8">
      <w:pPr>
        <w:shd w:val="clear" w:color="auto" w:fill="FFFFFF"/>
        <w:ind w:left="720" w:right="49"/>
        <w:jc w:val="both"/>
        <w:rPr>
          <w:rFonts w:ascii="Work Sans" w:hAnsi="Work Sans" w:cs="Arial"/>
          <w:b/>
          <w:i/>
          <w:iCs/>
          <w:sz w:val="18"/>
          <w:szCs w:val="18"/>
          <w:u w:val="single"/>
        </w:rPr>
      </w:pPr>
      <w:r>
        <w:rPr>
          <w:rFonts w:ascii="Work Sans" w:hAnsi="Work Sans" w:cs="Arial"/>
          <w:b/>
          <w:i/>
          <w:iCs/>
          <w:sz w:val="18"/>
          <w:szCs w:val="18"/>
          <w:u w:val="single"/>
        </w:rPr>
        <w:t>Análisis Financiero</w:t>
      </w:r>
    </w:p>
    <w:p w14:paraId="5301E3D9" w14:textId="77777777" w:rsidR="0089596F" w:rsidRDefault="0089596F">
      <w:pPr>
        <w:shd w:val="clear" w:color="auto" w:fill="FFFFFF"/>
        <w:ind w:left="720" w:right="481"/>
        <w:jc w:val="both"/>
        <w:rPr>
          <w:rFonts w:ascii="Work Sans" w:hAnsi="Work Sans" w:cs="Arial"/>
          <w:i/>
          <w:iCs/>
          <w:sz w:val="18"/>
          <w:szCs w:val="18"/>
          <w:u w:val="single"/>
        </w:rPr>
      </w:pPr>
    </w:p>
    <w:p w14:paraId="0A8ECCFC" w14:textId="77777777" w:rsidR="0089596F" w:rsidRDefault="00E054F8">
      <w:pPr>
        <w:shd w:val="clear" w:color="auto" w:fill="FFFFFF"/>
        <w:ind w:left="720" w:right="481"/>
        <w:jc w:val="both"/>
        <w:rPr>
          <w:rFonts w:ascii="Work Sans" w:hAnsi="Work Sans" w:cs="Arial"/>
          <w:i/>
          <w:iCs/>
          <w:sz w:val="18"/>
          <w:szCs w:val="18"/>
        </w:rPr>
      </w:pPr>
      <w:r>
        <w:rPr>
          <w:rFonts w:ascii="Work Sans" w:hAnsi="Work Sans" w:cs="Arial"/>
          <w:i/>
          <w:iCs/>
          <w:sz w:val="18"/>
          <w:szCs w:val="18"/>
        </w:rPr>
        <w:t xml:space="preserve">En la </w:t>
      </w:r>
      <w:r>
        <w:rPr>
          <w:rFonts w:ascii="Work Sans" w:hAnsi="Work Sans" w:cs="Arial"/>
          <w:i/>
          <w:iCs/>
          <w:sz w:val="18"/>
          <w:szCs w:val="18"/>
        </w:rPr>
        <w:t>tabla de referencias de la Sección 3.2 (c) (</w:t>
      </w:r>
      <w:proofErr w:type="spellStart"/>
      <w:r>
        <w:rPr>
          <w:rFonts w:ascii="Work Sans" w:hAnsi="Work Sans" w:cs="Arial"/>
          <w:i/>
          <w:iCs/>
          <w:sz w:val="18"/>
          <w:szCs w:val="18"/>
        </w:rPr>
        <w:t>iii</w:t>
      </w:r>
      <w:proofErr w:type="spellEnd"/>
      <w:r>
        <w:rPr>
          <w:rFonts w:ascii="Work Sans" w:hAnsi="Work Sans" w:cs="Arial"/>
          <w:i/>
          <w:iCs/>
          <w:sz w:val="18"/>
          <w:szCs w:val="18"/>
        </w:rPr>
        <w:t>) de la Parte Especial del Contrato de Concesión se establecen los mecanismos de pago disponibles para la compensación de menor recaudo, dentro de los cuales se encuentra el originado por el diferencial tarifa</w:t>
      </w:r>
      <w:r>
        <w:rPr>
          <w:rFonts w:ascii="Work Sans" w:hAnsi="Work Sans" w:cs="Arial"/>
          <w:i/>
          <w:iCs/>
          <w:sz w:val="18"/>
          <w:szCs w:val="18"/>
        </w:rPr>
        <w:t>rio de la caseta de peaje Bayunca, así:</w:t>
      </w:r>
    </w:p>
    <w:p w14:paraId="235A8829" w14:textId="77777777" w:rsidR="0089596F" w:rsidRDefault="0089596F">
      <w:pPr>
        <w:shd w:val="clear" w:color="auto" w:fill="FFFFFF"/>
        <w:ind w:left="720" w:right="481"/>
        <w:jc w:val="both"/>
        <w:rPr>
          <w:rFonts w:ascii="Work Sans" w:hAnsi="Work Sans" w:cs="Arial"/>
          <w:i/>
          <w:iCs/>
          <w:sz w:val="18"/>
          <w:szCs w:val="18"/>
        </w:rPr>
      </w:pPr>
    </w:p>
    <w:p w14:paraId="6326519A" w14:textId="77777777" w:rsidR="0089596F" w:rsidRDefault="00E054F8">
      <w:pPr>
        <w:shd w:val="clear" w:color="auto" w:fill="FFFFFF"/>
        <w:ind w:left="1428" w:right="481"/>
        <w:jc w:val="both"/>
      </w:pPr>
      <w:r>
        <w:rPr>
          <w:rFonts w:ascii="Work Sans" w:hAnsi="Work Sans" w:cs="Arial"/>
          <w:i/>
          <w:iCs/>
          <w:sz w:val="18"/>
          <w:szCs w:val="18"/>
        </w:rPr>
        <w:t xml:space="preserve">“Para efectos de este Contrato el orden de los mecanismos para compensar riesgos por menor recaudo serán los siguientes: 1) Subcuenta de excedentes ANI, 2) El mecanismo de </w:t>
      </w:r>
      <w:proofErr w:type="spellStart"/>
      <w:r>
        <w:rPr>
          <w:rFonts w:ascii="Work Sans" w:hAnsi="Work Sans" w:cs="Arial"/>
          <w:b/>
          <w:bCs/>
          <w:i/>
          <w:iCs/>
          <w:sz w:val="18"/>
          <w:szCs w:val="18"/>
        </w:rPr>
        <w:t>VPIPrcpm</w:t>
      </w:r>
      <w:proofErr w:type="spellEnd"/>
      <w:r>
        <w:rPr>
          <w:rFonts w:ascii="Work Sans" w:hAnsi="Work Sans" w:cs="Arial"/>
          <w:i/>
          <w:iCs/>
          <w:sz w:val="18"/>
          <w:szCs w:val="18"/>
        </w:rPr>
        <w:t>, 3) Reducción del Alcance y 4) Las</w:t>
      </w:r>
      <w:r>
        <w:rPr>
          <w:rFonts w:ascii="Work Sans" w:hAnsi="Work Sans" w:cs="Arial"/>
          <w:i/>
          <w:iCs/>
          <w:sz w:val="18"/>
          <w:szCs w:val="18"/>
        </w:rPr>
        <w:t xml:space="preserve"> Partes podrán establecer mecanismos adicionales de Compensación por Riesgo, siempre y cuando los mismos no impliquen el desembolso de recursos públicos”</w:t>
      </w:r>
    </w:p>
    <w:p w14:paraId="50157070" w14:textId="77777777" w:rsidR="0089596F" w:rsidRDefault="0089596F">
      <w:pPr>
        <w:ind w:left="720" w:right="481"/>
        <w:jc w:val="both"/>
        <w:rPr>
          <w:rFonts w:ascii="Work Sans" w:eastAsia="Work Sans" w:hAnsi="Work Sans" w:cs="Work Sans"/>
          <w:i/>
          <w:iCs/>
          <w:color w:val="000000"/>
          <w:sz w:val="18"/>
          <w:szCs w:val="18"/>
        </w:rPr>
      </w:pPr>
    </w:p>
    <w:p w14:paraId="61875D51" w14:textId="77777777" w:rsidR="0089596F" w:rsidRDefault="00E054F8">
      <w:pPr>
        <w:ind w:left="720" w:right="481"/>
        <w:jc w:val="both"/>
        <w:rPr>
          <w:rFonts w:ascii="Work Sans" w:eastAsia="Work Sans" w:hAnsi="Work Sans" w:cs="Work Sans"/>
          <w:i/>
          <w:iCs/>
          <w:color w:val="000000"/>
          <w:sz w:val="18"/>
          <w:szCs w:val="18"/>
        </w:rPr>
      </w:pPr>
      <w:r>
        <w:rPr>
          <w:rFonts w:ascii="Work Sans" w:eastAsia="Work Sans" w:hAnsi="Work Sans" w:cs="Work Sans"/>
          <w:i/>
          <w:iCs/>
          <w:color w:val="000000"/>
          <w:sz w:val="18"/>
          <w:szCs w:val="18"/>
        </w:rPr>
        <w:t>Teniendo en cuenta lo establecido en la Sección 3.6 (a) (</w:t>
      </w:r>
      <w:proofErr w:type="spellStart"/>
      <w:r>
        <w:rPr>
          <w:rFonts w:ascii="Work Sans" w:eastAsia="Work Sans" w:hAnsi="Work Sans" w:cs="Work Sans"/>
          <w:i/>
          <w:iCs/>
          <w:color w:val="000000"/>
          <w:sz w:val="18"/>
          <w:szCs w:val="18"/>
        </w:rPr>
        <w:t>iii</w:t>
      </w:r>
      <w:proofErr w:type="spellEnd"/>
      <w:r>
        <w:rPr>
          <w:rFonts w:ascii="Work Sans" w:eastAsia="Work Sans" w:hAnsi="Work Sans" w:cs="Work Sans"/>
          <w:i/>
          <w:iCs/>
          <w:color w:val="000000"/>
          <w:sz w:val="18"/>
          <w:szCs w:val="18"/>
        </w:rPr>
        <w:t>) (1) de la Parte Especial de Contrato de</w:t>
      </w:r>
      <w:r>
        <w:rPr>
          <w:rFonts w:ascii="Work Sans" w:eastAsia="Work Sans" w:hAnsi="Work Sans" w:cs="Work Sans"/>
          <w:i/>
          <w:iCs/>
          <w:color w:val="000000"/>
          <w:sz w:val="18"/>
          <w:szCs w:val="18"/>
        </w:rPr>
        <w:t xml:space="preserve"> Concesión No. 002 de 2021, el 5% del recaudo debe ser consignado en la Subcuenta Excedentes ANI y los recursos de dicha Subcuenta podrán ser utilizados para pagar los riesgos a cargo de la ANI.</w:t>
      </w:r>
    </w:p>
    <w:p w14:paraId="2113C418" w14:textId="77777777" w:rsidR="0089596F" w:rsidRDefault="00E054F8">
      <w:pPr>
        <w:ind w:left="720" w:right="481"/>
        <w:jc w:val="both"/>
        <w:rPr>
          <w:rFonts w:ascii="Work Sans" w:eastAsia="Work Sans" w:hAnsi="Work Sans" w:cs="Work Sans"/>
          <w:i/>
          <w:iCs/>
          <w:color w:val="000000"/>
          <w:sz w:val="18"/>
          <w:szCs w:val="18"/>
        </w:rPr>
      </w:pPr>
      <w:r>
        <w:rPr>
          <w:rFonts w:ascii="Work Sans" w:eastAsia="Work Sans" w:hAnsi="Work Sans" w:cs="Work Sans"/>
          <w:i/>
          <w:iCs/>
          <w:color w:val="000000"/>
          <w:sz w:val="18"/>
          <w:szCs w:val="18"/>
        </w:rPr>
        <w:t>Para utilizar los recursos de la Subcuenta Excedentes ANI, de</w:t>
      </w:r>
      <w:r>
        <w:rPr>
          <w:rFonts w:ascii="Work Sans" w:eastAsia="Work Sans" w:hAnsi="Work Sans" w:cs="Work Sans"/>
          <w:i/>
          <w:iCs/>
          <w:color w:val="000000"/>
          <w:sz w:val="18"/>
          <w:szCs w:val="18"/>
        </w:rPr>
        <w:t>be tenerse en cuenta que durante el año 2022 se han tenido unos recaudos mensuales en las cinco (5) estaciones de peaje del proyecto (dado que Turbaco no está recaudando en la actualidad) que oscilan entre los $12.000 millones y los $13.700 millones, lo qu</w:t>
      </w:r>
      <w:r>
        <w:rPr>
          <w:rFonts w:ascii="Work Sans" w:eastAsia="Work Sans" w:hAnsi="Work Sans" w:cs="Work Sans"/>
          <w:i/>
          <w:iCs/>
          <w:color w:val="000000"/>
          <w:sz w:val="18"/>
          <w:szCs w:val="18"/>
        </w:rPr>
        <w:t>e daría una cifra a consignar en la Subcuenta Excedentes ANI en promedio entre los $600 millones y los $685 millones mensuales, y entre los $7.200 millones y los $8.220 millones anuales, recursos que se deberán agotar antes de proceder con el siguiente mec</w:t>
      </w:r>
      <w:r>
        <w:rPr>
          <w:rFonts w:ascii="Work Sans" w:eastAsia="Work Sans" w:hAnsi="Work Sans" w:cs="Work Sans"/>
          <w:i/>
          <w:iCs/>
          <w:color w:val="000000"/>
          <w:sz w:val="18"/>
          <w:szCs w:val="18"/>
        </w:rPr>
        <w:t>anismo de compensación.</w:t>
      </w:r>
    </w:p>
    <w:p w14:paraId="0E569421" w14:textId="77777777" w:rsidR="0089596F" w:rsidRDefault="0089596F">
      <w:pPr>
        <w:ind w:left="720" w:right="481"/>
        <w:jc w:val="both"/>
        <w:rPr>
          <w:rFonts w:ascii="Work Sans" w:eastAsia="Work Sans" w:hAnsi="Work Sans" w:cs="Work Sans"/>
          <w:i/>
          <w:iCs/>
          <w:color w:val="000000"/>
          <w:sz w:val="18"/>
          <w:szCs w:val="18"/>
        </w:rPr>
      </w:pPr>
    </w:p>
    <w:p w14:paraId="2A7D6D70" w14:textId="77777777" w:rsidR="0089596F" w:rsidRDefault="00E054F8">
      <w:pPr>
        <w:ind w:left="720" w:right="481"/>
        <w:jc w:val="both"/>
      </w:pPr>
      <w:r>
        <w:rPr>
          <w:rFonts w:ascii="Work Sans" w:eastAsia="Work Sans" w:hAnsi="Work Sans" w:cs="Work Sans"/>
          <w:i/>
          <w:iCs/>
          <w:color w:val="000000"/>
          <w:sz w:val="18"/>
          <w:szCs w:val="18"/>
        </w:rPr>
        <w:t xml:space="preserve">Las partes podrán utilizar el mecanismo mencionado en el numeral 2) de la tabla de referencias </w:t>
      </w:r>
      <w:r>
        <w:rPr>
          <w:rFonts w:ascii="Work Sans" w:hAnsi="Work Sans" w:cs="Arial"/>
          <w:i/>
          <w:iCs/>
          <w:sz w:val="18"/>
          <w:szCs w:val="18"/>
        </w:rPr>
        <w:t>de la Sección 3.2 (c) (</w:t>
      </w:r>
      <w:proofErr w:type="spellStart"/>
      <w:r>
        <w:rPr>
          <w:rFonts w:ascii="Work Sans" w:hAnsi="Work Sans" w:cs="Arial"/>
          <w:i/>
          <w:iCs/>
          <w:sz w:val="18"/>
          <w:szCs w:val="18"/>
        </w:rPr>
        <w:t>iii</w:t>
      </w:r>
      <w:proofErr w:type="spellEnd"/>
      <w:r>
        <w:rPr>
          <w:rFonts w:ascii="Work Sans" w:hAnsi="Work Sans" w:cs="Arial"/>
          <w:i/>
          <w:iCs/>
          <w:sz w:val="18"/>
          <w:szCs w:val="18"/>
        </w:rPr>
        <w:t>) de la Parte Especial del Contrato de Concesión</w:t>
      </w:r>
      <w:r>
        <w:rPr>
          <w:rFonts w:ascii="Work Sans" w:eastAsia="Work Sans" w:hAnsi="Work Sans" w:cs="Work Sans"/>
          <w:i/>
          <w:iCs/>
          <w:color w:val="000000"/>
          <w:sz w:val="18"/>
          <w:szCs w:val="18"/>
        </w:rPr>
        <w:t>, utilizando el VPIP</w:t>
      </w:r>
      <w:r>
        <w:rPr>
          <w:rFonts w:ascii="Cambria Math" w:eastAsia="Work Sans" w:hAnsi="Cambria Math" w:cs="Cambria Math"/>
          <w:i/>
          <w:iCs/>
          <w:color w:val="000000"/>
          <w:sz w:val="18"/>
          <w:szCs w:val="18"/>
        </w:rPr>
        <w:t>𝑟𝑐𝑝𝑚</w:t>
      </w:r>
      <w:r>
        <w:rPr>
          <w:rFonts w:ascii="Work Sans" w:eastAsia="Work Sans" w:hAnsi="Work Sans" w:cs="Work Sans"/>
          <w:i/>
          <w:iCs/>
          <w:color w:val="000000"/>
          <w:sz w:val="18"/>
          <w:szCs w:val="18"/>
        </w:rPr>
        <w:t xml:space="preserve">, hasta con un máximo de 84 </w:t>
      </w:r>
      <w:r>
        <w:rPr>
          <w:rFonts w:ascii="Work Sans" w:eastAsia="Work Sans" w:hAnsi="Work Sans" w:cs="Work Sans"/>
          <w:i/>
          <w:iCs/>
          <w:color w:val="000000"/>
          <w:sz w:val="18"/>
          <w:szCs w:val="18"/>
        </w:rPr>
        <w:t>meses adicionales según lo establecido en la Sección 1.132 de la Parte General y Especial del Contrato de Concesión No. 002 de 2021.</w:t>
      </w:r>
    </w:p>
    <w:p w14:paraId="28DC250D" w14:textId="77777777" w:rsidR="0089596F" w:rsidRDefault="0089596F">
      <w:pPr>
        <w:ind w:left="720" w:right="481"/>
        <w:jc w:val="both"/>
        <w:rPr>
          <w:rFonts w:ascii="Work Sans" w:eastAsia="Work Sans" w:hAnsi="Work Sans" w:cs="Work Sans"/>
          <w:i/>
          <w:iCs/>
          <w:color w:val="000000"/>
          <w:sz w:val="18"/>
          <w:szCs w:val="18"/>
        </w:rPr>
      </w:pPr>
    </w:p>
    <w:p w14:paraId="20862284" w14:textId="77777777" w:rsidR="0089596F" w:rsidRDefault="00E054F8">
      <w:pPr>
        <w:ind w:left="720" w:right="481"/>
        <w:jc w:val="both"/>
        <w:rPr>
          <w:rFonts w:ascii="Work Sans" w:eastAsia="Work Sans" w:hAnsi="Work Sans" w:cs="Work Sans"/>
          <w:i/>
          <w:iCs/>
          <w:color w:val="000000"/>
          <w:sz w:val="18"/>
          <w:szCs w:val="18"/>
          <w:lang w:val="es"/>
        </w:rPr>
      </w:pPr>
      <w:r>
        <w:rPr>
          <w:rFonts w:ascii="Work Sans" w:eastAsia="Work Sans" w:hAnsi="Work Sans" w:cs="Work Sans"/>
          <w:i/>
          <w:iCs/>
          <w:color w:val="000000"/>
          <w:sz w:val="18"/>
          <w:szCs w:val="18"/>
          <w:lang w:val="es"/>
        </w:rPr>
        <w:t>En desarrollo de lo señalado, es importante mencionar que se deberán agotar los recursos de la Subcuenta Excedentes ANI pa</w:t>
      </w:r>
      <w:r>
        <w:rPr>
          <w:rFonts w:ascii="Work Sans" w:eastAsia="Work Sans" w:hAnsi="Work Sans" w:cs="Work Sans"/>
          <w:i/>
          <w:iCs/>
          <w:color w:val="000000"/>
          <w:sz w:val="18"/>
          <w:szCs w:val="18"/>
          <w:lang w:val="es"/>
        </w:rPr>
        <w:t>ra proceder a utilizar los demás mecanismos de compensación en el orden establecido contractualmente, por lo cual se hace necesario realizar un monitoreo periódico de las compensaciones materializadas con el fin de conservar esta suficiencia.</w:t>
      </w:r>
    </w:p>
    <w:p w14:paraId="54E6DDAC" w14:textId="77777777" w:rsidR="0089596F" w:rsidRDefault="0089596F">
      <w:pPr>
        <w:ind w:left="720" w:right="481"/>
        <w:jc w:val="both"/>
        <w:rPr>
          <w:rFonts w:ascii="Work Sans" w:eastAsia="Arial" w:hAnsi="Work Sans" w:cs="Arial"/>
          <w:i/>
          <w:iCs/>
          <w:sz w:val="18"/>
          <w:szCs w:val="18"/>
          <w:lang w:val="es"/>
        </w:rPr>
      </w:pPr>
    </w:p>
    <w:p w14:paraId="37D2E068" w14:textId="77777777" w:rsidR="0089596F" w:rsidRDefault="00E054F8">
      <w:pPr>
        <w:shd w:val="clear" w:color="auto" w:fill="FFFFFF"/>
        <w:ind w:left="720" w:right="481"/>
        <w:jc w:val="both"/>
        <w:rPr>
          <w:rFonts w:ascii="Work Sans" w:hAnsi="Work Sans" w:cs="Arial"/>
          <w:b/>
          <w:i/>
          <w:iCs/>
          <w:sz w:val="18"/>
          <w:szCs w:val="18"/>
          <w:u w:val="single"/>
        </w:rPr>
      </w:pPr>
      <w:r>
        <w:rPr>
          <w:rFonts w:ascii="Work Sans" w:hAnsi="Work Sans" w:cs="Arial"/>
          <w:b/>
          <w:i/>
          <w:iCs/>
          <w:sz w:val="18"/>
          <w:szCs w:val="18"/>
          <w:u w:val="single"/>
        </w:rPr>
        <w:t xml:space="preserve">Análisis de </w:t>
      </w:r>
      <w:r>
        <w:rPr>
          <w:rFonts w:ascii="Work Sans" w:hAnsi="Work Sans" w:cs="Arial"/>
          <w:b/>
          <w:i/>
          <w:iCs/>
          <w:sz w:val="18"/>
          <w:szCs w:val="18"/>
          <w:u w:val="single"/>
        </w:rPr>
        <w:t>riesgos</w:t>
      </w:r>
    </w:p>
    <w:p w14:paraId="2FF7D637" w14:textId="77777777" w:rsidR="0089596F" w:rsidRDefault="0089596F">
      <w:pPr>
        <w:spacing w:line="254" w:lineRule="auto"/>
        <w:ind w:left="720" w:right="481"/>
        <w:jc w:val="both"/>
        <w:rPr>
          <w:rFonts w:ascii="Work Sans" w:eastAsia="Calibri" w:hAnsi="Work Sans" w:cs="Calibri"/>
          <w:i/>
          <w:iCs/>
          <w:sz w:val="18"/>
          <w:szCs w:val="18"/>
          <w:lang w:val="es-MX"/>
        </w:rPr>
      </w:pPr>
    </w:p>
    <w:p w14:paraId="51E1CD0D" w14:textId="77777777" w:rsidR="0089596F" w:rsidRDefault="00E054F8">
      <w:pPr>
        <w:spacing w:line="254" w:lineRule="auto"/>
        <w:ind w:left="720" w:right="481"/>
        <w:jc w:val="both"/>
        <w:rPr>
          <w:rFonts w:ascii="Work Sans" w:eastAsia="Calibri" w:hAnsi="Work Sans" w:cs="Calibri"/>
          <w:i/>
          <w:iCs/>
          <w:sz w:val="18"/>
          <w:szCs w:val="18"/>
          <w:lang w:val="es-MX"/>
        </w:rPr>
      </w:pPr>
      <w:bookmarkStart w:id="10" w:name="_Hlk103937622"/>
      <w:r>
        <w:rPr>
          <w:rFonts w:ascii="Work Sans" w:eastAsia="Calibri" w:hAnsi="Work Sans" w:cs="Calibri"/>
          <w:i/>
          <w:iCs/>
          <w:sz w:val="18"/>
          <w:szCs w:val="18"/>
          <w:lang w:val="es-MX"/>
        </w:rPr>
        <w:t xml:space="preserve">En la estructuración del proyecto fue puesto en conocimiento del Ministerio de Hacienda una identificación y valoración de riesgos, en cuya matriz se identificó el </w:t>
      </w:r>
      <w:r>
        <w:rPr>
          <w:rFonts w:ascii="Work Sans" w:eastAsia="Calibri" w:hAnsi="Work Sans" w:cs="Calibri"/>
          <w:i/>
          <w:iCs/>
          <w:sz w:val="18"/>
          <w:szCs w:val="18"/>
          <w:lang w:val="es-MX"/>
        </w:rPr>
        <w:lastRenderedPageBreak/>
        <w:t>cambio en la estructura tarifaria como un riesgo asignado al público con probabilid</w:t>
      </w:r>
      <w:r>
        <w:rPr>
          <w:rFonts w:ascii="Work Sans" w:eastAsia="Calibri" w:hAnsi="Work Sans" w:cs="Calibri"/>
          <w:i/>
          <w:iCs/>
          <w:sz w:val="18"/>
          <w:szCs w:val="18"/>
          <w:lang w:val="es-MX"/>
        </w:rPr>
        <w:t>ad medio baja e impacto medio alto, este último debido a la afectación de los ingresos del contratista. El originador del proyecto previó las tarifas diferenciales en zonas de influencia urbana.</w:t>
      </w:r>
    </w:p>
    <w:p w14:paraId="5E845A17" w14:textId="77777777" w:rsidR="0089596F" w:rsidRDefault="0089596F">
      <w:pPr>
        <w:spacing w:line="254" w:lineRule="auto"/>
        <w:ind w:left="720" w:right="481"/>
        <w:jc w:val="both"/>
        <w:rPr>
          <w:rFonts w:ascii="Work Sans" w:eastAsia="Calibri" w:hAnsi="Work Sans" w:cs="Calibri"/>
          <w:i/>
          <w:iCs/>
          <w:sz w:val="18"/>
          <w:szCs w:val="18"/>
          <w:lang w:val="es-MX"/>
        </w:rPr>
      </w:pPr>
    </w:p>
    <w:p w14:paraId="1681138D" w14:textId="77777777" w:rsidR="0089596F" w:rsidRDefault="00E054F8">
      <w:pPr>
        <w:spacing w:line="254" w:lineRule="auto"/>
        <w:ind w:left="720" w:right="481"/>
        <w:jc w:val="both"/>
        <w:rPr>
          <w:rFonts w:ascii="Work Sans" w:eastAsia="Calibri" w:hAnsi="Work Sans" w:cs="Calibri"/>
          <w:i/>
          <w:iCs/>
          <w:sz w:val="18"/>
          <w:szCs w:val="18"/>
          <w:lang w:val="es-MX"/>
        </w:rPr>
      </w:pPr>
      <w:r>
        <w:rPr>
          <w:rFonts w:ascii="Work Sans" w:eastAsia="Calibri" w:hAnsi="Work Sans" w:cs="Calibri"/>
          <w:i/>
          <w:iCs/>
          <w:sz w:val="18"/>
          <w:szCs w:val="18"/>
          <w:lang w:val="es-MX"/>
        </w:rPr>
        <w:t xml:space="preserve">De conformidad con la sección 13.3 Riesgos de la ANI, </w:t>
      </w:r>
      <w:r>
        <w:rPr>
          <w:rFonts w:ascii="Work Sans" w:eastAsia="Calibri" w:hAnsi="Work Sans" w:cs="Calibri"/>
          <w:i/>
          <w:iCs/>
          <w:sz w:val="18"/>
          <w:szCs w:val="18"/>
          <w:lang w:val="es-MX"/>
        </w:rPr>
        <w:t>literal e) “los efectos desfavorables de modificaciones a las tarifas previstas en la Resolución de Peaje, la implementación de tarifas diferenciales en las Estaciones de Peaje existentes y/o nuevas Estaciones de Peaje, en las vías que hacen parte del Proy</w:t>
      </w:r>
      <w:r>
        <w:rPr>
          <w:rFonts w:ascii="Work Sans" w:eastAsia="Calibri" w:hAnsi="Work Sans" w:cs="Calibri"/>
          <w:i/>
          <w:iCs/>
          <w:sz w:val="18"/>
          <w:szCs w:val="18"/>
          <w:lang w:val="es-MX"/>
        </w:rPr>
        <w:t xml:space="preserve">ecto o, en general, cualquier cambio en la estructura tarifaria prevista en la Resolución de Peaje. Para efectos de compensar el Valor de la Materialización de este Riesgo, se hará uso de los Mecanismos para la Compensación por Riesgos, contemplados en la </w:t>
      </w:r>
      <w:r>
        <w:rPr>
          <w:rFonts w:ascii="Work Sans" w:eastAsia="Calibri" w:hAnsi="Work Sans" w:cs="Calibri"/>
          <w:i/>
          <w:iCs/>
          <w:sz w:val="18"/>
          <w:szCs w:val="18"/>
          <w:lang w:val="es-MX"/>
        </w:rPr>
        <w:t xml:space="preserve">tabla de referencias de la Parte Especial del Contrato de Concesión que indica: “Para efectos de este contrato el orden de los mecanismos para compensar riesgos por menor recaudo serán los siguientes: 1) Subcuenta de excedentes ANI, 2) El mecanismo de </w:t>
      </w:r>
      <w:proofErr w:type="spellStart"/>
      <w:r>
        <w:rPr>
          <w:rFonts w:ascii="Work Sans" w:eastAsia="Calibri" w:hAnsi="Work Sans" w:cs="Calibri"/>
          <w:i/>
          <w:iCs/>
          <w:sz w:val="18"/>
          <w:szCs w:val="18"/>
          <w:lang w:val="es-MX"/>
        </w:rPr>
        <w:t>VPIP</w:t>
      </w:r>
      <w:r>
        <w:rPr>
          <w:rFonts w:ascii="Work Sans" w:eastAsia="Calibri" w:hAnsi="Work Sans" w:cs="Calibri"/>
          <w:i/>
          <w:iCs/>
          <w:sz w:val="18"/>
          <w:szCs w:val="18"/>
          <w:lang w:val="es-MX"/>
        </w:rPr>
        <w:t>rcpm</w:t>
      </w:r>
      <w:proofErr w:type="spellEnd"/>
      <w:r>
        <w:rPr>
          <w:rFonts w:ascii="Work Sans" w:eastAsia="Calibri" w:hAnsi="Work Sans" w:cs="Calibri"/>
          <w:i/>
          <w:iCs/>
          <w:sz w:val="18"/>
          <w:szCs w:val="18"/>
          <w:lang w:val="es-MX"/>
        </w:rPr>
        <w:t>. , 3) Reducción del Alcance y 4) Las Partes podrán establecer mecanismos adicionales de Compensación por Riesgo, siempre y cuando los mismos no impliquen el desembolso de recursos públicos”</w:t>
      </w:r>
    </w:p>
    <w:p w14:paraId="70D7D0FA" w14:textId="77777777" w:rsidR="0089596F" w:rsidRDefault="0089596F">
      <w:pPr>
        <w:spacing w:line="254" w:lineRule="auto"/>
        <w:ind w:left="720" w:right="481"/>
        <w:jc w:val="both"/>
        <w:rPr>
          <w:rFonts w:ascii="Work Sans" w:eastAsia="Calibri" w:hAnsi="Work Sans" w:cs="Calibri"/>
          <w:i/>
          <w:iCs/>
          <w:sz w:val="18"/>
          <w:szCs w:val="18"/>
          <w:lang w:val="es-MX"/>
        </w:rPr>
      </w:pPr>
    </w:p>
    <w:p w14:paraId="2278EEF9" w14:textId="77777777" w:rsidR="0089596F" w:rsidRDefault="00E054F8">
      <w:pPr>
        <w:spacing w:line="254" w:lineRule="auto"/>
        <w:ind w:left="720" w:right="481"/>
        <w:jc w:val="both"/>
        <w:rPr>
          <w:rFonts w:ascii="Work Sans" w:eastAsia="Calibri" w:hAnsi="Work Sans" w:cs="Calibri"/>
          <w:i/>
          <w:iCs/>
          <w:sz w:val="18"/>
          <w:szCs w:val="18"/>
          <w:lang w:val="es-MX"/>
        </w:rPr>
      </w:pPr>
      <w:r>
        <w:rPr>
          <w:rFonts w:ascii="Work Sans" w:eastAsia="Calibri" w:hAnsi="Work Sans" w:cs="Calibri"/>
          <w:i/>
          <w:iCs/>
          <w:sz w:val="18"/>
          <w:szCs w:val="18"/>
          <w:lang w:val="es-MX"/>
        </w:rPr>
        <w:t>Lo anterior, es ratificado en los fundamentos financieros, d</w:t>
      </w:r>
      <w:r>
        <w:rPr>
          <w:rFonts w:ascii="Work Sans" w:eastAsia="Calibri" w:hAnsi="Work Sans" w:cs="Calibri"/>
          <w:i/>
          <w:iCs/>
          <w:sz w:val="18"/>
          <w:szCs w:val="18"/>
          <w:lang w:val="es-MX"/>
        </w:rPr>
        <w:t xml:space="preserve">onde se incluye la subcuenta excedentes ANI y el </w:t>
      </w:r>
      <w:proofErr w:type="spellStart"/>
      <w:r>
        <w:rPr>
          <w:rFonts w:ascii="Work Sans" w:eastAsia="Calibri" w:hAnsi="Work Sans" w:cs="Calibri"/>
          <w:i/>
          <w:iCs/>
          <w:sz w:val="18"/>
          <w:szCs w:val="18"/>
          <w:lang w:val="es-MX"/>
        </w:rPr>
        <w:t>VPIPrcpm</w:t>
      </w:r>
      <w:proofErr w:type="spellEnd"/>
      <w:r>
        <w:rPr>
          <w:rFonts w:ascii="Work Sans" w:eastAsia="Calibri" w:hAnsi="Work Sans" w:cs="Calibri"/>
          <w:i/>
          <w:iCs/>
          <w:sz w:val="18"/>
          <w:szCs w:val="18"/>
          <w:lang w:val="es-MX"/>
        </w:rPr>
        <w:t xml:space="preserve"> cómo mecanismos de compensación ante la aplicación de las tarifas diferenciales propuestas, advirtiendo la necesidad de un monitoreo constante de los mismos.</w:t>
      </w:r>
    </w:p>
    <w:p w14:paraId="14748C85" w14:textId="77777777" w:rsidR="0089596F" w:rsidRDefault="0089596F">
      <w:pPr>
        <w:spacing w:line="254" w:lineRule="auto"/>
        <w:ind w:left="720" w:right="481"/>
        <w:jc w:val="both"/>
        <w:rPr>
          <w:rFonts w:ascii="Work Sans" w:eastAsia="Calibri" w:hAnsi="Work Sans" w:cs="Calibri"/>
          <w:i/>
          <w:iCs/>
          <w:sz w:val="18"/>
          <w:szCs w:val="18"/>
          <w:lang w:val="es-MX"/>
        </w:rPr>
      </w:pPr>
    </w:p>
    <w:p w14:paraId="563F776C" w14:textId="77777777" w:rsidR="0089596F" w:rsidRDefault="00E054F8">
      <w:pPr>
        <w:ind w:left="720" w:right="481"/>
        <w:jc w:val="both"/>
        <w:rPr>
          <w:rFonts w:ascii="Work Sans" w:eastAsia="Calibri" w:hAnsi="Work Sans" w:cs="Calibri"/>
          <w:i/>
          <w:iCs/>
          <w:sz w:val="18"/>
          <w:szCs w:val="18"/>
          <w:lang w:val="es-MX"/>
        </w:rPr>
      </w:pPr>
      <w:r>
        <w:rPr>
          <w:rFonts w:ascii="Work Sans" w:eastAsia="Calibri" w:hAnsi="Work Sans" w:cs="Calibri"/>
          <w:i/>
          <w:iCs/>
          <w:sz w:val="18"/>
          <w:szCs w:val="18"/>
          <w:lang w:val="es-MX"/>
        </w:rPr>
        <w:t>En conclusión, se considera que desde e</w:t>
      </w:r>
      <w:r>
        <w:rPr>
          <w:rFonts w:ascii="Work Sans" w:eastAsia="Calibri" w:hAnsi="Work Sans" w:cs="Calibri"/>
          <w:i/>
          <w:iCs/>
          <w:sz w:val="18"/>
          <w:szCs w:val="18"/>
          <w:lang w:val="es-MX"/>
        </w:rPr>
        <w:t xml:space="preserve">l punto de vista de riesgos el otorgamiento del beneficio de tarifa diferencial para las Categorías I y II de la Estación de Peaje Bayunca no altera la asignación del riesgo del contrato y, bajo ese entendido, procede la compensación del riesgo asociado a </w:t>
      </w:r>
      <w:r>
        <w:rPr>
          <w:rFonts w:ascii="Work Sans" w:eastAsia="Calibri" w:hAnsi="Work Sans" w:cs="Calibri"/>
          <w:i/>
          <w:iCs/>
          <w:sz w:val="18"/>
          <w:szCs w:val="18"/>
          <w:lang w:val="es-MX"/>
        </w:rPr>
        <w:t>las nuevas tarifas especiales mencionadas.</w:t>
      </w:r>
    </w:p>
    <w:bookmarkEnd w:id="10"/>
    <w:p w14:paraId="5BD55169" w14:textId="77777777" w:rsidR="0089596F" w:rsidRDefault="0089596F">
      <w:pPr>
        <w:ind w:left="720" w:right="481"/>
        <w:jc w:val="both"/>
        <w:rPr>
          <w:rFonts w:ascii="Work Sans" w:eastAsia="Calibri" w:hAnsi="Work Sans" w:cs="Calibri"/>
          <w:i/>
          <w:iCs/>
          <w:sz w:val="18"/>
          <w:szCs w:val="18"/>
          <w:lang w:val="es-MX"/>
        </w:rPr>
      </w:pPr>
    </w:p>
    <w:p w14:paraId="21A1078E" w14:textId="77777777" w:rsidR="0089596F" w:rsidRDefault="00E054F8">
      <w:pPr>
        <w:pStyle w:val="Prrafodelista"/>
        <w:numPr>
          <w:ilvl w:val="0"/>
          <w:numId w:val="22"/>
        </w:numPr>
        <w:ind w:right="481" w:firstLine="476"/>
        <w:jc w:val="both"/>
        <w:textAlignment w:val="auto"/>
        <w:rPr>
          <w:rFonts w:ascii="Work Sans" w:hAnsi="Work Sans" w:cs="Arial"/>
          <w:b/>
          <w:bCs/>
          <w:i/>
          <w:iCs/>
          <w:sz w:val="18"/>
          <w:szCs w:val="18"/>
        </w:rPr>
      </w:pPr>
      <w:r>
        <w:rPr>
          <w:rFonts w:ascii="Work Sans" w:hAnsi="Work Sans" w:cs="Arial"/>
          <w:b/>
          <w:bCs/>
          <w:i/>
          <w:iCs/>
          <w:sz w:val="18"/>
          <w:szCs w:val="18"/>
        </w:rPr>
        <w:t>Concepto Interventoría</w:t>
      </w:r>
    </w:p>
    <w:p w14:paraId="39ABA755" w14:textId="77777777" w:rsidR="0089596F" w:rsidRDefault="0089596F">
      <w:pPr>
        <w:ind w:left="720" w:right="481"/>
        <w:jc w:val="both"/>
        <w:rPr>
          <w:rFonts w:ascii="Work Sans" w:hAnsi="Work Sans" w:cs="Arial"/>
          <w:b/>
          <w:bCs/>
          <w:i/>
          <w:iCs/>
          <w:sz w:val="18"/>
          <w:szCs w:val="18"/>
        </w:rPr>
      </w:pPr>
    </w:p>
    <w:p w14:paraId="093F2C11" w14:textId="77777777" w:rsidR="0089596F" w:rsidRDefault="00E054F8">
      <w:pPr>
        <w:pStyle w:val="paragraph"/>
        <w:spacing w:before="0" w:after="0"/>
        <w:ind w:left="720" w:right="481"/>
        <w:jc w:val="both"/>
        <w:textAlignment w:val="baseline"/>
      </w:pPr>
      <w:r>
        <w:rPr>
          <w:rStyle w:val="normaltextrun"/>
          <w:rFonts w:ascii="Work Sans" w:hAnsi="Work Sans" w:cs="Segoe UI"/>
          <w:i/>
          <w:iCs/>
          <w:color w:val="000000"/>
          <w:sz w:val="18"/>
          <w:szCs w:val="18"/>
          <w:lang w:val="es-ES"/>
        </w:rPr>
        <w:t>Mediante oficio CICMV-OP-VE-557-2021-0214 con radicado ANI No. 20224090551972 del 17 de mayo de 2022, la Interventoría Consorcio Malla Vial emitió concepto en los siguientes términos: </w:t>
      </w:r>
      <w:r>
        <w:rPr>
          <w:rStyle w:val="eop"/>
          <w:rFonts w:ascii="Work Sans" w:hAnsi="Work Sans"/>
          <w:i/>
          <w:iCs/>
          <w:color w:val="000000"/>
          <w:sz w:val="18"/>
          <w:szCs w:val="18"/>
        </w:rPr>
        <w:t> </w:t>
      </w:r>
    </w:p>
    <w:p w14:paraId="578A46E4" w14:textId="77777777" w:rsidR="0089596F" w:rsidRDefault="00E054F8">
      <w:pPr>
        <w:pStyle w:val="paragraph"/>
        <w:spacing w:before="0" w:after="0"/>
        <w:ind w:left="720" w:right="481"/>
        <w:jc w:val="both"/>
        <w:textAlignment w:val="baseline"/>
      </w:pPr>
      <w:r>
        <w:rPr>
          <w:rStyle w:val="eop"/>
          <w:rFonts w:ascii="Work Sans" w:hAnsi="Work Sans"/>
          <w:i/>
          <w:iCs/>
          <w:color w:val="000000"/>
          <w:sz w:val="18"/>
          <w:szCs w:val="18"/>
        </w:rPr>
        <w:t> </w:t>
      </w:r>
      <w:r>
        <w:rPr>
          <w:rStyle w:val="normaltextrun"/>
          <w:rFonts w:ascii="Work Sans" w:hAnsi="Work Sans" w:cs="Segoe UI"/>
          <w:i/>
          <w:iCs/>
          <w:color w:val="000000"/>
          <w:sz w:val="18"/>
          <w:szCs w:val="18"/>
          <w:lang w:val="es-ES"/>
        </w:rPr>
        <w:t>“</w:t>
      </w:r>
      <w:r>
        <w:rPr>
          <w:rStyle w:val="normaltextrun"/>
          <w:rFonts w:ascii="Work Sans" w:hAnsi="Work Sans" w:cs="Segoe UI"/>
          <w:i/>
          <w:iCs/>
          <w:color w:val="000000"/>
          <w:sz w:val="18"/>
          <w:szCs w:val="18"/>
          <w:lang w:val="es-ES"/>
        </w:rPr>
        <w:t>(…)Ahora, el otorgamiento de tarifas diferenciales, adicional a la compensación</w:t>
      </w:r>
      <w:r>
        <w:rPr>
          <w:rStyle w:val="normaltextrun"/>
          <w:rFonts w:ascii="Work Sans" w:hAnsi="Work Sans" w:cs="Segoe UI"/>
          <w:i/>
          <w:iCs/>
          <w:color w:val="D13438"/>
          <w:sz w:val="18"/>
          <w:szCs w:val="18"/>
          <w:lang w:val="es-ES"/>
        </w:rPr>
        <w:t xml:space="preserve"> </w:t>
      </w:r>
      <w:r>
        <w:rPr>
          <w:rStyle w:val="normaltextrun"/>
          <w:rFonts w:ascii="Work Sans" w:hAnsi="Work Sans" w:cs="Segoe UI"/>
          <w:i/>
          <w:iCs/>
          <w:color w:val="000000"/>
          <w:sz w:val="18"/>
          <w:szCs w:val="18"/>
          <w:lang w:val="es-ES"/>
        </w:rPr>
        <w:t>que deberá realizarse al Concesionario, tienen efecto en relación a los recursos que se prevé recaudar y trasladar a la Subcuenta Excedentes ANI y la Subcuenta de Depósito Espe</w:t>
      </w:r>
      <w:r>
        <w:rPr>
          <w:rStyle w:val="normaltextrun"/>
          <w:rFonts w:ascii="Work Sans" w:hAnsi="Work Sans" w:cs="Segoe UI"/>
          <w:i/>
          <w:iCs/>
          <w:color w:val="000000"/>
          <w:sz w:val="18"/>
          <w:szCs w:val="18"/>
          <w:lang w:val="es-ES"/>
        </w:rPr>
        <w:t>cial, ya que de acuerdo con lo previsto en la Sección 4.2 de la Parte Especial, este deberá calcularse con base a las tarifas contractualmente pactadas, queriendo ello significar que, de reducirse el monto de los recaudos a causa del otorgamiento de las ta</w:t>
      </w:r>
      <w:r>
        <w:rPr>
          <w:rStyle w:val="normaltextrun"/>
          <w:rFonts w:ascii="Work Sans" w:hAnsi="Work Sans" w:cs="Segoe UI"/>
          <w:i/>
          <w:iCs/>
          <w:color w:val="000000"/>
          <w:sz w:val="18"/>
          <w:szCs w:val="18"/>
          <w:lang w:val="es-ES"/>
        </w:rPr>
        <w:t>rifas diferenciales, se reducirá a su vez, el valor esperado a trasladarse a dichas subcuentas.</w:t>
      </w:r>
      <w:r>
        <w:rPr>
          <w:rStyle w:val="normaltextrun"/>
          <w:i/>
          <w:iCs/>
          <w:color w:val="000000"/>
          <w:sz w:val="18"/>
          <w:szCs w:val="18"/>
          <w:lang w:val="es-ES"/>
        </w:rPr>
        <w:t>  </w:t>
      </w:r>
      <w:r>
        <w:rPr>
          <w:rStyle w:val="normaltextrun"/>
          <w:rFonts w:ascii="Work Sans" w:hAnsi="Work Sans" w:cs="Segoe UI"/>
          <w:i/>
          <w:iCs/>
          <w:sz w:val="18"/>
          <w:szCs w:val="18"/>
          <w:lang w:val="es-ES"/>
        </w:rPr>
        <w:t> </w:t>
      </w:r>
    </w:p>
    <w:p w14:paraId="6ECE73F0" w14:textId="77777777" w:rsidR="0089596F" w:rsidRDefault="00E054F8">
      <w:pPr>
        <w:pStyle w:val="paragraph"/>
        <w:ind w:left="1429" w:right="481"/>
        <w:jc w:val="both"/>
      </w:pPr>
      <w:r>
        <w:rPr>
          <w:rStyle w:val="normaltextrun"/>
          <w:rFonts w:ascii="Work Sans" w:hAnsi="Work Sans" w:cs="Segoe UI"/>
          <w:i/>
          <w:iCs/>
          <w:color w:val="000000"/>
          <w:sz w:val="18"/>
          <w:szCs w:val="18"/>
          <w:lang w:val="es-ES"/>
        </w:rPr>
        <w:t>Todo lo anterior, pone de presente el efecto que ocasionaría el eventual otorgamiento de las tarifas diferenciales, desde un punto de vista contractual y fin</w:t>
      </w:r>
      <w:r>
        <w:rPr>
          <w:rStyle w:val="normaltextrun"/>
          <w:rFonts w:ascii="Work Sans" w:hAnsi="Work Sans" w:cs="Segoe UI"/>
          <w:i/>
          <w:iCs/>
          <w:color w:val="000000"/>
          <w:sz w:val="18"/>
          <w:szCs w:val="18"/>
          <w:lang w:val="es-ES"/>
        </w:rPr>
        <w:t>anciero, a partir de la información disponible para esta Interventoría, al menos en este momento.</w:t>
      </w:r>
      <w:r>
        <w:rPr>
          <w:rStyle w:val="normaltextrun"/>
          <w:i/>
          <w:iCs/>
          <w:color w:val="000000"/>
          <w:sz w:val="18"/>
          <w:szCs w:val="18"/>
          <w:lang w:val="es-ES"/>
        </w:rPr>
        <w:t> </w:t>
      </w:r>
      <w:r>
        <w:rPr>
          <w:rStyle w:val="normaltextrun"/>
          <w:rFonts w:ascii="Work Sans" w:hAnsi="Work Sans" w:cs="Segoe UI"/>
          <w:i/>
          <w:iCs/>
          <w:sz w:val="18"/>
          <w:szCs w:val="18"/>
          <w:lang w:val="es-ES"/>
        </w:rPr>
        <w:t> </w:t>
      </w:r>
    </w:p>
    <w:p w14:paraId="0142B999" w14:textId="77777777" w:rsidR="0089596F" w:rsidRDefault="00E054F8">
      <w:pPr>
        <w:pStyle w:val="paragraph"/>
        <w:ind w:left="1429" w:right="481"/>
        <w:jc w:val="both"/>
      </w:pPr>
      <w:r>
        <w:rPr>
          <w:rStyle w:val="normaltextrun"/>
          <w:rFonts w:ascii="Work Sans" w:hAnsi="Work Sans" w:cs="Segoe UI"/>
          <w:i/>
          <w:iCs/>
          <w:color w:val="000000"/>
          <w:sz w:val="18"/>
          <w:szCs w:val="18"/>
          <w:lang w:val="es-ES"/>
        </w:rPr>
        <w:t>En lo que atañe al ámbito social, esta Interventoría conoce de los diálogos que ha venido adelantando con líderes sociales de Clemencia, Bayunca y Santa Cat</w:t>
      </w:r>
      <w:r>
        <w:rPr>
          <w:rStyle w:val="normaltextrun"/>
          <w:rFonts w:ascii="Work Sans" w:hAnsi="Work Sans" w:cs="Segoe UI"/>
          <w:i/>
          <w:iCs/>
          <w:color w:val="000000"/>
          <w:sz w:val="18"/>
          <w:szCs w:val="18"/>
          <w:lang w:val="es-ES"/>
        </w:rPr>
        <w:t>alina; quienes expresan en los encuentros de concertación la necesidad de disminuir el costo del pago de un peaje que han venido realizando por muchos años y se consideran económicamente afectados por la dificultad de comercializar los productos que cultiv</w:t>
      </w:r>
      <w:r>
        <w:rPr>
          <w:rStyle w:val="normaltextrun"/>
          <w:rFonts w:ascii="Work Sans" w:hAnsi="Work Sans" w:cs="Segoe UI"/>
          <w:i/>
          <w:iCs/>
          <w:color w:val="000000"/>
          <w:sz w:val="18"/>
          <w:szCs w:val="18"/>
          <w:lang w:val="es-ES"/>
        </w:rPr>
        <w:t xml:space="preserve">an debido al alto costo del transporte de </w:t>
      </w:r>
      <w:proofErr w:type="gramStart"/>
      <w:r>
        <w:rPr>
          <w:rStyle w:val="normaltextrun"/>
          <w:rFonts w:ascii="Work Sans" w:hAnsi="Work Sans" w:cs="Segoe UI"/>
          <w:i/>
          <w:iCs/>
          <w:color w:val="000000"/>
          <w:sz w:val="18"/>
          <w:szCs w:val="18"/>
          <w:lang w:val="es-ES"/>
        </w:rPr>
        <w:t>los mismos</w:t>
      </w:r>
      <w:proofErr w:type="gramEnd"/>
      <w:r>
        <w:rPr>
          <w:rStyle w:val="normaltextrun"/>
          <w:rFonts w:ascii="Work Sans" w:hAnsi="Work Sans" w:cs="Segoe UI"/>
          <w:i/>
          <w:iCs/>
          <w:color w:val="000000"/>
          <w:sz w:val="18"/>
          <w:szCs w:val="18"/>
          <w:lang w:val="es-ES"/>
        </w:rPr>
        <w:t>.</w:t>
      </w:r>
      <w:r>
        <w:rPr>
          <w:rStyle w:val="normaltextrun"/>
          <w:i/>
          <w:iCs/>
          <w:color w:val="000000"/>
          <w:sz w:val="18"/>
          <w:szCs w:val="18"/>
          <w:lang w:val="es-ES"/>
        </w:rPr>
        <w:t>  </w:t>
      </w:r>
      <w:r>
        <w:rPr>
          <w:rStyle w:val="normaltextrun"/>
          <w:rFonts w:ascii="Work Sans" w:hAnsi="Work Sans" w:cs="Segoe UI"/>
          <w:i/>
          <w:iCs/>
          <w:sz w:val="18"/>
          <w:szCs w:val="18"/>
          <w:lang w:val="es-ES"/>
        </w:rPr>
        <w:t> </w:t>
      </w:r>
    </w:p>
    <w:p w14:paraId="77D6DC59" w14:textId="77777777" w:rsidR="0089596F" w:rsidRDefault="00E054F8">
      <w:pPr>
        <w:pStyle w:val="paragraph"/>
        <w:ind w:left="1429" w:right="481"/>
        <w:jc w:val="both"/>
      </w:pPr>
      <w:proofErr w:type="gramStart"/>
      <w:r>
        <w:rPr>
          <w:rStyle w:val="normaltextrun"/>
          <w:rFonts w:ascii="Work Sans" w:hAnsi="Work Sans" w:cs="Segoe UI"/>
          <w:i/>
          <w:iCs/>
          <w:color w:val="000000"/>
          <w:sz w:val="18"/>
          <w:szCs w:val="18"/>
          <w:lang w:val="es-ES"/>
        </w:rPr>
        <w:t>En razón de</w:t>
      </w:r>
      <w:proofErr w:type="gramEnd"/>
      <w:r>
        <w:rPr>
          <w:rStyle w:val="normaltextrun"/>
          <w:rFonts w:ascii="Work Sans" w:hAnsi="Work Sans" w:cs="Segoe UI"/>
          <w:i/>
          <w:iCs/>
          <w:color w:val="000000"/>
          <w:sz w:val="18"/>
          <w:szCs w:val="18"/>
          <w:lang w:val="es-ES"/>
        </w:rPr>
        <w:t xml:space="preserve"> lo anterior, los líderes manifestantes con el apoyo de la familia No + peajes, han tomado medidas de hecho, ubicándose en varias ocasiones en las instalaciones del peaje con mensajes alus</w:t>
      </w:r>
      <w:r>
        <w:rPr>
          <w:rStyle w:val="normaltextrun"/>
          <w:rFonts w:ascii="Work Sans" w:hAnsi="Work Sans" w:cs="Segoe UI"/>
          <w:i/>
          <w:iCs/>
          <w:color w:val="000000"/>
          <w:sz w:val="18"/>
          <w:szCs w:val="18"/>
          <w:lang w:val="es-ES"/>
        </w:rPr>
        <w:t>ivos a su solicitud, con lo que se destaca la importancia que el recaudo de las tarifas tiene para los habitantes de la zona.</w:t>
      </w:r>
      <w:r>
        <w:rPr>
          <w:rStyle w:val="normaltextrun"/>
          <w:i/>
          <w:iCs/>
          <w:color w:val="000000"/>
          <w:sz w:val="18"/>
          <w:szCs w:val="18"/>
          <w:lang w:val="es-ES"/>
        </w:rPr>
        <w:t>  </w:t>
      </w:r>
      <w:r>
        <w:rPr>
          <w:rStyle w:val="normaltextrun"/>
          <w:rFonts w:ascii="Work Sans" w:hAnsi="Work Sans" w:cs="Segoe UI"/>
          <w:i/>
          <w:iCs/>
          <w:sz w:val="18"/>
          <w:szCs w:val="18"/>
          <w:lang w:val="es-ES"/>
        </w:rPr>
        <w:t> </w:t>
      </w:r>
    </w:p>
    <w:p w14:paraId="08D04443" w14:textId="77777777" w:rsidR="0089596F" w:rsidRDefault="00E054F8">
      <w:pPr>
        <w:pStyle w:val="paragraph"/>
        <w:ind w:left="1429" w:right="481"/>
        <w:jc w:val="both"/>
      </w:pPr>
      <w:r>
        <w:rPr>
          <w:rStyle w:val="normaltextrun"/>
          <w:rFonts w:ascii="Work Sans" w:hAnsi="Work Sans" w:cs="Segoe UI"/>
          <w:i/>
          <w:iCs/>
          <w:color w:val="000000"/>
          <w:sz w:val="18"/>
          <w:szCs w:val="18"/>
          <w:lang w:val="es-ES"/>
        </w:rPr>
        <w:lastRenderedPageBreak/>
        <w:t xml:space="preserve">Desde el punto de vista técnico no se presenta ninguna incidencia por cuanto el cobro de la tarifa no afecta el </w:t>
      </w:r>
      <w:r>
        <w:rPr>
          <w:rStyle w:val="normaltextrun"/>
          <w:rFonts w:ascii="Work Sans" w:hAnsi="Work Sans" w:cs="Segoe UI"/>
          <w:i/>
          <w:iCs/>
          <w:color w:val="000000"/>
          <w:sz w:val="18"/>
          <w:szCs w:val="18"/>
          <w:lang w:val="es-ES"/>
        </w:rPr>
        <w:t>desarrollo de las actividades de operación y mantenimiento ni afecta la realización de obra alguna. (…)”. </w:t>
      </w:r>
    </w:p>
    <w:p w14:paraId="38D77C02" w14:textId="77777777" w:rsidR="0089596F" w:rsidRDefault="00E054F8">
      <w:pPr>
        <w:pStyle w:val="Prrafodelista"/>
        <w:numPr>
          <w:ilvl w:val="0"/>
          <w:numId w:val="22"/>
        </w:numPr>
        <w:ind w:left="2073" w:right="481"/>
        <w:jc w:val="both"/>
        <w:textAlignment w:val="auto"/>
      </w:pPr>
      <w:r>
        <w:rPr>
          <w:rFonts w:ascii="Work Sans" w:hAnsi="Work Sans" w:cs="Arial"/>
          <w:b/>
          <w:i/>
          <w:iCs/>
          <w:sz w:val="18"/>
          <w:szCs w:val="18"/>
        </w:rPr>
        <w:t>Solicitud de resolución de Tarifas Diferenciales</w:t>
      </w:r>
      <w:r>
        <w:rPr>
          <w:rFonts w:ascii="Work Sans" w:hAnsi="Work Sans" w:cs="Arial"/>
          <w:i/>
          <w:iCs/>
          <w:sz w:val="18"/>
          <w:szCs w:val="18"/>
        </w:rPr>
        <w:t xml:space="preserve"> </w:t>
      </w:r>
    </w:p>
    <w:p w14:paraId="3DBD1F03" w14:textId="77777777" w:rsidR="0089596F" w:rsidRDefault="0089596F">
      <w:pPr>
        <w:ind w:left="1080" w:right="481"/>
        <w:jc w:val="both"/>
        <w:rPr>
          <w:rFonts w:ascii="Work Sans" w:hAnsi="Work Sans" w:cs="Arial"/>
          <w:i/>
          <w:iCs/>
          <w:sz w:val="18"/>
          <w:szCs w:val="18"/>
        </w:rPr>
      </w:pPr>
    </w:p>
    <w:p w14:paraId="1B5B781B" w14:textId="77777777" w:rsidR="0089596F" w:rsidRDefault="00E054F8">
      <w:pPr>
        <w:ind w:left="720" w:right="481"/>
        <w:jc w:val="both"/>
        <w:rPr>
          <w:rFonts w:ascii="Work Sans" w:hAnsi="Work Sans" w:cs="Arial"/>
          <w:i/>
          <w:iCs/>
          <w:sz w:val="18"/>
          <w:szCs w:val="18"/>
        </w:rPr>
      </w:pPr>
      <w:r>
        <w:rPr>
          <w:rFonts w:ascii="Work Sans" w:hAnsi="Work Sans" w:cs="Arial"/>
          <w:i/>
          <w:iCs/>
          <w:sz w:val="18"/>
          <w:szCs w:val="18"/>
        </w:rPr>
        <w:t xml:space="preserve">Conforme a lo expuesto anteriormente, se solicita la expedición de una resolución a través de la </w:t>
      </w:r>
      <w:r>
        <w:rPr>
          <w:rFonts w:ascii="Work Sans" w:hAnsi="Work Sans" w:cs="Arial"/>
          <w:i/>
          <w:iCs/>
          <w:sz w:val="18"/>
          <w:szCs w:val="18"/>
        </w:rPr>
        <w:t>cual se regule el beneficio de tarifas diferenciales a otorgar en las categorías I y II de la Estación de Peaje Bayunca, así:</w:t>
      </w:r>
    </w:p>
    <w:p w14:paraId="1F1B5843" w14:textId="77777777" w:rsidR="0089596F" w:rsidRDefault="0089596F">
      <w:pPr>
        <w:ind w:left="720" w:right="481"/>
        <w:jc w:val="both"/>
        <w:rPr>
          <w:rFonts w:ascii="Work Sans" w:hAnsi="Work Sans" w:cs="Arial"/>
          <w:i/>
          <w:iCs/>
          <w:sz w:val="18"/>
          <w:szCs w:val="18"/>
        </w:rPr>
      </w:pPr>
    </w:p>
    <w:p w14:paraId="7715BB82" w14:textId="77777777" w:rsidR="0089596F" w:rsidRDefault="00E054F8">
      <w:pPr>
        <w:pStyle w:val="Prrafodelista"/>
        <w:numPr>
          <w:ilvl w:val="0"/>
          <w:numId w:val="26"/>
        </w:numPr>
        <w:ind w:left="1440" w:right="481"/>
        <w:jc w:val="both"/>
        <w:textAlignment w:val="auto"/>
      </w:pPr>
      <w:bookmarkStart w:id="11" w:name="_Hlk81589589"/>
      <w:r>
        <w:rPr>
          <w:rFonts w:ascii="Work Sans" w:hAnsi="Work Sans" w:cs="Arial"/>
          <w:i/>
          <w:iCs/>
          <w:color w:val="000000"/>
          <w:sz w:val="18"/>
          <w:szCs w:val="18"/>
        </w:rPr>
        <w:t xml:space="preserve">Establecer tarifas diferenciales en las Categorías I y II de la estación de peaje Bayunca asociada al Contrato de Concesión Vial </w:t>
      </w:r>
      <w:r>
        <w:rPr>
          <w:rFonts w:ascii="Work Sans" w:hAnsi="Work Sans" w:cs="Arial"/>
          <w:i/>
          <w:iCs/>
          <w:color w:val="000000"/>
          <w:sz w:val="18"/>
          <w:szCs w:val="18"/>
        </w:rPr>
        <w:t xml:space="preserve">No. 002 de 2021 – Proyecto </w:t>
      </w:r>
      <w:r>
        <w:rPr>
          <w:rFonts w:ascii="Work Sans" w:hAnsi="Work Sans" w:cs="Arial"/>
          <w:i/>
          <w:iCs/>
          <w:sz w:val="18"/>
          <w:szCs w:val="18"/>
        </w:rPr>
        <w:t>Concesión Vial Autopistas del Caribe, Corredor de Carga Cartagena-Barranquilla</w:t>
      </w:r>
      <w:r>
        <w:rPr>
          <w:rFonts w:ascii="Work Sans" w:hAnsi="Work Sans" w:cs="Arial"/>
          <w:i/>
          <w:iCs/>
          <w:color w:val="000000"/>
          <w:sz w:val="18"/>
          <w:szCs w:val="18"/>
        </w:rPr>
        <w:t>, así:</w:t>
      </w:r>
    </w:p>
    <w:p w14:paraId="17C75AC6" w14:textId="77777777" w:rsidR="0089596F" w:rsidRDefault="0089596F">
      <w:pPr>
        <w:pStyle w:val="Prrafodelista"/>
        <w:ind w:left="1428" w:right="49"/>
        <w:jc w:val="both"/>
        <w:rPr>
          <w:rFonts w:ascii="Work Sans" w:hAnsi="Work Sans" w:cs="Arial"/>
          <w:i/>
          <w:iCs/>
          <w:color w:val="000000"/>
          <w:sz w:val="16"/>
          <w:szCs w:val="16"/>
        </w:rPr>
      </w:pPr>
    </w:p>
    <w:tbl>
      <w:tblPr>
        <w:tblW w:w="7512" w:type="dxa"/>
        <w:tblInd w:w="532" w:type="dxa"/>
        <w:tblCellMar>
          <w:left w:w="10" w:type="dxa"/>
          <w:right w:w="10" w:type="dxa"/>
        </w:tblCellMar>
        <w:tblLook w:val="0000" w:firstRow="0" w:lastRow="0" w:firstColumn="0" w:lastColumn="0" w:noHBand="0" w:noVBand="0"/>
      </w:tblPr>
      <w:tblGrid>
        <w:gridCol w:w="1890"/>
        <w:gridCol w:w="1678"/>
        <w:gridCol w:w="1763"/>
        <w:gridCol w:w="2181"/>
      </w:tblGrid>
      <w:tr w:rsidR="0089596F" w14:paraId="41959FD6" w14:textId="77777777">
        <w:tblPrEx>
          <w:tblCellMar>
            <w:top w:w="0" w:type="dxa"/>
            <w:bottom w:w="0" w:type="dxa"/>
          </w:tblCellMar>
        </w:tblPrEx>
        <w:trPr>
          <w:trHeight w:val="134"/>
        </w:trPr>
        <w:tc>
          <w:tcPr>
            <w:tcW w:w="7512"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bookmarkEnd w:id="11"/>
          <w:p w14:paraId="55F20AD0" w14:textId="77777777" w:rsidR="0089596F" w:rsidRDefault="00E054F8">
            <w:pPr>
              <w:ind w:left="134" w:right="254"/>
              <w:jc w:val="center"/>
              <w:rPr>
                <w:rFonts w:ascii="Work Sans" w:hAnsi="Work Sans" w:cs="Arial"/>
                <w:b/>
                <w:bCs/>
                <w:i/>
                <w:iCs/>
                <w:sz w:val="12"/>
                <w:szCs w:val="12"/>
              </w:rPr>
            </w:pPr>
            <w:r>
              <w:rPr>
                <w:rFonts w:ascii="Work Sans" w:hAnsi="Work Sans" w:cs="Arial"/>
                <w:b/>
                <w:bCs/>
                <w:i/>
                <w:iCs/>
                <w:sz w:val="12"/>
                <w:szCs w:val="12"/>
              </w:rPr>
              <w:t>ESTACIÓN DE PEAJE BAYUNCA</w:t>
            </w:r>
          </w:p>
        </w:tc>
      </w:tr>
      <w:tr w:rsidR="0089596F" w14:paraId="28C741B5" w14:textId="77777777">
        <w:tblPrEx>
          <w:tblCellMar>
            <w:top w:w="0" w:type="dxa"/>
            <w:bottom w:w="0" w:type="dxa"/>
          </w:tblCellMar>
        </w:tblPrEx>
        <w:trPr>
          <w:trHeight w:val="134"/>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4219927" w14:textId="77777777" w:rsidR="0089596F" w:rsidRDefault="00E054F8">
            <w:pPr>
              <w:ind w:right="257"/>
              <w:jc w:val="center"/>
            </w:pPr>
            <w:bookmarkStart w:id="12" w:name="_Hlk81589610"/>
            <w:r>
              <w:rPr>
                <w:rFonts w:ascii="Work Sans" w:hAnsi="Work Sans" w:cs="Arial"/>
                <w:b/>
                <w:i/>
                <w:iCs/>
                <w:sz w:val="12"/>
                <w:szCs w:val="12"/>
              </w:rPr>
              <w:t>CATEGORÍAS</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7FD40CA" w14:textId="77777777" w:rsidR="0089596F" w:rsidRDefault="00E054F8">
            <w:pPr>
              <w:ind w:left="63" w:right="99"/>
              <w:jc w:val="center"/>
            </w:pPr>
            <w:r>
              <w:rPr>
                <w:rFonts w:ascii="Work Sans" w:hAnsi="Work Sans" w:cs="Arial"/>
                <w:b/>
                <w:i/>
                <w:iCs/>
                <w:sz w:val="12"/>
                <w:szCs w:val="12"/>
              </w:rPr>
              <w:t>DESCRIPCIÓN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9AB5423" w14:textId="77777777" w:rsidR="0089596F" w:rsidRDefault="00E054F8">
            <w:pPr>
              <w:ind w:left="-19" w:right="123"/>
              <w:jc w:val="center"/>
              <w:rPr>
                <w:rFonts w:ascii="Work Sans" w:hAnsi="Work Sans" w:cs="Arial"/>
                <w:b/>
                <w:bCs/>
                <w:i/>
                <w:iCs/>
                <w:sz w:val="12"/>
                <w:szCs w:val="12"/>
              </w:rPr>
            </w:pPr>
            <w:r>
              <w:rPr>
                <w:rFonts w:ascii="Work Sans" w:hAnsi="Work Sans" w:cs="Arial"/>
                <w:b/>
                <w:bCs/>
                <w:i/>
                <w:iCs/>
                <w:sz w:val="12"/>
                <w:szCs w:val="12"/>
              </w:rPr>
              <w:t>TARIFAS (2022)</w:t>
            </w:r>
          </w:p>
          <w:p w14:paraId="0CC77286" w14:textId="77777777" w:rsidR="0089596F" w:rsidRDefault="00E054F8">
            <w:pPr>
              <w:ind w:left="-19" w:right="123"/>
              <w:jc w:val="center"/>
              <w:rPr>
                <w:rFonts w:ascii="Work Sans" w:hAnsi="Work Sans" w:cs="Arial"/>
                <w:b/>
                <w:bCs/>
                <w:i/>
                <w:iCs/>
                <w:sz w:val="12"/>
                <w:szCs w:val="12"/>
              </w:rPr>
            </w:pPr>
            <w:r>
              <w:rPr>
                <w:rFonts w:ascii="Work Sans" w:hAnsi="Work Sans" w:cs="Arial"/>
                <w:b/>
                <w:bCs/>
                <w:i/>
                <w:iCs/>
                <w:sz w:val="12"/>
                <w:szCs w:val="12"/>
              </w:rPr>
              <w:t xml:space="preserve">No Incluye </w:t>
            </w:r>
            <w:proofErr w:type="spellStart"/>
            <w:r>
              <w:rPr>
                <w:rFonts w:ascii="Work Sans" w:hAnsi="Work Sans" w:cs="Arial"/>
                <w:b/>
                <w:bCs/>
                <w:i/>
                <w:iCs/>
                <w:sz w:val="12"/>
                <w:szCs w:val="12"/>
              </w:rPr>
              <w:t>Fosevi</w:t>
            </w:r>
            <w:proofErr w:type="spellEnd"/>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5A812DCF" w14:textId="77777777" w:rsidR="0089596F" w:rsidRDefault="00E054F8">
            <w:pPr>
              <w:ind w:right="254"/>
              <w:jc w:val="center"/>
              <w:rPr>
                <w:rFonts w:ascii="Work Sans" w:hAnsi="Work Sans" w:cs="Arial"/>
                <w:b/>
                <w:bCs/>
                <w:i/>
                <w:iCs/>
                <w:sz w:val="12"/>
                <w:szCs w:val="12"/>
              </w:rPr>
            </w:pPr>
            <w:r>
              <w:rPr>
                <w:rFonts w:ascii="Work Sans" w:hAnsi="Work Sans" w:cs="Arial"/>
                <w:b/>
                <w:bCs/>
                <w:i/>
                <w:iCs/>
                <w:sz w:val="12"/>
                <w:szCs w:val="12"/>
              </w:rPr>
              <w:t>CUPOS</w:t>
            </w:r>
          </w:p>
        </w:tc>
      </w:tr>
      <w:tr w:rsidR="0089596F" w14:paraId="63D2C479" w14:textId="77777777">
        <w:tblPrEx>
          <w:tblCellMar>
            <w:top w:w="0" w:type="dxa"/>
            <w:bottom w:w="0" w:type="dxa"/>
          </w:tblCellMar>
        </w:tblPrEx>
        <w:trPr>
          <w:trHeight w:val="17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F30789E" w14:textId="77777777" w:rsidR="0089596F" w:rsidRDefault="00E054F8">
            <w:pPr>
              <w:ind w:left="426" w:right="616"/>
              <w:jc w:val="center"/>
              <w:rPr>
                <w:rFonts w:ascii="Work Sans" w:hAnsi="Work Sans" w:cs="Arial"/>
                <w:i/>
                <w:iCs/>
                <w:sz w:val="12"/>
                <w:szCs w:val="12"/>
              </w:rPr>
            </w:pPr>
            <w:r>
              <w:rPr>
                <w:rFonts w:ascii="Work Sans" w:hAnsi="Work Sans" w:cs="Arial"/>
                <w:i/>
                <w:iCs/>
                <w:sz w:val="12"/>
                <w:szCs w:val="12"/>
              </w:rPr>
              <w:t>Categoría IE</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1904AA0" w14:textId="77777777" w:rsidR="0089596F" w:rsidRDefault="00E054F8">
            <w:pPr>
              <w:ind w:left="60" w:right="179"/>
              <w:jc w:val="center"/>
              <w:rPr>
                <w:rFonts w:ascii="Work Sans" w:hAnsi="Work Sans" w:cs="Arial"/>
                <w:i/>
                <w:iCs/>
                <w:sz w:val="12"/>
                <w:szCs w:val="12"/>
              </w:rPr>
            </w:pPr>
            <w:r>
              <w:rPr>
                <w:rFonts w:ascii="Work Sans" w:hAnsi="Work Sans" w:cs="Arial"/>
                <w:i/>
                <w:iCs/>
                <w:sz w:val="12"/>
                <w:szCs w:val="12"/>
              </w:rPr>
              <w:t xml:space="preserve">Automóviles, camperos, y </w:t>
            </w:r>
            <w:r>
              <w:rPr>
                <w:rFonts w:ascii="Work Sans" w:hAnsi="Work Sans" w:cs="Arial"/>
                <w:i/>
                <w:iCs/>
                <w:sz w:val="12"/>
                <w:szCs w:val="12"/>
              </w:rPr>
              <w:t>camionetas y microbuses con ejes de llanta sencilla.</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78B8E1B" w14:textId="77777777" w:rsidR="0089596F" w:rsidRDefault="00E054F8">
            <w:pPr>
              <w:ind w:left="426" w:right="616"/>
              <w:jc w:val="center"/>
              <w:rPr>
                <w:rFonts w:ascii="Work Sans" w:hAnsi="Work Sans" w:cs="Arial"/>
                <w:i/>
                <w:iCs/>
                <w:sz w:val="12"/>
                <w:szCs w:val="12"/>
              </w:rPr>
            </w:pPr>
            <w:r>
              <w:rPr>
                <w:rFonts w:ascii="Work Sans" w:hAnsi="Work Sans" w:cs="Arial"/>
                <w:i/>
                <w:iCs/>
                <w:sz w:val="12"/>
                <w:szCs w:val="12"/>
              </w:rPr>
              <w:t>$1.400</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5FD75B34" w14:textId="77777777" w:rsidR="0089596F" w:rsidRDefault="00E054F8">
            <w:pPr>
              <w:spacing w:line="254" w:lineRule="auto"/>
              <w:ind w:left="426" w:right="616"/>
              <w:jc w:val="center"/>
            </w:pPr>
            <w:r>
              <w:rPr>
                <w:rFonts w:ascii="Work Sans" w:hAnsi="Work Sans" w:cs="Arial"/>
                <w:i/>
                <w:iCs/>
                <w:sz w:val="12"/>
                <w:szCs w:val="12"/>
              </w:rPr>
              <w:t>1500</w:t>
            </w:r>
          </w:p>
        </w:tc>
      </w:tr>
      <w:tr w:rsidR="0089596F" w14:paraId="601B8266" w14:textId="77777777">
        <w:tblPrEx>
          <w:tblCellMar>
            <w:top w:w="0" w:type="dxa"/>
            <w:bottom w:w="0" w:type="dxa"/>
          </w:tblCellMar>
        </w:tblPrEx>
        <w:trPr>
          <w:trHeight w:val="79"/>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7C851BE" w14:textId="77777777" w:rsidR="0089596F" w:rsidRDefault="00E054F8">
            <w:pPr>
              <w:ind w:left="426" w:right="616"/>
              <w:jc w:val="center"/>
              <w:rPr>
                <w:rFonts w:ascii="Work Sans" w:hAnsi="Work Sans" w:cs="Arial"/>
                <w:i/>
                <w:iCs/>
                <w:sz w:val="12"/>
                <w:szCs w:val="12"/>
              </w:rPr>
            </w:pPr>
            <w:r>
              <w:rPr>
                <w:rFonts w:ascii="Work Sans" w:hAnsi="Work Sans" w:cs="Arial"/>
                <w:i/>
                <w:iCs/>
                <w:sz w:val="12"/>
                <w:szCs w:val="12"/>
              </w:rPr>
              <w:t>Categoría IIE</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AF49C32" w14:textId="77777777" w:rsidR="0089596F" w:rsidRDefault="00E054F8">
            <w:pPr>
              <w:ind w:left="60" w:right="179"/>
              <w:jc w:val="center"/>
              <w:rPr>
                <w:rFonts w:ascii="Work Sans" w:hAnsi="Work Sans" w:cs="Arial"/>
                <w:i/>
                <w:iCs/>
                <w:sz w:val="12"/>
                <w:szCs w:val="12"/>
              </w:rPr>
            </w:pPr>
            <w:r>
              <w:rPr>
                <w:rFonts w:ascii="Work Sans" w:hAnsi="Work Sans" w:cs="Arial"/>
                <w:i/>
                <w:iCs/>
                <w:sz w:val="12"/>
                <w:szCs w:val="12"/>
              </w:rPr>
              <w:t xml:space="preserve">Buses, busetas, microbuses con eje trasero de doble llanta camiones de dos ejes.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5191085" w14:textId="77777777" w:rsidR="0089596F" w:rsidRDefault="00E054F8">
            <w:pPr>
              <w:ind w:left="426" w:right="616"/>
              <w:jc w:val="center"/>
              <w:rPr>
                <w:rFonts w:ascii="Work Sans" w:hAnsi="Work Sans" w:cs="Arial"/>
                <w:i/>
                <w:iCs/>
                <w:sz w:val="12"/>
                <w:szCs w:val="12"/>
              </w:rPr>
            </w:pPr>
            <w:r>
              <w:rPr>
                <w:rFonts w:ascii="Work Sans" w:hAnsi="Work Sans" w:cs="Arial"/>
                <w:i/>
                <w:iCs/>
                <w:sz w:val="12"/>
                <w:szCs w:val="12"/>
              </w:rPr>
              <w:t>$1.400</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D9B7670" w14:textId="77777777" w:rsidR="0089596F" w:rsidRDefault="00E054F8">
            <w:pPr>
              <w:spacing w:line="254" w:lineRule="auto"/>
              <w:ind w:left="426" w:right="616"/>
              <w:jc w:val="center"/>
              <w:rPr>
                <w:rFonts w:ascii="Work Sans" w:hAnsi="Work Sans" w:cs="Arial"/>
                <w:i/>
                <w:iCs/>
                <w:sz w:val="12"/>
                <w:szCs w:val="12"/>
              </w:rPr>
            </w:pPr>
            <w:r>
              <w:rPr>
                <w:rFonts w:ascii="Work Sans" w:hAnsi="Work Sans" w:cs="Arial"/>
                <w:i/>
                <w:iCs/>
                <w:sz w:val="12"/>
                <w:szCs w:val="12"/>
              </w:rPr>
              <w:t>100</w:t>
            </w:r>
          </w:p>
        </w:tc>
      </w:tr>
      <w:bookmarkEnd w:id="12"/>
    </w:tbl>
    <w:p w14:paraId="1A66697C" w14:textId="77777777" w:rsidR="0089596F" w:rsidRDefault="0089596F">
      <w:pPr>
        <w:ind w:left="720" w:right="616"/>
        <w:jc w:val="both"/>
        <w:rPr>
          <w:rFonts w:ascii="Work Sans" w:eastAsia="Segoe UI" w:hAnsi="Work Sans" w:cs="Arial"/>
          <w:i/>
          <w:iCs/>
          <w:color w:val="000000"/>
          <w:sz w:val="16"/>
          <w:szCs w:val="16"/>
        </w:rPr>
      </w:pPr>
    </w:p>
    <w:p w14:paraId="65E97922" w14:textId="77777777" w:rsidR="0089596F" w:rsidRDefault="00E054F8">
      <w:pPr>
        <w:ind w:left="720" w:right="481"/>
        <w:jc w:val="both"/>
        <w:rPr>
          <w:rFonts w:ascii="Work Sans" w:hAnsi="Work Sans" w:cs="Arial"/>
          <w:i/>
          <w:iCs/>
          <w:sz w:val="18"/>
          <w:szCs w:val="18"/>
        </w:rPr>
      </w:pPr>
      <w:r>
        <w:rPr>
          <w:rFonts w:ascii="Work Sans" w:hAnsi="Work Sans" w:cs="Arial"/>
          <w:i/>
          <w:iCs/>
          <w:sz w:val="18"/>
          <w:szCs w:val="18"/>
        </w:rPr>
        <w:t xml:space="preserve">La tarifa de peaje fijada no incluye el valor correspondiente al FOSEVI. En </w:t>
      </w:r>
      <w:r>
        <w:rPr>
          <w:rFonts w:ascii="Work Sans" w:hAnsi="Work Sans" w:cs="Arial"/>
          <w:i/>
          <w:iCs/>
          <w:sz w:val="18"/>
          <w:szCs w:val="18"/>
        </w:rPr>
        <w:t>todo caso, si el FOSEVI se llegare a incrementar, dicho incremento se deberá adicionar a esta tarifa en el momento del cobro.</w:t>
      </w:r>
    </w:p>
    <w:p w14:paraId="48D90B4E" w14:textId="77777777" w:rsidR="0089596F" w:rsidRDefault="0089596F">
      <w:pPr>
        <w:ind w:left="720" w:right="481"/>
        <w:jc w:val="both"/>
        <w:rPr>
          <w:rFonts w:ascii="Work Sans" w:hAnsi="Work Sans" w:cs="Arial"/>
          <w:i/>
          <w:iCs/>
          <w:sz w:val="18"/>
          <w:szCs w:val="18"/>
        </w:rPr>
      </w:pPr>
    </w:p>
    <w:p w14:paraId="49939623" w14:textId="77777777" w:rsidR="0089596F" w:rsidRDefault="00E054F8">
      <w:pPr>
        <w:ind w:left="720" w:right="481"/>
        <w:jc w:val="both"/>
        <w:rPr>
          <w:rFonts w:ascii="Work Sans" w:hAnsi="Work Sans" w:cs="Arial"/>
          <w:i/>
          <w:iCs/>
          <w:sz w:val="18"/>
          <w:szCs w:val="18"/>
        </w:rPr>
      </w:pPr>
      <w:r>
        <w:rPr>
          <w:rFonts w:ascii="Work Sans" w:hAnsi="Work Sans" w:cs="Arial"/>
          <w:i/>
          <w:iCs/>
          <w:sz w:val="18"/>
          <w:szCs w:val="18"/>
        </w:rPr>
        <w:t>Las tarifas diferenciales aquí indicadas aplican únicamente para vehículos de servicio particular y público de los habitantes, us</w:t>
      </w:r>
      <w:r>
        <w:rPr>
          <w:rFonts w:ascii="Work Sans" w:hAnsi="Work Sans" w:cs="Arial"/>
          <w:i/>
          <w:iCs/>
          <w:sz w:val="18"/>
          <w:szCs w:val="18"/>
        </w:rPr>
        <w:t>uarios que laboren, estudien o que tengan relación con los municipios de Santa Catalina, Bayunca y Clemencia</w:t>
      </w:r>
    </w:p>
    <w:p w14:paraId="3DF39EA6" w14:textId="77777777" w:rsidR="0089596F" w:rsidRDefault="0089596F">
      <w:pPr>
        <w:ind w:left="720" w:right="481"/>
        <w:jc w:val="both"/>
        <w:rPr>
          <w:rFonts w:ascii="Work Sans" w:hAnsi="Work Sans" w:cs="Arial"/>
          <w:i/>
          <w:iCs/>
          <w:sz w:val="18"/>
          <w:szCs w:val="18"/>
        </w:rPr>
      </w:pPr>
    </w:p>
    <w:p w14:paraId="461A094A" w14:textId="77777777" w:rsidR="0089596F" w:rsidRDefault="00E054F8">
      <w:pPr>
        <w:ind w:left="720" w:right="481"/>
        <w:jc w:val="both"/>
        <w:rPr>
          <w:rFonts w:ascii="Work Sans" w:hAnsi="Work Sans" w:cs="Arial"/>
          <w:i/>
          <w:iCs/>
          <w:sz w:val="18"/>
          <w:szCs w:val="18"/>
        </w:rPr>
      </w:pPr>
      <w:r>
        <w:rPr>
          <w:rFonts w:ascii="Work Sans" w:hAnsi="Work Sans" w:cs="Arial"/>
          <w:i/>
          <w:iCs/>
          <w:sz w:val="18"/>
          <w:szCs w:val="18"/>
        </w:rPr>
        <w:t>A partir de la publicación de la presente resolución, las tarifas de peaje fijadas serán actualizadas anualmente teniendo en cuenta los plazos y l</w:t>
      </w:r>
      <w:r>
        <w:rPr>
          <w:rFonts w:ascii="Work Sans" w:hAnsi="Work Sans" w:cs="Arial"/>
          <w:i/>
          <w:iCs/>
          <w:sz w:val="18"/>
          <w:szCs w:val="18"/>
        </w:rPr>
        <w:t>a fórmula de actualización prevista en el Contrato de Concesión No. 002 de 2021. En todo caso dicho incremento nunca será inferior a cien pesos ($100).</w:t>
      </w:r>
    </w:p>
    <w:p w14:paraId="6FE3448E" w14:textId="77777777" w:rsidR="0089596F" w:rsidRDefault="00E054F8">
      <w:pPr>
        <w:ind w:left="720" w:right="481"/>
        <w:jc w:val="both"/>
        <w:rPr>
          <w:rFonts w:ascii="Work Sans" w:hAnsi="Work Sans" w:cs="Arial"/>
          <w:i/>
          <w:iCs/>
          <w:sz w:val="18"/>
          <w:szCs w:val="18"/>
        </w:rPr>
      </w:pPr>
      <w:r>
        <w:rPr>
          <w:rFonts w:ascii="Work Sans" w:hAnsi="Work Sans" w:cs="Arial"/>
          <w:i/>
          <w:iCs/>
          <w:sz w:val="18"/>
          <w:szCs w:val="18"/>
        </w:rPr>
        <w:tab/>
      </w:r>
      <w:r>
        <w:rPr>
          <w:rFonts w:ascii="Work Sans" w:hAnsi="Work Sans" w:cs="Arial"/>
          <w:i/>
          <w:iCs/>
          <w:sz w:val="18"/>
          <w:szCs w:val="18"/>
        </w:rPr>
        <w:tab/>
      </w:r>
      <w:r>
        <w:rPr>
          <w:rFonts w:ascii="Work Sans" w:hAnsi="Work Sans" w:cs="Arial"/>
          <w:i/>
          <w:iCs/>
          <w:sz w:val="18"/>
          <w:szCs w:val="18"/>
        </w:rPr>
        <w:tab/>
      </w:r>
      <w:r>
        <w:rPr>
          <w:rFonts w:ascii="Work Sans" w:hAnsi="Work Sans" w:cs="Arial"/>
          <w:i/>
          <w:iCs/>
          <w:sz w:val="18"/>
          <w:szCs w:val="18"/>
        </w:rPr>
        <w:tab/>
      </w:r>
      <w:r>
        <w:rPr>
          <w:rFonts w:ascii="Work Sans" w:hAnsi="Work Sans" w:cs="Arial"/>
          <w:i/>
          <w:iCs/>
          <w:sz w:val="18"/>
          <w:szCs w:val="18"/>
        </w:rPr>
        <w:tab/>
      </w:r>
    </w:p>
    <w:p w14:paraId="7CC9F245" w14:textId="77777777" w:rsidR="0089596F" w:rsidRDefault="00E054F8">
      <w:pPr>
        <w:ind w:left="720" w:right="481"/>
        <w:jc w:val="both"/>
        <w:rPr>
          <w:rFonts w:ascii="Work Sans" w:hAnsi="Work Sans" w:cs="Arial"/>
          <w:i/>
          <w:iCs/>
          <w:sz w:val="18"/>
          <w:szCs w:val="18"/>
        </w:rPr>
      </w:pPr>
      <w:r>
        <w:rPr>
          <w:rFonts w:ascii="Work Sans" w:hAnsi="Work Sans" w:cs="Arial"/>
          <w:i/>
          <w:iCs/>
          <w:sz w:val="18"/>
          <w:szCs w:val="18"/>
        </w:rPr>
        <w:t>La Agencia Nacional de Infraestructura fijará los requisitos para acreditar la calidad de benefici</w:t>
      </w:r>
      <w:r>
        <w:rPr>
          <w:rFonts w:ascii="Work Sans" w:hAnsi="Work Sans" w:cs="Arial"/>
          <w:i/>
          <w:iCs/>
          <w:sz w:val="18"/>
          <w:szCs w:val="18"/>
        </w:rPr>
        <w:t>ario, el procedimiento para acceder al beneficio y las causales de pérdida del beneficio, de las tarifas diferenciales en la estación de peaje Bayunca.</w:t>
      </w:r>
    </w:p>
    <w:p w14:paraId="6A60367A" w14:textId="77777777" w:rsidR="0089596F" w:rsidRDefault="0089596F">
      <w:pPr>
        <w:ind w:left="720" w:right="481"/>
        <w:jc w:val="both"/>
        <w:rPr>
          <w:rFonts w:ascii="Work Sans" w:hAnsi="Work Sans" w:cs="Arial"/>
          <w:i/>
          <w:iCs/>
          <w:sz w:val="18"/>
          <w:szCs w:val="18"/>
        </w:rPr>
      </w:pPr>
    </w:p>
    <w:p w14:paraId="0816D871" w14:textId="77777777" w:rsidR="0089596F" w:rsidRDefault="00E054F8">
      <w:pPr>
        <w:ind w:left="720" w:right="481"/>
        <w:jc w:val="both"/>
        <w:rPr>
          <w:rFonts w:ascii="Work Sans" w:hAnsi="Work Sans" w:cs="Arial"/>
          <w:i/>
          <w:iCs/>
          <w:sz w:val="18"/>
          <w:szCs w:val="18"/>
        </w:rPr>
      </w:pPr>
      <w:r>
        <w:rPr>
          <w:rFonts w:ascii="Work Sans" w:hAnsi="Work Sans" w:cs="Arial"/>
          <w:i/>
          <w:iCs/>
          <w:sz w:val="18"/>
          <w:szCs w:val="18"/>
        </w:rPr>
        <w:t>La Agencia Nacional de Infraestructura deberá proponer con suficiente antelación al Ministerio de Trans</w:t>
      </w:r>
      <w:r>
        <w:rPr>
          <w:rFonts w:ascii="Work Sans" w:hAnsi="Work Sans" w:cs="Arial"/>
          <w:i/>
          <w:iCs/>
          <w:sz w:val="18"/>
          <w:szCs w:val="18"/>
        </w:rPr>
        <w:t>porte una modificación y/o redistribución de los cupos y/o incremento del valor de las tarifas y demás condiciones previstas en la presente resolución, cuando advierta amenaza o insuficiencia de alguno de los mecanismos de compensación contemplados en el C</w:t>
      </w:r>
      <w:r>
        <w:rPr>
          <w:rFonts w:ascii="Work Sans" w:hAnsi="Work Sans" w:cs="Arial"/>
          <w:i/>
          <w:iCs/>
          <w:sz w:val="18"/>
          <w:szCs w:val="18"/>
        </w:rPr>
        <w:t>ontrato de Concesión No. 002 de 2021 que pueda impactar el equilibrio financiero del mismo”.</w:t>
      </w:r>
    </w:p>
    <w:p w14:paraId="6F7A0CAA" w14:textId="77777777" w:rsidR="0089596F" w:rsidRDefault="0089596F">
      <w:pPr>
        <w:autoSpaceDE w:val="0"/>
        <w:ind w:right="481"/>
        <w:jc w:val="both"/>
        <w:textAlignment w:val="auto"/>
        <w:rPr>
          <w:rFonts w:ascii="Work Sans" w:eastAsia="DengXian Light" w:hAnsi="Work Sans" w:cs="Arial"/>
          <w:color w:val="000000"/>
          <w:sz w:val="20"/>
          <w:szCs w:val="20"/>
          <w:shd w:val="clear" w:color="auto" w:fill="FFFF00"/>
        </w:rPr>
      </w:pPr>
    </w:p>
    <w:p w14:paraId="3844B6A4" w14:textId="77777777" w:rsidR="0089596F" w:rsidRDefault="00E054F8">
      <w:pPr>
        <w:autoSpaceDE w:val="0"/>
        <w:jc w:val="both"/>
        <w:textAlignment w:val="auto"/>
      </w:pPr>
      <w:r>
        <w:rPr>
          <w:rFonts w:ascii="Work Sans" w:eastAsia="DengXian Light" w:hAnsi="Work Sans" w:cs="Arial"/>
          <w:color w:val="000000"/>
          <w:sz w:val="20"/>
          <w:szCs w:val="20"/>
          <w:shd w:val="clear" w:color="auto" w:fill="FFFF00"/>
        </w:rPr>
        <w:t xml:space="preserve">Que mediante memorando con numero de radicado 20221410056393 del 3 de mayo de 2022, la Oficina de Regulación Económica del Ministerio de Transporte en </w:t>
      </w:r>
      <w:r>
        <w:rPr>
          <w:rFonts w:ascii="Work Sans" w:eastAsia="DengXian Light" w:hAnsi="Work Sans" w:cs="Arial"/>
          <w:color w:val="000000"/>
          <w:sz w:val="20"/>
          <w:szCs w:val="20"/>
          <w:shd w:val="clear" w:color="auto" w:fill="FFFF00"/>
        </w:rPr>
        <w:t>cumplimiento de lo establecido en el numeral 9.8. del artículo 9 del Decreto 087 de 2011 analizó y viabilizó el otorgamiento de tarifas diferenciales,</w:t>
      </w:r>
      <w:r>
        <w:rPr>
          <w:rFonts w:ascii="Work Sans" w:hAnsi="Work Sans" w:cs="Arial"/>
          <w:i/>
          <w:iCs/>
          <w:sz w:val="20"/>
          <w:szCs w:val="20"/>
          <w:lang w:bidi="ar-SA"/>
        </w:rPr>
        <w:t xml:space="preserve"> </w:t>
      </w:r>
      <w:r>
        <w:rPr>
          <w:rFonts w:ascii="Work Sans" w:hAnsi="Work Sans" w:cs="Arial"/>
          <w:iCs/>
          <w:sz w:val="20"/>
          <w:szCs w:val="20"/>
          <w:lang w:bidi="ar-SA"/>
        </w:rPr>
        <w:t>para las Categorías I y II en la estación de peaje denominada Bayunca del proyecto de concesión vial Auto</w:t>
      </w:r>
      <w:r>
        <w:rPr>
          <w:rFonts w:ascii="Work Sans" w:hAnsi="Work Sans" w:cs="Arial"/>
          <w:iCs/>
          <w:sz w:val="20"/>
          <w:szCs w:val="20"/>
          <w:lang w:bidi="ar-SA"/>
        </w:rPr>
        <w:t xml:space="preserve">pistas del Caribe, Corredor de Carga Cartagena-Barranquilla </w:t>
      </w:r>
    </w:p>
    <w:p w14:paraId="3F1F862C" w14:textId="77777777" w:rsidR="0089596F" w:rsidRDefault="0089596F">
      <w:pPr>
        <w:widowControl/>
        <w:jc w:val="both"/>
        <w:rPr>
          <w:rFonts w:ascii="Work Sans" w:eastAsia="DengXian Light" w:hAnsi="Work Sans" w:cs="Arial"/>
          <w:color w:val="000000"/>
          <w:sz w:val="20"/>
          <w:szCs w:val="20"/>
          <w:lang w:bidi="ar-SA"/>
        </w:rPr>
      </w:pPr>
    </w:p>
    <w:p w14:paraId="376B2299" w14:textId="77777777" w:rsidR="0089596F" w:rsidRDefault="00E054F8">
      <w:pPr>
        <w:ind w:right="-1"/>
        <w:jc w:val="both"/>
        <w:rPr>
          <w:rFonts w:ascii="Work Sans" w:eastAsia="DengXian Light" w:hAnsi="Work Sans" w:cs="Arial"/>
          <w:color w:val="000000"/>
          <w:sz w:val="20"/>
          <w:szCs w:val="20"/>
          <w:lang w:bidi="ar-SA"/>
        </w:rPr>
      </w:pPr>
      <w:r>
        <w:rPr>
          <w:rFonts w:ascii="Work Sans" w:eastAsia="DengXian Light" w:hAnsi="Work Sans" w:cs="Arial"/>
          <w:color w:val="000000"/>
          <w:sz w:val="20"/>
          <w:szCs w:val="20"/>
          <w:lang w:bidi="ar-SA"/>
        </w:rPr>
        <w:t xml:space="preserve">Que conforme a las funciones y competencias de la Agencia Nacional de Infraestructura, de conformidad con el Decreto 4165 de 2011, modificado por el decreto 746 de 2022, como entidad del sector </w:t>
      </w:r>
      <w:r>
        <w:rPr>
          <w:rFonts w:ascii="Work Sans" w:eastAsia="DengXian Light" w:hAnsi="Work Sans" w:cs="Arial"/>
          <w:color w:val="000000"/>
          <w:sz w:val="20"/>
          <w:szCs w:val="20"/>
          <w:lang w:bidi="ar-SA"/>
        </w:rPr>
        <w:t>descentralizado de la Rama Ejecutiva del Orden Nacional, con personería jurídica y autonomía administrativa, financiera y técnica, que tiene por objeto planear, coordinar, estructurar, contratar, ejecutar, administrar y evaluar proyectos de concesiones y o</w:t>
      </w:r>
      <w:r>
        <w:rPr>
          <w:rFonts w:ascii="Work Sans" w:eastAsia="DengXian Light" w:hAnsi="Work Sans" w:cs="Arial"/>
          <w:color w:val="000000"/>
          <w:sz w:val="20"/>
          <w:szCs w:val="20"/>
          <w:lang w:bidi="ar-SA"/>
        </w:rPr>
        <w:t xml:space="preserve">tras formas de Asociación Público Privada (APP), para el diseño, construcción, mantenimiento, operación, administración y/o explotación de la </w:t>
      </w:r>
      <w:r>
        <w:rPr>
          <w:rFonts w:ascii="Work Sans" w:eastAsia="DengXian Light" w:hAnsi="Work Sans" w:cs="Arial"/>
          <w:color w:val="000000"/>
          <w:sz w:val="20"/>
          <w:szCs w:val="20"/>
          <w:lang w:bidi="ar-SA"/>
        </w:rPr>
        <w:lastRenderedPageBreak/>
        <w:t xml:space="preserve">infraestructura pública de transporte en todos sus modos y de los servicios conexos o relacionados, y en atención </w:t>
      </w:r>
      <w:r>
        <w:rPr>
          <w:rFonts w:ascii="Work Sans" w:eastAsia="DengXian Light" w:hAnsi="Work Sans" w:cs="Arial"/>
          <w:color w:val="000000"/>
          <w:sz w:val="20"/>
          <w:szCs w:val="20"/>
          <w:lang w:bidi="ar-SA"/>
        </w:rPr>
        <w:t xml:space="preserve">a su conocimiento y análisis técnicos, reuniones de socialización, concertación y acuerdos con usuarios y comunidades, llevados a cabo en virtud de sus competencias funcionales, le corresponde a la Agencia fijar los requisitos para acreditar la calidad de </w:t>
      </w:r>
      <w:r>
        <w:rPr>
          <w:rFonts w:ascii="Work Sans" w:eastAsia="DengXian Light" w:hAnsi="Work Sans" w:cs="Arial"/>
          <w:color w:val="000000"/>
          <w:sz w:val="20"/>
          <w:szCs w:val="20"/>
          <w:lang w:bidi="ar-SA"/>
        </w:rPr>
        <w:t xml:space="preserve">beneficiario, el procedimiento para acceder al beneficio, los mecanismos de otorgamiento, reemplazo y control y las causales de pérdida del beneficio, de las tasas diferenciales de peajes. </w:t>
      </w:r>
    </w:p>
    <w:bookmarkEnd w:id="2"/>
    <w:p w14:paraId="241B0E8B" w14:textId="77777777" w:rsidR="0089596F" w:rsidRDefault="0089596F">
      <w:pPr>
        <w:autoSpaceDE w:val="0"/>
        <w:jc w:val="both"/>
        <w:textAlignment w:val="auto"/>
        <w:rPr>
          <w:rFonts w:ascii="Work Sans" w:eastAsia="DengXian Light" w:hAnsi="Work Sans" w:cs="Arial"/>
          <w:color w:val="000000"/>
          <w:sz w:val="20"/>
          <w:szCs w:val="20"/>
          <w:shd w:val="clear" w:color="auto" w:fill="FFFF00"/>
        </w:rPr>
      </w:pPr>
    </w:p>
    <w:p w14:paraId="3D099E7F" w14:textId="77777777" w:rsidR="0089596F" w:rsidRDefault="00E054F8">
      <w:pPr>
        <w:tabs>
          <w:tab w:val="left" w:pos="0"/>
        </w:tabs>
        <w:jc w:val="both"/>
        <w:textAlignment w:val="auto"/>
        <w:rPr>
          <w:rFonts w:ascii="Work Sans" w:eastAsia="DejaVu Sans" w:hAnsi="Work Sans" w:cs="Arial"/>
          <w:sz w:val="20"/>
          <w:szCs w:val="20"/>
          <w:lang w:eastAsia="es-ES"/>
        </w:rPr>
      </w:pPr>
      <w:r>
        <w:rPr>
          <w:rFonts w:ascii="Work Sans" w:eastAsia="DejaVu Sans" w:hAnsi="Work Sans" w:cs="Arial"/>
          <w:sz w:val="20"/>
          <w:szCs w:val="20"/>
          <w:lang w:eastAsia="es-ES"/>
        </w:rPr>
        <w:t>Que el contenido de la presente resolución fue publicado en la pá</w:t>
      </w:r>
      <w:r>
        <w:rPr>
          <w:rFonts w:ascii="Work Sans" w:eastAsia="DejaVu Sans" w:hAnsi="Work Sans" w:cs="Arial"/>
          <w:sz w:val="20"/>
          <w:szCs w:val="20"/>
          <w:lang w:eastAsia="es-ES"/>
        </w:rPr>
        <w:t>gina web del Ministerio de Transporte y de la Agencia Nacional de Infraestructura, en cumplimiento de lo determinado en el numeral 8 del artículo 8° de la Ley 1437 de 2011, Decreto 1081 de 2015 modificado por el Decreto 270 de 2017 y Resolución 994 de 2017</w:t>
      </w:r>
      <w:r>
        <w:rPr>
          <w:rFonts w:ascii="Work Sans" w:eastAsia="DejaVu Sans" w:hAnsi="Work Sans" w:cs="Arial"/>
          <w:sz w:val="20"/>
          <w:szCs w:val="20"/>
          <w:lang w:eastAsia="es-ES"/>
        </w:rPr>
        <w:t xml:space="preserve"> del Ministerio de Transporte, con el objeto de recibir opiniones, sugerencias o propuestas alternativas.</w:t>
      </w:r>
    </w:p>
    <w:p w14:paraId="35124A39" w14:textId="77777777" w:rsidR="0089596F" w:rsidRDefault="0089596F">
      <w:pPr>
        <w:pStyle w:val="Standard"/>
        <w:autoSpaceDE w:val="0"/>
        <w:jc w:val="both"/>
        <w:rPr>
          <w:rFonts w:ascii="Work Sans" w:eastAsia="DengXian Light" w:hAnsi="Work Sans" w:cs="Arial"/>
          <w:color w:val="000000"/>
          <w:sz w:val="20"/>
        </w:rPr>
      </w:pPr>
    </w:p>
    <w:p w14:paraId="19B64F9D" w14:textId="77777777" w:rsidR="0089596F" w:rsidRDefault="00E054F8">
      <w:pPr>
        <w:pStyle w:val="Standard"/>
        <w:autoSpaceDE w:val="0"/>
        <w:jc w:val="both"/>
        <w:rPr>
          <w:rFonts w:ascii="Work Sans" w:eastAsia="DengXian Light" w:hAnsi="Work Sans" w:cs="Arial"/>
          <w:color w:val="000000"/>
          <w:sz w:val="20"/>
        </w:rPr>
      </w:pPr>
      <w:r>
        <w:rPr>
          <w:rFonts w:ascii="Work Sans" w:eastAsia="DengXian Light" w:hAnsi="Work Sans" w:cs="Arial"/>
          <w:color w:val="000000"/>
          <w:sz w:val="20"/>
        </w:rPr>
        <w:t>Que la Oficina Asesora de Jurídica del Ministerio de Transporte conservará los documentos asociados a la publicación del presente acto administrativo</w:t>
      </w:r>
      <w:r>
        <w:rPr>
          <w:rFonts w:ascii="Work Sans" w:eastAsia="DengXian Light" w:hAnsi="Work Sans" w:cs="Arial"/>
          <w:color w:val="000000"/>
          <w:sz w:val="20"/>
        </w:rPr>
        <w:t>. Todo ello en concordancia con las políticas de gestión documental y de archivo de la entidad.</w:t>
      </w:r>
    </w:p>
    <w:p w14:paraId="02190AE3" w14:textId="77777777" w:rsidR="0089596F" w:rsidRDefault="0089596F">
      <w:pPr>
        <w:pStyle w:val="Standard"/>
        <w:autoSpaceDE w:val="0"/>
        <w:jc w:val="both"/>
        <w:rPr>
          <w:rFonts w:ascii="Work Sans" w:eastAsia="DengXian Light" w:hAnsi="Work Sans" w:cs="Arial"/>
          <w:color w:val="000000"/>
          <w:sz w:val="20"/>
        </w:rPr>
      </w:pPr>
    </w:p>
    <w:p w14:paraId="15C35992" w14:textId="77777777" w:rsidR="0089596F" w:rsidRDefault="00E054F8">
      <w:pPr>
        <w:pStyle w:val="Standard"/>
        <w:autoSpaceDE w:val="0"/>
        <w:jc w:val="both"/>
        <w:rPr>
          <w:rFonts w:ascii="Work Sans" w:eastAsia="DengXian Light" w:hAnsi="Work Sans" w:cs="Arial"/>
          <w:color w:val="000000"/>
          <w:sz w:val="20"/>
        </w:rPr>
      </w:pPr>
      <w:r>
        <w:rPr>
          <w:rFonts w:ascii="Work Sans" w:eastAsia="DengXian Light" w:hAnsi="Work Sans" w:cs="Arial"/>
          <w:color w:val="000000"/>
          <w:sz w:val="20"/>
        </w:rPr>
        <w:t>En mérito de lo expuesto,</w:t>
      </w:r>
    </w:p>
    <w:p w14:paraId="024FE4E0" w14:textId="77777777" w:rsidR="0089596F" w:rsidRDefault="0089596F">
      <w:pPr>
        <w:pStyle w:val="Standard"/>
        <w:jc w:val="center"/>
        <w:rPr>
          <w:rFonts w:ascii="Work Sans" w:eastAsia="DengXian Light" w:hAnsi="Work Sans" w:cs="Arial"/>
          <w:b/>
          <w:bCs/>
          <w:color w:val="000000"/>
          <w:sz w:val="20"/>
        </w:rPr>
      </w:pPr>
    </w:p>
    <w:p w14:paraId="4E0C1DA5" w14:textId="77777777" w:rsidR="0089596F" w:rsidRDefault="00E054F8">
      <w:pPr>
        <w:pStyle w:val="Standard"/>
        <w:autoSpaceDE w:val="0"/>
        <w:jc w:val="center"/>
        <w:rPr>
          <w:rFonts w:ascii="Work Sans" w:eastAsia="DengXian Light" w:hAnsi="Work Sans" w:cs="Arial"/>
          <w:b/>
          <w:color w:val="000000"/>
          <w:sz w:val="20"/>
        </w:rPr>
      </w:pPr>
      <w:r>
        <w:rPr>
          <w:rFonts w:ascii="Work Sans" w:eastAsia="DengXian Light" w:hAnsi="Work Sans" w:cs="Arial"/>
          <w:b/>
          <w:color w:val="000000"/>
          <w:sz w:val="20"/>
        </w:rPr>
        <w:t>RESUELVE:</w:t>
      </w:r>
    </w:p>
    <w:p w14:paraId="41DA2C98" w14:textId="77777777" w:rsidR="0089596F" w:rsidRDefault="0089596F">
      <w:pPr>
        <w:pStyle w:val="Standard"/>
        <w:autoSpaceDE w:val="0"/>
        <w:ind w:right="49"/>
        <w:jc w:val="center"/>
        <w:rPr>
          <w:rFonts w:ascii="Work Sans" w:eastAsia="DengXian Light" w:hAnsi="Work Sans" w:cs="Arial"/>
          <w:b/>
          <w:color w:val="000000"/>
          <w:sz w:val="20"/>
        </w:rPr>
      </w:pPr>
    </w:p>
    <w:p w14:paraId="69ED920B" w14:textId="77777777" w:rsidR="0089596F" w:rsidRDefault="00E054F8">
      <w:pPr>
        <w:widowControl/>
        <w:ind w:right="49"/>
        <w:jc w:val="both"/>
      </w:pPr>
      <w:bookmarkStart w:id="13" w:name="_Hlk499306164"/>
      <w:r>
        <w:rPr>
          <w:rFonts w:ascii="Work Sans" w:eastAsia="DengXian Light" w:hAnsi="Work Sans" w:cs="Arial"/>
          <w:b/>
          <w:bCs/>
          <w:color w:val="000000"/>
          <w:sz w:val="20"/>
          <w:szCs w:val="20"/>
          <w:shd w:val="clear" w:color="auto" w:fill="FFFFFF"/>
        </w:rPr>
        <w:t>Artículo 1.-</w:t>
      </w:r>
      <w:r>
        <w:rPr>
          <w:rFonts w:ascii="Work Sans" w:hAnsi="Work Sans" w:cs="Arial"/>
          <w:color w:val="000000"/>
          <w:sz w:val="20"/>
          <w:szCs w:val="20"/>
        </w:rPr>
        <w:t xml:space="preserve"> Establecer las siguientes tarifas diferenciales en las categorías I y II en la estación de peaje </w:t>
      </w:r>
      <w:r>
        <w:rPr>
          <w:rFonts w:ascii="Work Sans" w:hAnsi="Work Sans" w:cs="Arial"/>
          <w:color w:val="000000"/>
          <w:sz w:val="20"/>
          <w:szCs w:val="20"/>
        </w:rPr>
        <w:t xml:space="preserve">denominada </w:t>
      </w:r>
      <w:bookmarkStart w:id="14" w:name="_Hlk76544804"/>
      <w:r>
        <w:rPr>
          <w:rFonts w:ascii="Work Sans" w:hAnsi="Work Sans" w:cs="Arial"/>
          <w:color w:val="000000"/>
          <w:sz w:val="20"/>
          <w:szCs w:val="20"/>
        </w:rPr>
        <w:t>Bayunca, así:</w:t>
      </w:r>
    </w:p>
    <w:p w14:paraId="5A088D21" w14:textId="77777777" w:rsidR="0089596F" w:rsidRDefault="0089596F">
      <w:pPr>
        <w:widowControl/>
        <w:ind w:right="49"/>
        <w:jc w:val="both"/>
        <w:rPr>
          <w:rFonts w:ascii="Work Sans" w:hAnsi="Work Sans" w:cs="Arial"/>
          <w:color w:val="000000"/>
          <w:sz w:val="18"/>
          <w:szCs w:val="18"/>
        </w:rPr>
      </w:pPr>
    </w:p>
    <w:tbl>
      <w:tblPr>
        <w:tblW w:w="7796" w:type="dxa"/>
        <w:tblInd w:w="279" w:type="dxa"/>
        <w:tblCellMar>
          <w:left w:w="10" w:type="dxa"/>
          <w:right w:w="10" w:type="dxa"/>
        </w:tblCellMar>
        <w:tblLook w:val="0000" w:firstRow="0" w:lastRow="0" w:firstColumn="0" w:lastColumn="0" w:noHBand="0" w:noVBand="0"/>
      </w:tblPr>
      <w:tblGrid>
        <w:gridCol w:w="2214"/>
        <w:gridCol w:w="1906"/>
        <w:gridCol w:w="2002"/>
        <w:gridCol w:w="1674"/>
      </w:tblGrid>
      <w:tr w:rsidR="0089596F" w14:paraId="326844D0" w14:textId="77777777">
        <w:tblPrEx>
          <w:tblCellMar>
            <w:top w:w="0" w:type="dxa"/>
            <w:bottom w:w="0" w:type="dxa"/>
          </w:tblCellMar>
        </w:tblPrEx>
        <w:trPr>
          <w:trHeight w:val="134"/>
        </w:trPr>
        <w:tc>
          <w:tcPr>
            <w:tcW w:w="221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bookmarkEnd w:id="14"/>
          <w:p w14:paraId="151B22BA" w14:textId="77777777" w:rsidR="0089596F" w:rsidRDefault="00E054F8">
            <w:pPr>
              <w:ind w:right="257"/>
              <w:jc w:val="center"/>
            </w:pPr>
            <w:r>
              <w:rPr>
                <w:rFonts w:ascii="Work Sans" w:hAnsi="Work Sans" w:cs="Arial"/>
                <w:b/>
                <w:iCs/>
                <w:sz w:val="18"/>
                <w:szCs w:val="18"/>
              </w:rPr>
              <w:t>CATEGORÍAS</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D0FF716" w14:textId="77777777" w:rsidR="0089596F" w:rsidRDefault="00E054F8">
            <w:pPr>
              <w:ind w:left="63" w:right="99"/>
              <w:jc w:val="center"/>
            </w:pPr>
            <w:r>
              <w:rPr>
                <w:rFonts w:ascii="Work Sans" w:hAnsi="Work Sans" w:cs="Arial"/>
                <w:b/>
                <w:iCs/>
                <w:sz w:val="18"/>
                <w:szCs w:val="18"/>
              </w:rPr>
              <w:t>DESCRIPCIÓN</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886E5B3" w14:textId="77777777" w:rsidR="0089596F" w:rsidRDefault="00E054F8">
            <w:pPr>
              <w:ind w:left="-19" w:right="123"/>
              <w:jc w:val="center"/>
              <w:rPr>
                <w:rFonts w:ascii="Work Sans" w:hAnsi="Work Sans" w:cs="Arial"/>
                <w:b/>
                <w:bCs/>
                <w:iCs/>
                <w:sz w:val="18"/>
                <w:szCs w:val="18"/>
              </w:rPr>
            </w:pPr>
            <w:r>
              <w:rPr>
                <w:rFonts w:ascii="Work Sans" w:hAnsi="Work Sans" w:cs="Arial"/>
                <w:b/>
                <w:bCs/>
                <w:iCs/>
                <w:sz w:val="18"/>
                <w:szCs w:val="18"/>
              </w:rPr>
              <w:t xml:space="preserve">TARIFAS (2022) </w:t>
            </w:r>
          </w:p>
          <w:p w14:paraId="6A26F4A4" w14:textId="77777777" w:rsidR="0089596F" w:rsidRDefault="00E054F8">
            <w:pPr>
              <w:ind w:left="-19" w:right="123"/>
              <w:jc w:val="center"/>
              <w:rPr>
                <w:rFonts w:ascii="Work Sans" w:hAnsi="Work Sans" w:cs="Arial"/>
                <w:b/>
                <w:bCs/>
                <w:iCs/>
                <w:sz w:val="18"/>
                <w:szCs w:val="18"/>
              </w:rPr>
            </w:pPr>
            <w:r>
              <w:rPr>
                <w:rFonts w:ascii="Work Sans" w:hAnsi="Work Sans" w:cs="Arial"/>
                <w:b/>
                <w:bCs/>
                <w:iCs/>
                <w:sz w:val="18"/>
                <w:szCs w:val="18"/>
              </w:rPr>
              <w:t>No Incluye FOSEVI</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3843814" w14:textId="77777777" w:rsidR="0089596F" w:rsidRDefault="00E054F8">
            <w:pPr>
              <w:ind w:right="254"/>
              <w:jc w:val="center"/>
              <w:rPr>
                <w:rFonts w:ascii="Work Sans" w:hAnsi="Work Sans" w:cs="Arial"/>
                <w:b/>
                <w:bCs/>
                <w:iCs/>
                <w:sz w:val="18"/>
                <w:szCs w:val="18"/>
              </w:rPr>
            </w:pPr>
            <w:r>
              <w:rPr>
                <w:rFonts w:ascii="Work Sans" w:hAnsi="Work Sans" w:cs="Arial"/>
                <w:b/>
                <w:bCs/>
                <w:iCs/>
                <w:sz w:val="18"/>
                <w:szCs w:val="18"/>
              </w:rPr>
              <w:t>CUPOS</w:t>
            </w:r>
          </w:p>
        </w:tc>
      </w:tr>
      <w:tr w:rsidR="0089596F" w14:paraId="358BAA22" w14:textId="77777777">
        <w:tblPrEx>
          <w:tblCellMar>
            <w:top w:w="0" w:type="dxa"/>
            <w:bottom w:w="0" w:type="dxa"/>
          </w:tblCellMar>
        </w:tblPrEx>
        <w:trPr>
          <w:trHeight w:val="170"/>
        </w:trPr>
        <w:tc>
          <w:tcPr>
            <w:tcW w:w="221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524A89E" w14:textId="77777777" w:rsidR="0089596F" w:rsidRDefault="00E054F8">
            <w:pPr>
              <w:ind w:left="426" w:right="616"/>
              <w:jc w:val="center"/>
              <w:rPr>
                <w:rFonts w:ascii="Work Sans" w:hAnsi="Work Sans" w:cs="Arial"/>
                <w:iCs/>
                <w:sz w:val="18"/>
                <w:szCs w:val="18"/>
              </w:rPr>
            </w:pPr>
            <w:r>
              <w:rPr>
                <w:rFonts w:ascii="Work Sans" w:hAnsi="Work Sans" w:cs="Arial"/>
                <w:iCs/>
                <w:sz w:val="18"/>
                <w:szCs w:val="18"/>
              </w:rPr>
              <w:t>Categoría IE</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A65930F" w14:textId="77777777" w:rsidR="0089596F" w:rsidRDefault="00E054F8">
            <w:pPr>
              <w:ind w:left="60" w:right="179"/>
              <w:jc w:val="both"/>
              <w:rPr>
                <w:rFonts w:ascii="Work Sans" w:hAnsi="Work Sans" w:cs="Arial"/>
                <w:iCs/>
                <w:sz w:val="18"/>
                <w:szCs w:val="18"/>
              </w:rPr>
            </w:pPr>
            <w:r>
              <w:rPr>
                <w:rFonts w:ascii="Work Sans" w:hAnsi="Work Sans" w:cs="Arial"/>
                <w:iCs/>
                <w:sz w:val="18"/>
                <w:szCs w:val="18"/>
              </w:rPr>
              <w:t>Automóviles, camperos, y camionetas y microbuses con ejes de llanta sencilla.</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5C7823D" w14:textId="77777777" w:rsidR="0089596F" w:rsidRDefault="00E054F8">
            <w:pPr>
              <w:ind w:left="426" w:right="616"/>
              <w:jc w:val="center"/>
              <w:rPr>
                <w:rFonts w:ascii="Work Sans" w:hAnsi="Work Sans" w:cs="Arial"/>
                <w:iCs/>
                <w:sz w:val="18"/>
                <w:szCs w:val="18"/>
              </w:rPr>
            </w:pPr>
            <w:r>
              <w:rPr>
                <w:rFonts w:ascii="Work Sans" w:hAnsi="Work Sans" w:cs="Arial"/>
                <w:iCs/>
                <w:sz w:val="18"/>
                <w:szCs w:val="18"/>
              </w:rPr>
              <w:t>$1.400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1DC2531" w14:textId="77777777" w:rsidR="0089596F" w:rsidRDefault="00E054F8">
            <w:pPr>
              <w:ind w:left="426" w:right="616"/>
              <w:jc w:val="center"/>
              <w:rPr>
                <w:rFonts w:ascii="Work Sans" w:hAnsi="Work Sans" w:cs="Arial"/>
                <w:iCs/>
                <w:sz w:val="18"/>
                <w:szCs w:val="18"/>
              </w:rPr>
            </w:pPr>
            <w:r>
              <w:rPr>
                <w:rFonts w:ascii="Work Sans" w:hAnsi="Work Sans" w:cs="Arial"/>
                <w:iCs/>
                <w:sz w:val="18"/>
                <w:szCs w:val="18"/>
              </w:rPr>
              <w:t>1500</w:t>
            </w:r>
          </w:p>
        </w:tc>
      </w:tr>
      <w:tr w:rsidR="0089596F" w14:paraId="727C198D" w14:textId="77777777">
        <w:tblPrEx>
          <w:tblCellMar>
            <w:top w:w="0" w:type="dxa"/>
            <w:bottom w:w="0" w:type="dxa"/>
          </w:tblCellMar>
        </w:tblPrEx>
        <w:trPr>
          <w:trHeight w:val="79"/>
        </w:trPr>
        <w:tc>
          <w:tcPr>
            <w:tcW w:w="221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A0AB251" w14:textId="77777777" w:rsidR="0089596F" w:rsidRDefault="00E054F8">
            <w:pPr>
              <w:ind w:left="426" w:right="616"/>
              <w:jc w:val="center"/>
              <w:rPr>
                <w:rFonts w:ascii="Work Sans" w:hAnsi="Work Sans" w:cs="Arial"/>
                <w:iCs/>
                <w:sz w:val="18"/>
                <w:szCs w:val="18"/>
              </w:rPr>
            </w:pPr>
            <w:r>
              <w:rPr>
                <w:rFonts w:ascii="Work Sans" w:hAnsi="Work Sans" w:cs="Arial"/>
                <w:iCs/>
                <w:sz w:val="18"/>
                <w:szCs w:val="18"/>
              </w:rPr>
              <w:t>Categoría IIE</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767B0B5" w14:textId="77777777" w:rsidR="0089596F" w:rsidRDefault="00E054F8">
            <w:pPr>
              <w:ind w:left="60" w:right="179"/>
              <w:jc w:val="both"/>
              <w:rPr>
                <w:rFonts w:ascii="Work Sans" w:hAnsi="Work Sans" w:cs="Arial"/>
                <w:iCs/>
                <w:sz w:val="18"/>
                <w:szCs w:val="18"/>
              </w:rPr>
            </w:pPr>
            <w:r>
              <w:rPr>
                <w:rFonts w:ascii="Work Sans" w:hAnsi="Work Sans" w:cs="Arial"/>
                <w:iCs/>
                <w:sz w:val="18"/>
                <w:szCs w:val="18"/>
              </w:rPr>
              <w:t xml:space="preserve">Buses, busetas, microbuses con eje </w:t>
            </w:r>
            <w:r>
              <w:rPr>
                <w:rFonts w:ascii="Work Sans" w:hAnsi="Work Sans" w:cs="Arial"/>
                <w:iCs/>
                <w:sz w:val="18"/>
                <w:szCs w:val="18"/>
              </w:rPr>
              <w:t>trasero de doble llanta camiones de dos ejes</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FF2DD14" w14:textId="77777777" w:rsidR="0089596F" w:rsidRDefault="00E054F8">
            <w:pPr>
              <w:ind w:left="426" w:right="616"/>
              <w:jc w:val="center"/>
              <w:rPr>
                <w:rFonts w:ascii="Work Sans" w:hAnsi="Work Sans" w:cs="Arial"/>
                <w:iCs/>
                <w:sz w:val="18"/>
                <w:szCs w:val="18"/>
              </w:rPr>
            </w:pPr>
            <w:r>
              <w:rPr>
                <w:rFonts w:ascii="Work Sans" w:hAnsi="Work Sans" w:cs="Arial"/>
                <w:iCs/>
                <w:sz w:val="18"/>
                <w:szCs w:val="18"/>
              </w:rPr>
              <w:t>$1.400</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318337D" w14:textId="77777777" w:rsidR="0089596F" w:rsidRDefault="00E054F8">
            <w:pPr>
              <w:ind w:left="426" w:right="616"/>
              <w:jc w:val="center"/>
              <w:rPr>
                <w:rFonts w:ascii="Work Sans" w:hAnsi="Work Sans" w:cs="Arial"/>
                <w:iCs/>
                <w:sz w:val="18"/>
                <w:szCs w:val="18"/>
              </w:rPr>
            </w:pPr>
            <w:r>
              <w:rPr>
                <w:rFonts w:ascii="Work Sans" w:hAnsi="Work Sans" w:cs="Arial"/>
                <w:iCs/>
                <w:sz w:val="18"/>
                <w:szCs w:val="18"/>
              </w:rPr>
              <w:t>100</w:t>
            </w:r>
          </w:p>
        </w:tc>
      </w:tr>
    </w:tbl>
    <w:p w14:paraId="1DED1994" w14:textId="77777777" w:rsidR="0089596F" w:rsidRDefault="0089596F">
      <w:pPr>
        <w:widowControl/>
        <w:ind w:right="49"/>
        <w:jc w:val="both"/>
        <w:rPr>
          <w:rFonts w:ascii="Work Sans" w:hAnsi="Work Sans" w:cs="Arial"/>
          <w:b/>
          <w:color w:val="000000"/>
          <w:sz w:val="18"/>
          <w:szCs w:val="18"/>
          <w:lang w:bidi="ar-SA"/>
        </w:rPr>
      </w:pPr>
    </w:p>
    <w:p w14:paraId="2BFB1736" w14:textId="77777777" w:rsidR="0089596F" w:rsidRDefault="00E054F8">
      <w:pPr>
        <w:ind w:right="49"/>
        <w:jc w:val="both"/>
      </w:pPr>
      <w:r>
        <w:rPr>
          <w:rFonts w:ascii="Work Sans" w:hAnsi="Work Sans" w:cs="Arial"/>
          <w:b/>
          <w:bCs/>
          <w:color w:val="000000"/>
          <w:sz w:val="20"/>
          <w:szCs w:val="20"/>
        </w:rPr>
        <w:t xml:space="preserve">Parágrafo primero: </w:t>
      </w:r>
      <w:r>
        <w:rPr>
          <w:rFonts w:ascii="Work Sans" w:hAnsi="Work Sans" w:cs="Arial"/>
          <w:sz w:val="20"/>
          <w:szCs w:val="20"/>
        </w:rPr>
        <w:t xml:space="preserve">La tarifa de peaje fijada no incluye el valor correspondiente al FOSEVI. En todo caso, si el FOSEVI se llegare a incrementar, dicho incremento se deberá adicionar a esta </w:t>
      </w:r>
      <w:r>
        <w:rPr>
          <w:rFonts w:ascii="Work Sans" w:hAnsi="Work Sans" w:cs="Arial"/>
          <w:sz w:val="20"/>
          <w:szCs w:val="20"/>
        </w:rPr>
        <w:t>tarifa en el momento del cobro.</w:t>
      </w:r>
    </w:p>
    <w:p w14:paraId="5AB6414A" w14:textId="77777777" w:rsidR="0089596F" w:rsidRDefault="0089596F">
      <w:pPr>
        <w:ind w:right="49"/>
        <w:jc w:val="both"/>
        <w:rPr>
          <w:rFonts w:ascii="Work Sans" w:hAnsi="Work Sans" w:cs="Arial"/>
          <w:sz w:val="20"/>
          <w:szCs w:val="20"/>
        </w:rPr>
      </w:pPr>
    </w:p>
    <w:p w14:paraId="1CF3A973" w14:textId="77777777" w:rsidR="0089596F" w:rsidRDefault="00E054F8">
      <w:pPr>
        <w:ind w:right="49"/>
        <w:jc w:val="both"/>
      </w:pPr>
      <w:r>
        <w:rPr>
          <w:rFonts w:ascii="Work Sans" w:hAnsi="Work Sans" w:cs="Arial"/>
          <w:b/>
          <w:bCs/>
          <w:sz w:val="20"/>
          <w:szCs w:val="20"/>
        </w:rPr>
        <w:t>Parágrafo segundo:</w:t>
      </w:r>
      <w:r>
        <w:rPr>
          <w:rFonts w:ascii="Work Sans" w:hAnsi="Work Sans" w:cs="Arial"/>
          <w:sz w:val="20"/>
          <w:szCs w:val="20"/>
        </w:rPr>
        <w:t xml:space="preserve"> Las tarifas diferenciales establecidas en el presente artículo aplican únicamente para vehículos de servicio particular y público de los habitantes y </w:t>
      </w:r>
      <w:r>
        <w:rPr>
          <w:rFonts w:ascii="Work Sans" w:eastAsia="Work Sans" w:hAnsi="Work Sans" w:cs="Work Sans"/>
          <w:sz w:val="20"/>
          <w:szCs w:val="20"/>
        </w:rPr>
        <w:t>usuarios que laboren, estudien o que tengan relación c</w:t>
      </w:r>
      <w:r>
        <w:rPr>
          <w:rFonts w:ascii="Work Sans" w:eastAsia="Work Sans" w:hAnsi="Work Sans" w:cs="Work Sans"/>
          <w:sz w:val="20"/>
          <w:szCs w:val="20"/>
        </w:rPr>
        <w:t>on los municipios</w:t>
      </w:r>
      <w:r>
        <w:rPr>
          <w:rFonts w:ascii="Work Sans" w:hAnsi="Work Sans" w:cs="Arial"/>
          <w:sz w:val="20"/>
          <w:szCs w:val="20"/>
        </w:rPr>
        <w:t xml:space="preserve"> de Santa Catalina, Bayunca y Clemencia.</w:t>
      </w:r>
    </w:p>
    <w:p w14:paraId="4AB85407" w14:textId="77777777" w:rsidR="0089596F" w:rsidRDefault="0089596F">
      <w:pPr>
        <w:ind w:right="49"/>
        <w:jc w:val="both"/>
        <w:rPr>
          <w:rFonts w:ascii="Work Sans" w:hAnsi="Work Sans" w:cs="Arial"/>
          <w:b/>
          <w:bCs/>
          <w:color w:val="000000"/>
          <w:sz w:val="20"/>
          <w:szCs w:val="20"/>
        </w:rPr>
      </w:pPr>
    </w:p>
    <w:p w14:paraId="1C7C73AD" w14:textId="77777777" w:rsidR="0089596F" w:rsidRDefault="00E054F8">
      <w:pPr>
        <w:ind w:right="49"/>
        <w:jc w:val="both"/>
      </w:pPr>
      <w:bookmarkStart w:id="15" w:name="_Hlk75975429"/>
      <w:r>
        <w:rPr>
          <w:rFonts w:ascii="Work Sans" w:hAnsi="Work Sans" w:cs="Arial"/>
          <w:b/>
          <w:bCs/>
          <w:color w:val="000000"/>
          <w:sz w:val="20"/>
          <w:szCs w:val="20"/>
        </w:rPr>
        <w:t xml:space="preserve">Artículo 2.- </w:t>
      </w:r>
      <w:r>
        <w:rPr>
          <w:rFonts w:ascii="Work Sans" w:hAnsi="Work Sans" w:cs="Arial"/>
          <w:bCs/>
          <w:color w:val="000000"/>
          <w:sz w:val="20"/>
          <w:szCs w:val="20"/>
        </w:rPr>
        <w:t>Las tarifas previstas</w:t>
      </w:r>
      <w:r>
        <w:rPr>
          <w:rFonts w:ascii="Work Sans" w:hAnsi="Work Sans" w:cs="Arial"/>
          <w:color w:val="000000"/>
          <w:sz w:val="20"/>
          <w:szCs w:val="20"/>
        </w:rPr>
        <w:t xml:space="preserve"> en el artículo 1 </w:t>
      </w:r>
      <w:proofErr w:type="gramStart"/>
      <w:r>
        <w:rPr>
          <w:rFonts w:ascii="Work Sans" w:hAnsi="Work Sans" w:cs="Arial"/>
          <w:color w:val="000000"/>
          <w:sz w:val="20"/>
          <w:szCs w:val="20"/>
        </w:rPr>
        <w:t>entraran</w:t>
      </w:r>
      <w:proofErr w:type="gramEnd"/>
      <w:r>
        <w:rPr>
          <w:rFonts w:ascii="Work Sans" w:hAnsi="Work Sans" w:cs="Arial"/>
          <w:color w:val="000000"/>
          <w:sz w:val="20"/>
          <w:szCs w:val="20"/>
        </w:rPr>
        <w:t xml:space="preserve"> a regir a partir de la publicación de la presente resolución y se actualizarán anualmente de conformidad con lo dispuesto para el efecto</w:t>
      </w:r>
      <w:r>
        <w:rPr>
          <w:rFonts w:ascii="Work Sans" w:hAnsi="Work Sans" w:cs="Arial"/>
          <w:color w:val="000000"/>
          <w:sz w:val="20"/>
          <w:szCs w:val="20"/>
        </w:rPr>
        <w:t xml:space="preserve"> en el Contrato de Concesión No. 002 de 2021. En todo caso dicho incremento nunca será inferior a cien pesos ($100).</w:t>
      </w:r>
    </w:p>
    <w:p w14:paraId="6D6E733C" w14:textId="77777777" w:rsidR="0089596F" w:rsidRDefault="0089596F">
      <w:pPr>
        <w:ind w:right="49"/>
        <w:jc w:val="both"/>
        <w:rPr>
          <w:rFonts w:ascii="Work Sans" w:hAnsi="Work Sans" w:cs="Arial"/>
          <w:b/>
          <w:bCs/>
          <w:color w:val="000000"/>
          <w:sz w:val="20"/>
          <w:szCs w:val="20"/>
        </w:rPr>
      </w:pPr>
    </w:p>
    <w:p w14:paraId="4147B843" w14:textId="77777777" w:rsidR="0089596F" w:rsidRDefault="00E054F8">
      <w:pPr>
        <w:ind w:right="49"/>
        <w:jc w:val="both"/>
      </w:pPr>
      <w:r>
        <w:rPr>
          <w:rFonts w:ascii="Work Sans" w:hAnsi="Work Sans" w:cs="Arial"/>
          <w:b/>
          <w:bCs/>
          <w:color w:val="000000"/>
          <w:sz w:val="20"/>
          <w:szCs w:val="20"/>
        </w:rPr>
        <w:t xml:space="preserve">Artículo 3.- </w:t>
      </w:r>
      <w:r>
        <w:rPr>
          <w:rFonts w:ascii="Work Sans" w:hAnsi="Work Sans" w:cs="Arial"/>
          <w:sz w:val="20"/>
          <w:szCs w:val="20"/>
        </w:rPr>
        <w:t xml:space="preserve">La Agencia Nacional de Infraestructura fijará los requisitos para acreditar la calidad de beneficiario de las tarifas </w:t>
      </w:r>
      <w:r>
        <w:rPr>
          <w:rFonts w:ascii="Work Sans" w:hAnsi="Work Sans" w:cs="Arial"/>
          <w:sz w:val="20"/>
          <w:szCs w:val="20"/>
        </w:rPr>
        <w:t>diferenciales en la Estación de Peaje Bayunca, el procedimiento para acceder al beneficio y las causales de pérdida de este.</w:t>
      </w:r>
    </w:p>
    <w:p w14:paraId="7774B8BB" w14:textId="77777777" w:rsidR="0089596F" w:rsidRDefault="0089596F">
      <w:pPr>
        <w:ind w:right="49"/>
        <w:jc w:val="both"/>
        <w:rPr>
          <w:rFonts w:ascii="Work Sans" w:hAnsi="Work Sans" w:cs="Arial"/>
          <w:color w:val="000000"/>
          <w:sz w:val="20"/>
          <w:szCs w:val="20"/>
          <w:lang w:bidi="ar-SA"/>
        </w:rPr>
      </w:pPr>
    </w:p>
    <w:p w14:paraId="53DFC855" w14:textId="77777777" w:rsidR="0089596F" w:rsidRDefault="00E054F8">
      <w:pPr>
        <w:jc w:val="both"/>
      </w:pPr>
      <w:r>
        <w:rPr>
          <w:rStyle w:val="CuerpodeltextoNegrita"/>
          <w:rFonts w:ascii="Work Sans" w:eastAsia="DengXian Light" w:hAnsi="Work Sans"/>
          <w:color w:val="000000"/>
          <w:sz w:val="20"/>
          <w:szCs w:val="20"/>
        </w:rPr>
        <w:t xml:space="preserve">Artículo 4.- </w:t>
      </w:r>
      <w:r>
        <w:rPr>
          <w:rFonts w:ascii="Work Sans" w:hAnsi="Work Sans" w:cs="Arial"/>
          <w:sz w:val="20"/>
          <w:szCs w:val="20"/>
        </w:rPr>
        <w:t xml:space="preserve">La Agencia Nacional de Infraestructura deberá proponer con suficiente </w:t>
      </w:r>
      <w:r>
        <w:rPr>
          <w:rFonts w:ascii="Work Sans" w:hAnsi="Work Sans" w:cs="Arial"/>
          <w:sz w:val="20"/>
          <w:szCs w:val="20"/>
        </w:rPr>
        <w:lastRenderedPageBreak/>
        <w:t>antelación al Ministerio de Transporte una modi</w:t>
      </w:r>
      <w:r>
        <w:rPr>
          <w:rFonts w:ascii="Work Sans" w:hAnsi="Work Sans" w:cs="Arial"/>
          <w:sz w:val="20"/>
          <w:szCs w:val="20"/>
        </w:rPr>
        <w:t>ficación y/o redistribución de los cupos y/o incremento del valor de las tarifas y demás condiciones previstas en la presente resolución, cuando advierta amenaza o insuficiencia de alguno de los mecanismos de compensación contemplados en el Contrato de Con</w:t>
      </w:r>
      <w:r>
        <w:rPr>
          <w:rFonts w:ascii="Work Sans" w:hAnsi="Work Sans" w:cs="Arial"/>
          <w:sz w:val="20"/>
          <w:szCs w:val="20"/>
        </w:rPr>
        <w:t>cesión No. 002 de 2021 que pueda impactar el equilibrio financiero del mismo.</w:t>
      </w:r>
    </w:p>
    <w:bookmarkEnd w:id="15"/>
    <w:p w14:paraId="4B153C05" w14:textId="77777777" w:rsidR="0089596F" w:rsidRDefault="0089596F">
      <w:pPr>
        <w:widowControl/>
        <w:ind w:right="-1"/>
        <w:jc w:val="both"/>
        <w:rPr>
          <w:rFonts w:ascii="Work Sans" w:hAnsi="Work Sans" w:cs="Arial"/>
          <w:color w:val="000000"/>
          <w:sz w:val="20"/>
          <w:szCs w:val="20"/>
          <w:lang w:bidi="ar-SA"/>
        </w:rPr>
      </w:pPr>
    </w:p>
    <w:bookmarkEnd w:id="13"/>
    <w:p w14:paraId="08AC6F2D" w14:textId="77777777" w:rsidR="0089596F" w:rsidRDefault="00E054F8">
      <w:pPr>
        <w:jc w:val="both"/>
      </w:pPr>
      <w:r>
        <w:rPr>
          <w:rStyle w:val="CuerpodeltextoNegrita"/>
          <w:rFonts w:ascii="Work Sans" w:eastAsia="DengXian Light" w:hAnsi="Work Sans"/>
          <w:b w:val="0"/>
          <w:color w:val="000000"/>
          <w:sz w:val="20"/>
          <w:szCs w:val="20"/>
        </w:rPr>
        <w:t>Artículo 5.- La presente Resolución rige a partir de su publicación en el diario oficial.</w:t>
      </w:r>
    </w:p>
    <w:p w14:paraId="5A31BF47" w14:textId="77777777" w:rsidR="0089596F" w:rsidRDefault="0089596F">
      <w:pPr>
        <w:jc w:val="both"/>
        <w:rPr>
          <w:rFonts w:ascii="Work Sans" w:hAnsi="Work Sans" w:cs="Arial"/>
          <w:color w:val="000000"/>
          <w:sz w:val="20"/>
          <w:szCs w:val="20"/>
          <w:lang w:eastAsia="es-ES"/>
        </w:rPr>
      </w:pPr>
    </w:p>
    <w:p w14:paraId="4183EDE5" w14:textId="77777777" w:rsidR="0089596F" w:rsidRDefault="0089596F">
      <w:pPr>
        <w:jc w:val="both"/>
        <w:rPr>
          <w:rFonts w:ascii="Work Sans" w:hAnsi="Work Sans" w:cs="Arial"/>
          <w:color w:val="000000"/>
          <w:sz w:val="20"/>
          <w:szCs w:val="20"/>
          <w:lang w:eastAsia="es-ES"/>
        </w:rPr>
      </w:pPr>
    </w:p>
    <w:p w14:paraId="7D4A41A1" w14:textId="77777777" w:rsidR="0089596F" w:rsidRDefault="0089596F">
      <w:pPr>
        <w:widowControl/>
        <w:ind w:left="40" w:right="60"/>
        <w:jc w:val="both"/>
        <w:textAlignment w:val="auto"/>
        <w:rPr>
          <w:rFonts w:ascii="Work Sans" w:eastAsia="DengXian Light" w:hAnsi="Work Sans" w:cs="Arial"/>
          <w:color w:val="000000"/>
          <w:sz w:val="20"/>
          <w:szCs w:val="20"/>
          <w:lang w:eastAsia="es-CO"/>
        </w:rPr>
      </w:pPr>
    </w:p>
    <w:p w14:paraId="24C4BCB8" w14:textId="77777777" w:rsidR="0089596F" w:rsidRDefault="00E054F8">
      <w:pPr>
        <w:jc w:val="center"/>
        <w:rPr>
          <w:rFonts w:ascii="Work Sans" w:eastAsia="DengXian Light" w:hAnsi="Work Sans" w:cs="Arial"/>
          <w:b/>
          <w:color w:val="000000"/>
          <w:sz w:val="20"/>
          <w:szCs w:val="20"/>
        </w:rPr>
      </w:pPr>
      <w:r>
        <w:rPr>
          <w:rFonts w:ascii="Work Sans" w:eastAsia="DengXian Light" w:hAnsi="Work Sans" w:cs="Arial"/>
          <w:b/>
          <w:color w:val="000000"/>
          <w:sz w:val="20"/>
          <w:szCs w:val="20"/>
        </w:rPr>
        <w:t>PUBLÍQUESE Y CÚMPLASE</w:t>
      </w:r>
    </w:p>
    <w:p w14:paraId="2A88A2CE" w14:textId="77777777" w:rsidR="0089596F" w:rsidRDefault="0089596F">
      <w:pPr>
        <w:widowControl/>
        <w:tabs>
          <w:tab w:val="left" w:pos="3717"/>
        </w:tabs>
        <w:ind w:left="20"/>
        <w:jc w:val="both"/>
        <w:textAlignment w:val="auto"/>
        <w:rPr>
          <w:rFonts w:ascii="Work Sans" w:eastAsia="DengXian Light" w:hAnsi="Work Sans" w:cs="Arial"/>
          <w:color w:val="000000"/>
          <w:sz w:val="20"/>
          <w:szCs w:val="20"/>
          <w:lang w:eastAsia="es-CO"/>
        </w:rPr>
      </w:pPr>
    </w:p>
    <w:p w14:paraId="56DA8902" w14:textId="77777777" w:rsidR="0089596F" w:rsidRDefault="0089596F">
      <w:pPr>
        <w:widowControl/>
        <w:tabs>
          <w:tab w:val="left" w:pos="3717"/>
        </w:tabs>
        <w:ind w:left="20"/>
        <w:jc w:val="both"/>
        <w:textAlignment w:val="auto"/>
        <w:rPr>
          <w:rFonts w:ascii="Work Sans" w:eastAsia="DengXian Light" w:hAnsi="Work Sans" w:cs="Arial"/>
          <w:color w:val="000000"/>
          <w:sz w:val="20"/>
          <w:szCs w:val="20"/>
        </w:rPr>
      </w:pPr>
    </w:p>
    <w:p w14:paraId="18C6F935" w14:textId="77777777" w:rsidR="0089596F" w:rsidRDefault="0089596F">
      <w:pPr>
        <w:widowControl/>
        <w:tabs>
          <w:tab w:val="left" w:pos="3717"/>
        </w:tabs>
        <w:ind w:left="20"/>
        <w:jc w:val="both"/>
        <w:textAlignment w:val="auto"/>
        <w:rPr>
          <w:rFonts w:ascii="Work Sans" w:eastAsia="DengXian Light" w:hAnsi="Work Sans" w:cs="Arial"/>
          <w:color w:val="000000"/>
          <w:sz w:val="20"/>
          <w:szCs w:val="20"/>
        </w:rPr>
      </w:pPr>
    </w:p>
    <w:p w14:paraId="245313D0" w14:textId="77777777" w:rsidR="0089596F" w:rsidRDefault="0089596F">
      <w:pPr>
        <w:widowControl/>
        <w:tabs>
          <w:tab w:val="left" w:pos="3717"/>
        </w:tabs>
        <w:ind w:left="20"/>
        <w:jc w:val="both"/>
        <w:textAlignment w:val="auto"/>
        <w:rPr>
          <w:rFonts w:ascii="Work Sans" w:eastAsia="DengXian Light" w:hAnsi="Work Sans" w:cs="Arial"/>
          <w:color w:val="000000"/>
          <w:sz w:val="20"/>
          <w:szCs w:val="20"/>
        </w:rPr>
      </w:pPr>
    </w:p>
    <w:p w14:paraId="222BD6D3" w14:textId="77777777" w:rsidR="0089596F" w:rsidRDefault="0089596F">
      <w:pPr>
        <w:widowControl/>
        <w:tabs>
          <w:tab w:val="left" w:pos="3717"/>
        </w:tabs>
        <w:ind w:left="20"/>
        <w:jc w:val="both"/>
        <w:textAlignment w:val="auto"/>
        <w:rPr>
          <w:rFonts w:ascii="Work Sans" w:eastAsia="DengXian Light" w:hAnsi="Work Sans" w:cs="Arial"/>
          <w:color w:val="000000"/>
          <w:sz w:val="20"/>
          <w:szCs w:val="20"/>
        </w:rPr>
      </w:pPr>
    </w:p>
    <w:p w14:paraId="06DD2257" w14:textId="77777777" w:rsidR="0089596F" w:rsidRDefault="00E054F8">
      <w:pPr>
        <w:spacing w:line="254" w:lineRule="auto"/>
        <w:jc w:val="center"/>
        <w:rPr>
          <w:rFonts w:ascii="Work Sans" w:eastAsia="DengXian Light" w:hAnsi="Work Sans" w:cs="Arial"/>
          <w:b/>
          <w:bCs/>
          <w:color w:val="000000"/>
          <w:sz w:val="20"/>
          <w:szCs w:val="20"/>
        </w:rPr>
      </w:pPr>
      <w:r>
        <w:rPr>
          <w:rFonts w:ascii="Work Sans" w:eastAsia="DengXian Light" w:hAnsi="Work Sans" w:cs="Arial"/>
          <w:b/>
          <w:bCs/>
          <w:color w:val="000000"/>
          <w:sz w:val="20"/>
          <w:szCs w:val="20"/>
        </w:rPr>
        <w:t>ÁNGELA MARÍA OROZCO GÓMEZ</w:t>
      </w:r>
    </w:p>
    <w:p w14:paraId="6C7B143B" w14:textId="77777777" w:rsidR="0089596F" w:rsidRDefault="0089596F">
      <w:pPr>
        <w:widowControl/>
        <w:tabs>
          <w:tab w:val="left" w:pos="3717"/>
        </w:tabs>
        <w:ind w:left="20"/>
        <w:jc w:val="both"/>
        <w:textAlignment w:val="auto"/>
        <w:rPr>
          <w:rFonts w:ascii="Arial" w:eastAsia="DengXian Light" w:hAnsi="Arial" w:cs="Arial"/>
          <w:color w:val="000000"/>
          <w:sz w:val="22"/>
          <w:szCs w:val="22"/>
        </w:rPr>
      </w:pPr>
    </w:p>
    <w:p w14:paraId="48C41737" w14:textId="77777777" w:rsidR="0089596F" w:rsidRDefault="0089596F">
      <w:pPr>
        <w:tabs>
          <w:tab w:val="left" w:pos="0"/>
        </w:tabs>
        <w:jc w:val="both"/>
        <w:rPr>
          <w:rFonts w:ascii="Arial" w:hAnsi="Arial" w:cs="Arial"/>
          <w:b/>
          <w:color w:val="000000"/>
          <w:sz w:val="21"/>
          <w:szCs w:val="21"/>
          <w:lang w:eastAsia="es-ES"/>
        </w:rPr>
      </w:pPr>
    </w:p>
    <w:p w14:paraId="25BB7585" w14:textId="77777777" w:rsidR="0089596F" w:rsidRDefault="0089596F">
      <w:pPr>
        <w:pStyle w:val="Standard"/>
        <w:rPr>
          <w:rFonts w:ascii="Work Sans" w:hAnsi="Work Sans"/>
          <w:lang w:val="es-CO"/>
        </w:rPr>
      </w:pPr>
    </w:p>
    <w:p w14:paraId="23982F4F" w14:textId="77777777" w:rsidR="0089596F" w:rsidRDefault="00E054F8">
      <w:pPr>
        <w:jc w:val="both"/>
        <w:rPr>
          <w:rFonts w:ascii="Work Sans" w:hAnsi="Work Sans" w:cs="Arial"/>
          <w:sz w:val="12"/>
          <w:szCs w:val="12"/>
          <w:lang w:eastAsia="es-CO"/>
        </w:rPr>
      </w:pPr>
      <w:r>
        <w:rPr>
          <w:rFonts w:ascii="Work Sans" w:hAnsi="Work Sans" w:cs="Arial"/>
          <w:sz w:val="12"/>
          <w:szCs w:val="12"/>
          <w:lang w:eastAsia="es-CO"/>
        </w:rPr>
        <w:t xml:space="preserve">Manuel Felipe </w:t>
      </w:r>
      <w:r>
        <w:rPr>
          <w:rFonts w:ascii="Work Sans" w:hAnsi="Work Sans" w:cs="Arial"/>
          <w:sz w:val="12"/>
          <w:szCs w:val="12"/>
          <w:lang w:eastAsia="es-CO"/>
        </w:rPr>
        <w:t xml:space="preserve">Gutiérrez Torres – </w:t>
      </w:r>
      <w:proofErr w:type="gramStart"/>
      <w:r>
        <w:rPr>
          <w:rFonts w:ascii="Work Sans" w:hAnsi="Work Sans" w:cs="Arial"/>
          <w:sz w:val="12"/>
          <w:szCs w:val="12"/>
          <w:lang w:eastAsia="es-CO"/>
        </w:rPr>
        <w:t>Presidente</w:t>
      </w:r>
      <w:proofErr w:type="gramEnd"/>
      <w:r>
        <w:rPr>
          <w:rFonts w:ascii="Work Sans" w:hAnsi="Work Sans" w:cs="Arial"/>
          <w:sz w:val="12"/>
          <w:szCs w:val="12"/>
          <w:lang w:eastAsia="es-CO"/>
        </w:rPr>
        <w:t xml:space="preserve"> Agencia Nacional de Infraestructura</w:t>
      </w:r>
    </w:p>
    <w:p w14:paraId="205BA1D3" w14:textId="77777777" w:rsidR="0089596F" w:rsidRDefault="00E054F8">
      <w:pPr>
        <w:jc w:val="both"/>
        <w:rPr>
          <w:rFonts w:ascii="Work Sans" w:hAnsi="Work Sans" w:cs="Arial"/>
          <w:sz w:val="12"/>
          <w:szCs w:val="12"/>
          <w:lang w:eastAsia="es-CO"/>
        </w:rPr>
      </w:pPr>
      <w:r>
        <w:rPr>
          <w:rFonts w:ascii="Work Sans" w:hAnsi="Work Sans" w:cs="Arial"/>
          <w:sz w:val="12"/>
          <w:szCs w:val="12"/>
          <w:lang w:eastAsia="es-CO"/>
        </w:rPr>
        <w:t xml:space="preserve">Fernando Ramírez Laguado- </w:t>
      </w:r>
      <w:proofErr w:type="gramStart"/>
      <w:r>
        <w:rPr>
          <w:rFonts w:ascii="Work Sans" w:hAnsi="Work Sans" w:cs="Arial"/>
          <w:sz w:val="12"/>
          <w:szCs w:val="12"/>
          <w:lang w:eastAsia="es-CO"/>
        </w:rPr>
        <w:t>Vicepresidente</w:t>
      </w:r>
      <w:proofErr w:type="gramEnd"/>
      <w:r>
        <w:rPr>
          <w:rFonts w:ascii="Work Sans" w:hAnsi="Work Sans" w:cs="Arial"/>
          <w:sz w:val="12"/>
          <w:szCs w:val="12"/>
          <w:lang w:eastAsia="es-CO"/>
        </w:rPr>
        <w:t xml:space="preserve"> Jurídico, Agencia Nacional de Infraestructura </w:t>
      </w:r>
    </w:p>
    <w:p w14:paraId="765BD100" w14:textId="77777777" w:rsidR="0089596F" w:rsidRDefault="00E054F8">
      <w:pPr>
        <w:jc w:val="both"/>
        <w:rPr>
          <w:rFonts w:ascii="Work Sans" w:hAnsi="Work Sans" w:cs="Arial"/>
          <w:sz w:val="12"/>
          <w:szCs w:val="12"/>
          <w:lang w:eastAsia="es-CO"/>
        </w:rPr>
      </w:pPr>
      <w:bookmarkStart w:id="16" w:name="_Hlk512429908"/>
      <w:r>
        <w:rPr>
          <w:rFonts w:ascii="Work Sans" w:hAnsi="Work Sans" w:cs="Arial"/>
          <w:sz w:val="12"/>
          <w:szCs w:val="12"/>
          <w:lang w:eastAsia="es-CO"/>
        </w:rPr>
        <w:t xml:space="preserve">Sol Ángel Cala Acosta – Asesora Despacho de la </w:t>
      </w:r>
      <w:proofErr w:type="gramStart"/>
      <w:r>
        <w:rPr>
          <w:rFonts w:ascii="Work Sans" w:hAnsi="Work Sans" w:cs="Arial"/>
          <w:sz w:val="12"/>
          <w:szCs w:val="12"/>
          <w:lang w:eastAsia="es-CO"/>
        </w:rPr>
        <w:t>Ministra</w:t>
      </w:r>
      <w:proofErr w:type="gramEnd"/>
      <w:r>
        <w:rPr>
          <w:rFonts w:ascii="Work Sans" w:hAnsi="Work Sans" w:cs="Arial"/>
          <w:sz w:val="12"/>
          <w:szCs w:val="12"/>
          <w:lang w:eastAsia="es-CO"/>
        </w:rPr>
        <w:t>, Ministerio de Transporte</w:t>
      </w:r>
    </w:p>
    <w:bookmarkEnd w:id="16"/>
    <w:p w14:paraId="3B6DD36D" w14:textId="77777777" w:rsidR="0089596F" w:rsidRDefault="00E054F8">
      <w:pPr>
        <w:rPr>
          <w:rFonts w:ascii="Work Sans" w:hAnsi="Work Sans" w:cs="Arial"/>
          <w:sz w:val="12"/>
          <w:szCs w:val="12"/>
          <w:lang w:eastAsia="es-CO"/>
        </w:rPr>
      </w:pPr>
      <w:r>
        <w:rPr>
          <w:rFonts w:ascii="Work Sans" w:hAnsi="Work Sans" w:cs="Arial"/>
          <w:sz w:val="12"/>
          <w:szCs w:val="12"/>
          <w:lang w:eastAsia="es-CO"/>
        </w:rPr>
        <w:t>María del Pilar Urib</w:t>
      </w:r>
      <w:r>
        <w:rPr>
          <w:rFonts w:ascii="Work Sans" w:hAnsi="Work Sans" w:cs="Arial"/>
          <w:sz w:val="12"/>
          <w:szCs w:val="12"/>
          <w:lang w:eastAsia="es-CO"/>
        </w:rPr>
        <w:t xml:space="preserve">e Pontón - </w:t>
      </w:r>
      <w:proofErr w:type="gramStart"/>
      <w:r>
        <w:rPr>
          <w:rFonts w:ascii="Work Sans" w:hAnsi="Work Sans" w:cs="Arial"/>
          <w:sz w:val="12"/>
          <w:szCs w:val="12"/>
          <w:lang w:eastAsia="es-CO"/>
        </w:rPr>
        <w:t>Jefe</w:t>
      </w:r>
      <w:proofErr w:type="gramEnd"/>
      <w:r>
        <w:rPr>
          <w:rFonts w:ascii="Work Sans" w:hAnsi="Work Sans" w:cs="Arial"/>
          <w:sz w:val="12"/>
          <w:szCs w:val="12"/>
          <w:lang w:eastAsia="es-CO"/>
        </w:rPr>
        <w:t xml:space="preserve"> Oficina Asesora de Jurídica, Ministerio de Transporte</w:t>
      </w:r>
    </w:p>
    <w:p w14:paraId="7F54E21F" w14:textId="77777777" w:rsidR="0089596F" w:rsidRDefault="00E054F8">
      <w:pPr>
        <w:widowControl/>
        <w:rPr>
          <w:rFonts w:ascii="Work Sans" w:hAnsi="Work Sans" w:cs="Arial"/>
          <w:sz w:val="12"/>
          <w:szCs w:val="12"/>
          <w:lang w:eastAsia="es-CO"/>
        </w:rPr>
      </w:pPr>
      <w:r>
        <w:rPr>
          <w:rFonts w:ascii="Work Sans" w:hAnsi="Work Sans" w:cs="Arial"/>
          <w:sz w:val="12"/>
          <w:szCs w:val="12"/>
          <w:lang w:eastAsia="es-CO"/>
        </w:rPr>
        <w:t xml:space="preserve">Julián Soto Ocampo – </w:t>
      </w:r>
      <w:proofErr w:type="gramStart"/>
      <w:r>
        <w:rPr>
          <w:rFonts w:ascii="Work Sans" w:hAnsi="Work Sans" w:cs="Arial"/>
          <w:sz w:val="12"/>
          <w:szCs w:val="12"/>
          <w:lang w:eastAsia="es-CO"/>
        </w:rPr>
        <w:t>Jefe</w:t>
      </w:r>
      <w:proofErr w:type="gramEnd"/>
      <w:r>
        <w:rPr>
          <w:rFonts w:ascii="Work Sans" w:hAnsi="Work Sans" w:cs="Arial"/>
          <w:sz w:val="12"/>
          <w:szCs w:val="12"/>
          <w:lang w:eastAsia="es-CO"/>
        </w:rPr>
        <w:t xml:space="preserve"> de Oficina de Regulación Económica0, Ministerio de Transporte </w:t>
      </w:r>
    </w:p>
    <w:p w14:paraId="7673C42E" w14:textId="77777777" w:rsidR="0089596F" w:rsidRDefault="00E054F8">
      <w:pPr>
        <w:widowControl/>
        <w:spacing w:line="276" w:lineRule="auto"/>
        <w:textAlignment w:val="auto"/>
      </w:pPr>
      <w:r>
        <w:rPr>
          <w:rFonts w:ascii="Work Sans" w:hAnsi="Work Sans" w:cs="Arial"/>
          <w:sz w:val="12"/>
          <w:szCs w:val="12"/>
          <w:lang w:eastAsia="es-CO"/>
        </w:rPr>
        <w:t>Magda Paola Suárez Alejo – Abogada Grupo de Conceptos, Ministerio de Transporte</w:t>
      </w:r>
    </w:p>
    <w:p w14:paraId="523A21E7" w14:textId="77777777" w:rsidR="0089596F" w:rsidRDefault="0089596F">
      <w:pPr>
        <w:tabs>
          <w:tab w:val="left" w:pos="0"/>
        </w:tabs>
        <w:jc w:val="both"/>
        <w:rPr>
          <w:rFonts w:ascii="Arial" w:hAnsi="Arial" w:cs="Arial"/>
          <w:b/>
          <w:color w:val="000000"/>
          <w:sz w:val="21"/>
          <w:szCs w:val="21"/>
          <w:lang w:eastAsia="es-ES"/>
        </w:rPr>
      </w:pPr>
    </w:p>
    <w:sectPr w:rsidR="0089596F">
      <w:headerReference w:type="even" r:id="rId10"/>
      <w:headerReference w:type="default" r:id="rId11"/>
      <w:footerReference w:type="even" r:id="rId12"/>
      <w:footerReference w:type="default" r:id="rId13"/>
      <w:headerReference w:type="first" r:id="rId14"/>
      <w:footerReference w:type="first" r:id="rId15"/>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C69E" w14:textId="77777777" w:rsidR="00E054F8" w:rsidRDefault="00E054F8">
      <w:r>
        <w:separator/>
      </w:r>
    </w:p>
  </w:endnote>
  <w:endnote w:type="continuationSeparator" w:id="0">
    <w:p w14:paraId="461B451D" w14:textId="77777777" w:rsidR="00E054F8" w:rsidRDefault="00E0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erif">
    <w:altName w:val="Times New Roman"/>
    <w:charset w:val="00"/>
    <w:family w:val="roman"/>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de3of9">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77A9" w14:textId="77777777" w:rsidR="001C2FF0" w:rsidRDefault="001C2F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7E4" w14:textId="77777777" w:rsidR="001C2FF0" w:rsidRDefault="001C2F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370" w14:textId="77777777" w:rsidR="001C2FF0" w:rsidRDefault="001C2F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741B" w14:textId="77777777" w:rsidR="00E054F8" w:rsidRDefault="00E054F8">
      <w:r>
        <w:rPr>
          <w:color w:val="000000"/>
        </w:rPr>
        <w:separator/>
      </w:r>
    </w:p>
  </w:footnote>
  <w:footnote w:type="continuationSeparator" w:id="0">
    <w:p w14:paraId="4EEECDAB" w14:textId="77777777" w:rsidR="00E054F8" w:rsidRDefault="00E054F8">
      <w:r>
        <w:continuationSeparator/>
      </w:r>
    </w:p>
  </w:footnote>
  <w:footnote w:id="1">
    <w:p w14:paraId="2DA06EE6" w14:textId="77777777" w:rsidR="0089596F" w:rsidRDefault="00E054F8">
      <w:r>
        <w:rPr>
          <w:rStyle w:val="Refdenotaalpie"/>
        </w:rPr>
        <w:footnoteRef/>
      </w:r>
      <w:r>
        <w:rPr>
          <w:rStyle w:val="Refdenotaalpie"/>
          <w:rFonts w:ascii="Work Sans" w:hAnsi="Work Sans"/>
          <w:sz w:val="16"/>
          <w:szCs w:val="16"/>
        </w:rPr>
        <w:t>Publicación disponible en:</w:t>
      </w:r>
      <w:r>
        <w:rPr>
          <w:rFonts w:ascii="Work Sans" w:hAnsi="Work Sans"/>
          <w:sz w:val="16"/>
          <w:szCs w:val="16"/>
        </w:rPr>
        <w:t xml:space="preserve"> </w:t>
      </w:r>
      <w:hyperlink r:id="rId1" w:history="1">
        <w:r>
          <w:rPr>
            <w:rStyle w:val="Hipervnculo"/>
            <w:rFonts w:ascii="Work Sans" w:hAnsi="Work Sans"/>
            <w:sz w:val="16"/>
            <w:szCs w:val="16"/>
          </w:rPr>
          <w:t>https://www.facebook.com/1508080611/videos/1081801652622787</w:t>
        </w:r>
      </w:hyperlink>
      <w:r>
        <w:rPr>
          <w:rFonts w:ascii="Work Sans" w:hAnsi="Work Sans"/>
          <w:sz w:val="16"/>
          <w:szCs w:val="16"/>
        </w:rPr>
        <w:t xml:space="preserve"> </w:t>
      </w:r>
    </w:p>
  </w:footnote>
  <w:footnote w:id="2">
    <w:p w14:paraId="7ECB496A" w14:textId="77777777" w:rsidR="0089596F" w:rsidRDefault="00E054F8">
      <w:pPr>
        <w:pStyle w:val="Textonotapie"/>
      </w:pPr>
      <w:r>
        <w:rPr>
          <w:rStyle w:val="Refdenotaalpie"/>
        </w:rPr>
        <w:footnoteRef/>
      </w:r>
      <w:r>
        <w:rPr>
          <w:rFonts w:ascii="Work Sans" w:hAnsi="Work Sans"/>
          <w:sz w:val="16"/>
          <w:szCs w:val="16"/>
        </w:rPr>
        <w:t xml:space="preserve"> </w:t>
      </w:r>
      <w:r>
        <w:rPr>
          <w:rFonts w:ascii="Work Sans" w:hAnsi="Work Sans"/>
          <w:sz w:val="16"/>
          <w:szCs w:val="16"/>
          <w:lang w:val="es-CO"/>
        </w:rPr>
        <w:t xml:space="preserve">Noticia disponible en: </w:t>
      </w:r>
      <w:hyperlink r:id="rId2" w:history="1">
        <w:r>
          <w:rPr>
            <w:rStyle w:val="Hipervnculo"/>
            <w:rFonts w:ascii="Work Sans" w:hAnsi="Work Sans"/>
            <w:sz w:val="16"/>
            <w:szCs w:val="16"/>
            <w:lang w:val="es-CO"/>
          </w:rPr>
          <w:t>https://caracol.com.co/emisora/2022/04/21/cartagena/1650494820_935012.html</w:t>
        </w:r>
      </w:hyperlink>
      <w:r>
        <w:rPr>
          <w:rFonts w:ascii="Work Sans" w:hAnsi="Work Sans"/>
          <w:sz w:val="16"/>
          <w:szCs w:val="16"/>
          <w:lang w:val="es-CO"/>
        </w:rPr>
        <w:t xml:space="preserve"> </w:t>
      </w:r>
    </w:p>
  </w:footnote>
  <w:footnote w:id="3">
    <w:p w14:paraId="57CC5BDF" w14:textId="77777777" w:rsidR="0089596F" w:rsidRDefault="00E054F8">
      <w:pPr>
        <w:pStyle w:val="Textonotapie"/>
      </w:pPr>
      <w:r>
        <w:rPr>
          <w:rStyle w:val="Refdenotaalpie"/>
        </w:rPr>
        <w:footnoteRef/>
      </w:r>
      <w:r>
        <w:rPr>
          <w:rFonts w:ascii="Work Sans" w:hAnsi="Work Sans"/>
          <w:sz w:val="16"/>
          <w:szCs w:val="16"/>
        </w:rPr>
        <w:t xml:space="preserve"> Reunión disponible en el link: </w:t>
      </w:r>
      <w:hyperlink r:id="rId3" w:history="1">
        <w:r>
          <w:rPr>
            <w:rStyle w:val="Hipervnculo"/>
            <w:rFonts w:ascii="Work Sans" w:hAnsi="Work Sans"/>
            <w:sz w:val="16"/>
            <w:szCs w:val="16"/>
          </w:rPr>
          <w:t>https</w:t>
        </w:r>
        <w:r>
          <w:rPr>
            <w:rStyle w:val="Hipervnculo"/>
            <w:rFonts w:ascii="Work Sans" w:hAnsi="Work Sans"/>
            <w:sz w:val="16"/>
            <w:szCs w:val="16"/>
          </w:rPr>
          <w:t>://m.facebook.com/story.php?story_fbid=570307334299037&amp;id=100080756142419</w:t>
        </w:r>
      </w:hyperlink>
      <w:r>
        <w:rPr>
          <w:rFonts w:ascii="Work Sans" w:hAnsi="Work Sans"/>
          <w:sz w:val="16"/>
          <w:szCs w:val="16"/>
        </w:rPr>
        <w:t xml:space="preserve"> </w:t>
      </w:r>
    </w:p>
  </w:footnote>
  <w:footnote w:id="4">
    <w:p w14:paraId="55ED574C" w14:textId="77777777" w:rsidR="0089596F" w:rsidRDefault="00E054F8">
      <w:pPr>
        <w:pStyle w:val="Textonotapie"/>
      </w:pPr>
      <w:r>
        <w:rPr>
          <w:rStyle w:val="Refdenotaalpie"/>
        </w:rPr>
        <w:footnoteRef/>
      </w:r>
      <w:r>
        <w:rPr>
          <w:rFonts w:ascii="Work Sans" w:hAnsi="Work Sans"/>
          <w:sz w:val="16"/>
          <w:szCs w:val="16"/>
        </w:rPr>
        <w:t xml:space="preserve"> Publicación disponible en: </w:t>
      </w:r>
      <w:hyperlink r:id="rId4" w:history="1">
        <w:r>
          <w:rPr>
            <w:rStyle w:val="Hipervnculo"/>
            <w:rFonts w:ascii="Work Sans" w:hAnsi="Work Sans"/>
            <w:sz w:val="16"/>
            <w:szCs w:val="16"/>
          </w:rPr>
          <w:t>https://m.facebook.com/story.php?story_fbid=118392577529280&amp;id=100080756142419</w:t>
        </w:r>
      </w:hyperlink>
      <w:r>
        <w:rPr>
          <w:rFonts w:ascii="Work Sans" w:hAnsi="Work Sans"/>
          <w:sz w:val="16"/>
          <w:szCs w:val="16"/>
        </w:rPr>
        <w:t xml:space="preserve"> </w:t>
      </w:r>
    </w:p>
  </w:footnote>
  <w:footnote w:id="5">
    <w:p w14:paraId="0D3ADDEC" w14:textId="77777777" w:rsidR="0089596F" w:rsidRDefault="00E054F8">
      <w:pPr>
        <w:pStyle w:val="Textonotapie"/>
      </w:pPr>
      <w:r>
        <w:rPr>
          <w:rStyle w:val="Refdenotaalpie"/>
        </w:rPr>
        <w:footnoteRef/>
      </w:r>
      <w:r>
        <w:rPr>
          <w:rFonts w:ascii="Work Sans" w:hAnsi="Work Sans"/>
          <w:sz w:val="16"/>
          <w:szCs w:val="16"/>
        </w:rPr>
        <w:t xml:space="preserve"> Publicación disponible en: </w:t>
      </w:r>
      <w:hyperlink r:id="rId5" w:history="1">
        <w:r>
          <w:rPr>
            <w:rStyle w:val="Hipervnculo"/>
            <w:rFonts w:ascii="Work Sans" w:hAnsi="Work Sans"/>
            <w:sz w:val="16"/>
            <w:szCs w:val="16"/>
          </w:rPr>
          <w:t>https://m.facebook.com/story.php?story_fbid=118392577529280&amp;id=100080756142419</w:t>
        </w:r>
      </w:hyperlink>
      <w:r>
        <w:rPr>
          <w:rFonts w:ascii="Work Sans" w:hAnsi="Work San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BDEF" w14:textId="77777777" w:rsidR="001C2FF0" w:rsidRDefault="001C2F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EE96" w14:textId="77777777" w:rsidR="00816701" w:rsidRDefault="00E054F8">
    <w:r>
      <w:rPr>
        <w:noProof/>
        <w:lang w:val="es-CO" w:eastAsia="es-CO" w:bidi="ar-SA"/>
      </w:rPr>
      <w:drawing>
        <wp:inline distT="0" distB="0" distL="0" distR="0" wp14:anchorId="691DEEE4" wp14:editId="3C629950">
          <wp:extent cx="2164083" cy="320040"/>
          <wp:effectExtent l="0" t="0" r="7617" b="381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14:paraId="1584DA4B" w14:textId="77777777" w:rsidR="00816701" w:rsidRDefault="00E054F8">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24B73502" w14:textId="77777777" w:rsidR="00816701" w:rsidRDefault="00E054F8">
    <w:pPr>
      <w:pStyle w:val="Encabezado"/>
      <w:jc w:val="center"/>
    </w:pPr>
    <w:r>
      <w:rPr>
        <w:rFonts w:ascii="Work Sans" w:hAnsi="Work Sans"/>
        <w:sz w:val="20"/>
      </w:rPr>
      <w:t xml:space="preserve">de </w:t>
    </w:r>
    <w:r>
      <w:rPr>
        <w:rFonts w:ascii="Work Sans" w:hAnsi="Work Sans" w:cs="Arial"/>
        <w:sz w:val="20"/>
        <w:lang w:val="es-CO"/>
      </w:rPr>
      <w:t>*F_RAD_S*</w:t>
    </w:r>
  </w:p>
  <w:p w14:paraId="23794553" w14:textId="77777777" w:rsidR="00816701" w:rsidRDefault="00E054F8">
    <w:pPr>
      <w:pStyle w:val="Encabezado"/>
      <w:jc w:val="center"/>
      <w:rPr>
        <w:rFonts w:ascii="Code3of9" w:hAnsi="Code3of9" w:cs="Tahoma"/>
        <w:sz w:val="36"/>
        <w:szCs w:val="40"/>
      </w:rPr>
    </w:pPr>
    <w:r>
      <w:rPr>
        <w:rFonts w:ascii="Code3of9" w:hAnsi="Code3of9" w:cs="Tahoma"/>
        <w:sz w:val="36"/>
        <w:szCs w:val="40"/>
      </w:rPr>
      <w:t>**RAD_S**</w:t>
    </w:r>
  </w:p>
  <w:p w14:paraId="7E655272" w14:textId="77777777" w:rsidR="00816701" w:rsidRDefault="00E054F8">
    <w:pPr>
      <w:pStyle w:val="Encabezado"/>
      <w:jc w:val="center"/>
    </w:pPr>
  </w:p>
  <w:p w14:paraId="1018E2B1" w14:textId="77777777" w:rsidR="00816701" w:rsidRDefault="00E054F8">
    <w:pPr>
      <w:keepNext/>
      <w:tabs>
        <w:tab w:val="left" w:pos="4253"/>
      </w:tabs>
      <w:jc w:val="center"/>
    </w:pPr>
    <w:r>
      <w:rPr>
        <w:rFonts w:ascii="Work Sans" w:hAnsi="Work Sans" w:cs="Arial"/>
        <w:i/>
        <w:iCs/>
        <w:sz w:val="20"/>
        <w:szCs w:val="20"/>
        <w:lang w:bidi="ar-SA"/>
      </w:rPr>
      <w:t xml:space="preserve">“Por la cual se establecen tarifas diferenciales para las Categorías I y II en la estación de peaje denominada Bayunca del proyecto de concesión vial Autopistas del Caribe, Corredor de Carga </w:t>
    </w:r>
    <w:r>
      <w:rPr>
        <w:rFonts w:ascii="Work Sans" w:hAnsi="Work Sans" w:cs="Arial"/>
        <w:i/>
        <w:iCs/>
        <w:sz w:val="20"/>
        <w:szCs w:val="20"/>
        <w:lang w:bidi="ar-SA"/>
      </w:rPr>
      <w:t xml:space="preserve">Cartagena-Barranquilla </w:t>
    </w:r>
  </w:p>
  <w:p w14:paraId="25BD5CC5" w14:textId="77777777" w:rsidR="00816701" w:rsidRDefault="00E054F8">
    <w:pPr>
      <w:pStyle w:val="Standard"/>
      <w:autoSpaceDE w:val="0"/>
      <w:rPr>
        <w:rFonts w:ascii="Work Sans" w:hAnsi="Work San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5B06" w14:textId="77777777" w:rsidR="001C2FF0" w:rsidRDefault="001C2F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12F"/>
    <w:multiLevelType w:val="multilevel"/>
    <w:tmpl w:val="3FEA6C96"/>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4014F47"/>
    <w:multiLevelType w:val="multilevel"/>
    <w:tmpl w:val="3A121F70"/>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8A020F0"/>
    <w:multiLevelType w:val="multilevel"/>
    <w:tmpl w:val="A544BB02"/>
    <w:lvl w:ilvl="0">
      <w:start w:val="1"/>
      <w:numFmt w:val="decimal"/>
      <w:lvlText w:val="%1."/>
      <w:lvlJc w:val="left"/>
      <w:pPr>
        <w:ind w:left="135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D5E25"/>
    <w:multiLevelType w:val="multilevel"/>
    <w:tmpl w:val="DAE65596"/>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85E45C8"/>
    <w:multiLevelType w:val="multilevel"/>
    <w:tmpl w:val="97D2FFC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2DDE53A0"/>
    <w:multiLevelType w:val="multilevel"/>
    <w:tmpl w:val="CA080D58"/>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2E4C6380"/>
    <w:multiLevelType w:val="multilevel"/>
    <w:tmpl w:val="C590AB08"/>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2E9E0DD3"/>
    <w:multiLevelType w:val="multilevel"/>
    <w:tmpl w:val="2E0ABF12"/>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330C1B64"/>
    <w:multiLevelType w:val="multilevel"/>
    <w:tmpl w:val="E618C2FC"/>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348E5E2C"/>
    <w:multiLevelType w:val="multilevel"/>
    <w:tmpl w:val="18DE4074"/>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35357073"/>
    <w:multiLevelType w:val="multilevel"/>
    <w:tmpl w:val="65C8043E"/>
    <w:lvl w:ilvl="0">
      <w:start w:val="1"/>
      <w:numFmt w:val="decimal"/>
      <w:lvlText w:val="%1."/>
      <w:lvlJc w:val="left"/>
      <w:pPr>
        <w:ind w:left="375" w:hanging="375"/>
      </w:pPr>
      <w:rPr>
        <w:rFonts w:eastAsia="DejaVu Sans" w:cs="Arial"/>
        <w:b/>
        <w:bCs/>
      </w:rPr>
    </w:lvl>
    <w:lvl w:ilvl="1">
      <w:start w:val="2"/>
      <w:numFmt w:val="decimal"/>
      <w:lvlText w:val="%1.%2."/>
      <w:lvlJc w:val="left"/>
      <w:pPr>
        <w:ind w:left="375" w:hanging="375"/>
      </w:pPr>
      <w:rPr>
        <w:rFonts w:eastAsia="DejaVu Sans" w:cs="Arial"/>
      </w:rPr>
    </w:lvl>
    <w:lvl w:ilvl="2">
      <w:start w:val="1"/>
      <w:numFmt w:val="decimal"/>
      <w:lvlText w:val="%1.%2.%3."/>
      <w:lvlJc w:val="left"/>
      <w:pPr>
        <w:ind w:left="720" w:hanging="720"/>
      </w:pPr>
      <w:rPr>
        <w:rFonts w:eastAsia="DejaVu Sans" w:cs="Arial"/>
      </w:rPr>
    </w:lvl>
    <w:lvl w:ilvl="3">
      <w:start w:val="1"/>
      <w:numFmt w:val="decimal"/>
      <w:lvlText w:val="%1.%2.%3.%4."/>
      <w:lvlJc w:val="left"/>
      <w:pPr>
        <w:ind w:left="720" w:hanging="720"/>
      </w:pPr>
      <w:rPr>
        <w:rFonts w:eastAsia="DejaVu Sans" w:cs="Arial"/>
      </w:rPr>
    </w:lvl>
    <w:lvl w:ilvl="4">
      <w:start w:val="1"/>
      <w:numFmt w:val="decimal"/>
      <w:lvlText w:val="%1.%2.%3.%4.%5."/>
      <w:lvlJc w:val="left"/>
      <w:pPr>
        <w:ind w:left="1080" w:hanging="1080"/>
      </w:pPr>
      <w:rPr>
        <w:rFonts w:eastAsia="DejaVu Sans" w:cs="Arial"/>
      </w:rPr>
    </w:lvl>
    <w:lvl w:ilvl="5">
      <w:start w:val="1"/>
      <w:numFmt w:val="decimal"/>
      <w:lvlText w:val="%1.%2.%3.%4.%5.%6."/>
      <w:lvlJc w:val="left"/>
      <w:pPr>
        <w:ind w:left="1080" w:hanging="1080"/>
      </w:pPr>
      <w:rPr>
        <w:rFonts w:eastAsia="DejaVu Sans" w:cs="Arial"/>
      </w:rPr>
    </w:lvl>
    <w:lvl w:ilvl="6">
      <w:start w:val="1"/>
      <w:numFmt w:val="decimal"/>
      <w:lvlText w:val="%1.%2.%3.%4.%5.%6.%7."/>
      <w:lvlJc w:val="left"/>
      <w:pPr>
        <w:ind w:left="1440" w:hanging="1440"/>
      </w:pPr>
      <w:rPr>
        <w:rFonts w:eastAsia="DejaVu Sans" w:cs="Arial"/>
      </w:rPr>
    </w:lvl>
    <w:lvl w:ilvl="7">
      <w:start w:val="1"/>
      <w:numFmt w:val="decimal"/>
      <w:lvlText w:val="%1.%2.%3.%4.%5.%6.%7.%8."/>
      <w:lvlJc w:val="left"/>
      <w:pPr>
        <w:ind w:left="1440" w:hanging="1440"/>
      </w:pPr>
      <w:rPr>
        <w:rFonts w:eastAsia="DejaVu Sans" w:cs="Arial"/>
      </w:rPr>
    </w:lvl>
    <w:lvl w:ilvl="8">
      <w:start w:val="1"/>
      <w:numFmt w:val="decimal"/>
      <w:lvlText w:val="%1.%2.%3.%4.%5.%6.%7.%8.%9."/>
      <w:lvlJc w:val="left"/>
      <w:pPr>
        <w:ind w:left="1440" w:hanging="1440"/>
      </w:pPr>
      <w:rPr>
        <w:rFonts w:eastAsia="DejaVu Sans" w:cs="Arial"/>
      </w:rPr>
    </w:lvl>
  </w:abstractNum>
  <w:abstractNum w:abstractNumId="11" w15:restartNumberingAfterBreak="0">
    <w:nsid w:val="3B765867"/>
    <w:multiLevelType w:val="multilevel"/>
    <w:tmpl w:val="4760C1A4"/>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423E7E42"/>
    <w:multiLevelType w:val="multilevel"/>
    <w:tmpl w:val="FABC81DE"/>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4874478B"/>
    <w:multiLevelType w:val="multilevel"/>
    <w:tmpl w:val="E012C966"/>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48911D9F"/>
    <w:multiLevelType w:val="multilevel"/>
    <w:tmpl w:val="190C5EC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 w15:restartNumberingAfterBreak="0">
    <w:nsid w:val="48F63ED8"/>
    <w:multiLevelType w:val="multilevel"/>
    <w:tmpl w:val="492EB63E"/>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C79042F"/>
    <w:multiLevelType w:val="multilevel"/>
    <w:tmpl w:val="712629F8"/>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51FA2F1A"/>
    <w:multiLevelType w:val="multilevel"/>
    <w:tmpl w:val="564899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AC394D"/>
    <w:multiLevelType w:val="multilevel"/>
    <w:tmpl w:val="F4528356"/>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5DD3394C"/>
    <w:multiLevelType w:val="multilevel"/>
    <w:tmpl w:val="93163540"/>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3C71E2B"/>
    <w:multiLevelType w:val="multilevel"/>
    <w:tmpl w:val="F7DA1BDC"/>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66313EB7"/>
    <w:multiLevelType w:val="multilevel"/>
    <w:tmpl w:val="5394D7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41257C"/>
    <w:multiLevelType w:val="multilevel"/>
    <w:tmpl w:val="A42EE6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FAA1FC3"/>
    <w:multiLevelType w:val="multilevel"/>
    <w:tmpl w:val="67ACC9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5045BD1"/>
    <w:multiLevelType w:val="multilevel"/>
    <w:tmpl w:val="33C22276"/>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7CA50B27"/>
    <w:multiLevelType w:val="multilevel"/>
    <w:tmpl w:val="F4B0A9A4"/>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16cid:durableId="253168479">
    <w:abstractNumId w:val="15"/>
  </w:num>
  <w:num w:numId="2" w16cid:durableId="1013536526">
    <w:abstractNumId w:val="24"/>
  </w:num>
  <w:num w:numId="3" w16cid:durableId="1534999467">
    <w:abstractNumId w:val="3"/>
  </w:num>
  <w:num w:numId="4" w16cid:durableId="682781597">
    <w:abstractNumId w:val="19"/>
  </w:num>
  <w:num w:numId="5" w16cid:durableId="1996181233">
    <w:abstractNumId w:val="9"/>
  </w:num>
  <w:num w:numId="6" w16cid:durableId="683167231">
    <w:abstractNumId w:val="11"/>
  </w:num>
  <w:num w:numId="7" w16cid:durableId="1055734966">
    <w:abstractNumId w:val="25"/>
  </w:num>
  <w:num w:numId="8" w16cid:durableId="764303803">
    <w:abstractNumId w:val="16"/>
  </w:num>
  <w:num w:numId="9" w16cid:durableId="1717704614">
    <w:abstractNumId w:val="8"/>
  </w:num>
  <w:num w:numId="10" w16cid:durableId="206920904">
    <w:abstractNumId w:val="20"/>
  </w:num>
  <w:num w:numId="11" w16cid:durableId="479154389">
    <w:abstractNumId w:val="5"/>
  </w:num>
  <w:num w:numId="12" w16cid:durableId="1115753343">
    <w:abstractNumId w:val="12"/>
  </w:num>
  <w:num w:numId="13" w16cid:durableId="1187214172">
    <w:abstractNumId w:val="4"/>
  </w:num>
  <w:num w:numId="14" w16cid:durableId="185947706">
    <w:abstractNumId w:val="18"/>
  </w:num>
  <w:num w:numId="15" w16cid:durableId="1219901489">
    <w:abstractNumId w:val="7"/>
  </w:num>
  <w:num w:numId="16" w16cid:durableId="425462741">
    <w:abstractNumId w:val="0"/>
  </w:num>
  <w:num w:numId="17" w16cid:durableId="2057778028">
    <w:abstractNumId w:val="6"/>
  </w:num>
  <w:num w:numId="18" w16cid:durableId="683677361">
    <w:abstractNumId w:val="1"/>
  </w:num>
  <w:num w:numId="19" w16cid:durableId="31000092">
    <w:abstractNumId w:val="13"/>
  </w:num>
  <w:num w:numId="20" w16cid:durableId="82072415">
    <w:abstractNumId w:val="23"/>
  </w:num>
  <w:num w:numId="21" w16cid:durableId="1889225256">
    <w:abstractNumId w:val="2"/>
  </w:num>
  <w:num w:numId="22" w16cid:durableId="107437001">
    <w:abstractNumId w:val="10"/>
  </w:num>
  <w:num w:numId="23" w16cid:durableId="993601817">
    <w:abstractNumId w:val="22"/>
  </w:num>
  <w:num w:numId="24" w16cid:durableId="1848015848">
    <w:abstractNumId w:val="17"/>
  </w:num>
  <w:num w:numId="25" w16cid:durableId="545875810">
    <w:abstractNumId w:val="14"/>
  </w:num>
  <w:num w:numId="26" w16cid:durableId="11953893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9596F"/>
    <w:rsid w:val="001C2FF0"/>
    <w:rsid w:val="0089596F"/>
    <w:rsid w:val="00E054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CF92CA6"/>
  <w15:docId w15:val="{A2D298E5-E281-4643-9218-C9812D27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CuerpodeltextoNegrita">
    <w:name w:val="Cuerpo del texto + Negrita"/>
    <w:rPr>
      <w:rFonts w:ascii="Arial" w:eastAsia="Arial" w:hAnsi="Arial" w:cs="Arial"/>
      <w:b/>
      <w:bCs/>
      <w:sz w:val="17"/>
      <w:szCs w:val="17"/>
      <w:shd w:val="clear" w:color="auto" w:fill="FFFFFF"/>
    </w:rPr>
  </w:style>
  <w:style w:type="character" w:customStyle="1" w:styleId="spelle">
    <w:name w:val="spelle"/>
    <w:basedOn w:val="Fuentedeprrafopredeter"/>
  </w:style>
  <w:style w:type="character" w:customStyle="1" w:styleId="PrrafodelistaCar">
    <w:name w:val="Párrafo de lista Car"/>
    <w:rPr>
      <w:rFonts w:ascii="Courier New" w:hAnsi="Courier New" w:cs="Courier New"/>
      <w:kern w:val="3"/>
      <w:sz w:val="24"/>
      <w:lang w:val="es-ES" w:eastAsia="zh-CN"/>
    </w:rPr>
  </w:style>
  <w:style w:type="character" w:customStyle="1" w:styleId="normaltextrun">
    <w:name w:val="normaltextrun"/>
    <w:basedOn w:val="Fuentedeprrafopredete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eop">
    <w:name w:val="eop"/>
    <w:basedOn w:val="Fuentedeprrafopredeter"/>
  </w:style>
  <w:style w:type="paragraph" w:customStyle="1" w:styleId="Default">
    <w:name w:val="Default"/>
    <w:pPr>
      <w:suppressAutoHyphens/>
      <w:autoSpaceDE w:val="0"/>
      <w:textAlignment w:val="auto"/>
    </w:pPr>
    <w:rPr>
      <w:rFonts w:ascii="Arial" w:hAnsi="Arial" w:cs="Arial"/>
      <w:color w:val="000000"/>
      <w:sz w:val="24"/>
      <w:szCs w:val="24"/>
      <w:lang w:eastAsia="es-ES"/>
    </w:rPr>
  </w:style>
  <w:style w:type="character" w:customStyle="1" w:styleId="superscript">
    <w:name w:val="superscript"/>
    <w:basedOn w:val="Fuentedeprrafopredete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m.facebook.com/story.php?story_fbid=570307334299037&amp;id=100080756142419" TargetMode="External"/><Relationship Id="rId2" Type="http://schemas.openxmlformats.org/officeDocument/2006/relationships/hyperlink" Target="https://caracol.com.co/emisora/2022/04/21/cartagena/1650494820_935012.html" TargetMode="External"/><Relationship Id="rId1" Type="http://schemas.openxmlformats.org/officeDocument/2006/relationships/hyperlink" Target="https://www.facebook.com/1508080611/videos/1081801652622787" TargetMode="External"/><Relationship Id="rId5" Type="http://schemas.openxmlformats.org/officeDocument/2006/relationships/hyperlink" Target="https://m.facebook.com/story.php?story_fbid=118392577529280&amp;id=100080756142419" TargetMode="External"/><Relationship Id="rId4" Type="http://schemas.openxmlformats.org/officeDocument/2006/relationships/hyperlink" Target="https://m.facebook.com/story.php?story_fbid=118392577529280&amp;id=1000807561424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6832</Words>
  <Characters>37576</Characters>
  <Application>Microsoft Office Word</Application>
  <DocSecurity>0</DocSecurity>
  <Lines>313</Lines>
  <Paragraphs>88</Paragraphs>
  <ScaleCrop>false</ScaleCrop>
  <Company/>
  <LinksUpToDate>false</LinksUpToDate>
  <CharactersWithSpaces>44320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Rodrigo Antonio Cubillos Sanchez</cp:lastModifiedBy>
  <cp:revision>2</cp:revision>
  <cp:lastPrinted>2020-04-03T23:17:00Z</cp:lastPrinted>
  <dcterms:created xsi:type="dcterms:W3CDTF">2022-06-07T13:57:00Z</dcterms:created>
  <dcterms:modified xsi:type="dcterms:W3CDTF">2022-06-07T13:57:00Z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