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12" w:rsidRDefault="004D2C6B">
      <w:pPr>
        <w:ind w:right="-1"/>
        <w:jc w:val="center"/>
        <w:rPr>
          <w:rFonts w:ascii="Work Sans" w:hAnsi="Work Sans" w:cs="Arial"/>
          <w:b/>
          <w:sz w:val="20"/>
          <w:szCs w:val="20"/>
        </w:rPr>
      </w:pPr>
      <w:bookmarkStart w:id="0" w:name="_GoBack"/>
      <w:bookmarkEnd w:id="0"/>
      <w:r>
        <w:rPr>
          <w:rFonts w:ascii="Work Sans" w:hAnsi="Work Sans" w:cs="Arial"/>
          <w:b/>
          <w:sz w:val="20"/>
          <w:szCs w:val="20"/>
        </w:rPr>
        <w:t>LA MINISTRA DE TRANSPORTE</w:t>
      </w:r>
    </w:p>
    <w:p w:rsidR="007C5512" w:rsidRDefault="007C5512">
      <w:pPr>
        <w:ind w:right="-1"/>
        <w:jc w:val="both"/>
        <w:rPr>
          <w:rFonts w:ascii="Work Sans" w:hAnsi="Work Sans" w:cs="Arial"/>
          <w:sz w:val="20"/>
          <w:szCs w:val="20"/>
        </w:rPr>
      </w:pPr>
    </w:p>
    <w:p w:rsidR="007C5512" w:rsidRDefault="004D2C6B">
      <w:pPr>
        <w:widowControl/>
        <w:ind w:right="40"/>
        <w:jc w:val="both"/>
        <w:textAlignment w:val="auto"/>
        <w:rPr>
          <w:rFonts w:ascii="Work Sans" w:hAnsi="Work Sans" w:cs="Arial"/>
          <w:sz w:val="20"/>
          <w:szCs w:val="20"/>
          <w:lang w:bidi="ar-SA"/>
        </w:rPr>
      </w:pPr>
      <w:r>
        <w:rPr>
          <w:rFonts w:ascii="Work Sans" w:hAnsi="Work Sans" w:cs="Arial"/>
          <w:sz w:val="20"/>
          <w:szCs w:val="20"/>
          <w:lang w:bidi="ar-SA"/>
        </w:rPr>
        <w:t>En ejercicio de las facultades legales y en especial las conferidas por el artículo 21 de la Ley 105 de 1993 modificado parcialmente por el artículo 1° de la</w:t>
      </w:r>
      <w:r>
        <w:rPr>
          <w:rFonts w:ascii="Work Sans" w:hAnsi="Work Sans" w:cs="Arial"/>
          <w:sz w:val="20"/>
          <w:szCs w:val="20"/>
          <w:lang w:bidi="ar-SA"/>
        </w:rPr>
        <w:t xml:space="preserve"> Ley 787 de 2002, el numeral 6.15 del artículo 6° del Decreto 087 de 2011, y</w:t>
      </w:r>
    </w:p>
    <w:p w:rsidR="007C5512" w:rsidRDefault="007C5512">
      <w:pPr>
        <w:widowControl/>
        <w:ind w:right="40"/>
        <w:jc w:val="both"/>
        <w:textAlignment w:val="auto"/>
        <w:rPr>
          <w:rFonts w:ascii="Work Sans" w:hAnsi="Work Sans" w:cs="Arial"/>
          <w:sz w:val="20"/>
          <w:szCs w:val="20"/>
          <w:lang w:bidi="ar-SA"/>
        </w:rPr>
      </w:pPr>
    </w:p>
    <w:p w:rsidR="007C5512" w:rsidRDefault="004D2C6B">
      <w:pPr>
        <w:ind w:right="-1"/>
        <w:jc w:val="center"/>
        <w:rPr>
          <w:rFonts w:ascii="Work Sans" w:hAnsi="Work Sans" w:cs="Arial"/>
          <w:b/>
          <w:sz w:val="20"/>
          <w:szCs w:val="20"/>
          <w:lang w:val="it-IT"/>
        </w:rPr>
      </w:pPr>
      <w:r>
        <w:rPr>
          <w:rFonts w:ascii="Work Sans" w:hAnsi="Work Sans" w:cs="Arial"/>
          <w:b/>
          <w:sz w:val="20"/>
          <w:szCs w:val="20"/>
          <w:lang w:val="it-IT"/>
        </w:rPr>
        <w:t>C O N S I D E R A N D O:</w:t>
      </w:r>
    </w:p>
    <w:p w:rsidR="007C5512" w:rsidRDefault="007C5512">
      <w:pPr>
        <w:ind w:right="-1"/>
        <w:jc w:val="both"/>
        <w:rPr>
          <w:rFonts w:ascii="Work Sans" w:hAnsi="Work Sans" w:cs="Arial"/>
          <w:sz w:val="20"/>
          <w:szCs w:val="20"/>
          <w:lang w:val="it-IT"/>
        </w:rPr>
      </w:pPr>
    </w:p>
    <w:p w:rsidR="007C5512" w:rsidRDefault="004D2C6B">
      <w:pPr>
        <w:suppressLineNumbers/>
        <w:ind w:right="-1"/>
        <w:jc w:val="both"/>
        <w:textAlignment w:val="auto"/>
      </w:pPr>
      <w:r>
        <w:rPr>
          <w:rFonts w:ascii="Work Sans" w:hAnsi="Work Sans" w:cs="Arial"/>
          <w:sz w:val="20"/>
          <w:szCs w:val="20"/>
          <w:lang w:bidi="ar-SA"/>
        </w:rPr>
        <w:t xml:space="preserve">Que la Ley 105 de 1993 </w:t>
      </w:r>
      <w:r>
        <w:rPr>
          <w:rFonts w:ascii="Work Sans" w:hAnsi="Work Sans" w:cs="Arial"/>
          <w:i/>
          <w:sz w:val="20"/>
          <w:szCs w:val="20"/>
          <w:lang w:bidi="ar-SA"/>
        </w:rPr>
        <w:t xml:space="preserve">"Por la cual se dictan disposiciones básicas sobre el transporte, se redistribuyen competencias y recursos entre la Nación y las </w:t>
      </w:r>
      <w:r>
        <w:rPr>
          <w:rFonts w:ascii="Work Sans" w:hAnsi="Work Sans" w:cs="Arial"/>
          <w:i/>
          <w:sz w:val="20"/>
          <w:szCs w:val="20"/>
          <w:lang w:bidi="ar-SA"/>
        </w:rPr>
        <w:t>Entidades Territoriales, se reglamenta la planeación en el sector transporte y se dictan otras disposiciones</w:t>
      </w:r>
      <w:r>
        <w:rPr>
          <w:rFonts w:ascii="Work Sans" w:hAnsi="Work Sans" w:cs="Arial"/>
          <w:sz w:val="20"/>
          <w:szCs w:val="20"/>
          <w:lang w:bidi="ar-SA"/>
        </w:rPr>
        <w:t>" en su artículo 21 modificado por el artículo 1° de la Ley 787 de 2002, establece</w:t>
      </w:r>
      <w:r>
        <w:rPr>
          <w:rFonts w:ascii="Work Sans" w:hAnsi="Work Sans" w:cs="Arial"/>
          <w:sz w:val="20"/>
          <w:szCs w:val="20"/>
        </w:rPr>
        <w:t>:</w:t>
      </w:r>
    </w:p>
    <w:p w:rsidR="007C5512" w:rsidRDefault="007C5512">
      <w:pPr>
        <w:suppressLineNumbers/>
        <w:ind w:right="-1"/>
        <w:jc w:val="both"/>
        <w:textAlignment w:val="auto"/>
        <w:rPr>
          <w:rFonts w:ascii="Work Sans" w:hAnsi="Work Sans" w:cs="Arial"/>
          <w:sz w:val="20"/>
          <w:szCs w:val="20"/>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“Artículo 21. Tasas, tarifas y peajes en la infraestructura de </w:t>
      </w:r>
      <w:r>
        <w:rPr>
          <w:rFonts w:ascii="Work Sans" w:hAnsi="Work Sans" w:cs="Arial"/>
          <w:i/>
          <w:sz w:val="18"/>
          <w:szCs w:val="18"/>
        </w:rPr>
        <w:t xml:space="preserve">transporte a cargo de la Nación. Para la construcción y conservación de la infraestructura de transporte a cargo de la Nación, esta contará con los recursos que se apropien en el Presupuesto Nacional y además cobrará el uso de las obras de infraestructura </w:t>
      </w:r>
      <w:r>
        <w:rPr>
          <w:rFonts w:ascii="Work Sans" w:hAnsi="Work Sans" w:cs="Arial"/>
          <w:i/>
          <w:sz w:val="18"/>
          <w:szCs w:val="18"/>
        </w:rPr>
        <w:t xml:space="preserve">de transporte a los usuarios, buscando garantizar su adecuado mantenimiento, operación y desarrollo.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estos efectos, la Nación establecerá peajes, tarifas y tasas sobre el uso de la infraestructura nacional de transporte y los recursos provenientes </w:t>
      </w:r>
      <w:r>
        <w:rPr>
          <w:rFonts w:ascii="Work Sans" w:hAnsi="Work Sans" w:cs="Arial"/>
          <w:i/>
          <w:sz w:val="18"/>
          <w:szCs w:val="18"/>
        </w:rPr>
        <w:t xml:space="preserve">de su cobro se usarán exclusivamente para ese modo de transporte.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Todos los servicios que la Nación o sus entidades descentralizadas presten a los usuarios accesoriamente a la utilización de la infraestructura Nacional de Transporte, estarán sujetos al c</w:t>
      </w:r>
      <w:r>
        <w:rPr>
          <w:rFonts w:ascii="Work Sans" w:hAnsi="Work Sans" w:cs="Arial"/>
          <w:i/>
          <w:sz w:val="18"/>
          <w:szCs w:val="18"/>
        </w:rPr>
        <w:t xml:space="preserve">obro de tasas o tarifas.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la fijación y cobro de tasas, tarifas y peajes, se observarán los siguientes principios: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 Los ingresos provenientes de la utilización de la infraestructura de transporte, deberán garantizar su adecuado mantenimiento, </w:t>
      </w:r>
      <w:r>
        <w:rPr>
          <w:rFonts w:ascii="Work Sans" w:hAnsi="Work Sans" w:cs="Arial"/>
          <w:i/>
          <w:sz w:val="18"/>
          <w:szCs w:val="18"/>
        </w:rPr>
        <w:t xml:space="preserve">operación y desarrollo;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b) Deberá cobrarse a todos los usuarios, con excepción de las motocicletas y bicicletas, máquinas extintoras de incendios de los Cuerpos de Bomberos Voluntarios, Cuerpo de Bomberos Oficiales, ambulancias pertenecientes a la Cruz R</w:t>
      </w:r>
      <w:r>
        <w:rPr>
          <w:rFonts w:ascii="Work Sans" w:hAnsi="Work Sans" w:cs="Arial"/>
          <w:i/>
          <w:sz w:val="18"/>
          <w:szCs w:val="18"/>
        </w:rPr>
        <w:t>oja, Defensa Civil, Hospitales Oficiales, Vehículos de las Fuerzas Militares y de la Policía Nacional, vehículos oficiales del Instituto Nacional Penitenciario y Carcelario, Inpec, vehículos oficiales del (DAS) Departamento Administrativo de Seguridad y de</w:t>
      </w:r>
      <w:r>
        <w:rPr>
          <w:rFonts w:ascii="Work Sans" w:hAnsi="Work Sans" w:cs="Arial"/>
          <w:i/>
          <w:sz w:val="18"/>
          <w:szCs w:val="18"/>
        </w:rPr>
        <w:t xml:space="preserve"> las demás instituciones que prestan funciones de Policá Judicial;</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c) El valor de las tasas o tarifas será determinado por la autoridad competente; su recaudo estará a cargo de las entidades públicas o privadas, responsables de la prestación del servicio;</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d) Las tasas de peaje serán diferenciales, es decir, se fijarán en proporción a las distancias recorridas, las características vehiculares y sus respectivos costos de operación;</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e) Para la determinación del valor del peaje y de las tasas de valoración e</w:t>
      </w:r>
      <w:r>
        <w:rPr>
          <w:rFonts w:ascii="Work Sans" w:hAnsi="Work Sans" w:cs="Arial"/>
          <w:i/>
          <w:sz w:val="18"/>
          <w:szCs w:val="18"/>
        </w:rPr>
        <w:t xml:space="preserve">n las vías nacionales, se tendrá en cuenta un criterio de equidad fiscal. </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1°. La Nación podrá en caso de necesidad y previo concepto del Ministerio de Transporte, apropiar recursos del Presupuesto Nacional para el mantenimiento, operación y des</w:t>
      </w:r>
      <w:r>
        <w:rPr>
          <w:rFonts w:ascii="Work Sans" w:hAnsi="Work Sans" w:cs="Arial"/>
          <w:i/>
          <w:sz w:val="18"/>
          <w:szCs w:val="18"/>
        </w:rPr>
        <w:t>arrollo de la infraestructura de transporte.</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pPr>
      <w:r>
        <w:rPr>
          <w:rFonts w:ascii="Work Sans" w:hAnsi="Work Sans" w:cs="Arial"/>
          <w:i/>
          <w:sz w:val="18"/>
          <w:szCs w:val="18"/>
        </w:rPr>
        <w:t>Parágrafo 2°. Para tener derecho a la exención contemplada en el literal b), es de carácter obligatorio que los vehículos allí relacionados, con excepción de las bicicletas y motocicletas, estén plenamente iden</w:t>
      </w:r>
      <w:r>
        <w:rPr>
          <w:rFonts w:ascii="Work Sans" w:hAnsi="Work Sans" w:cs="Arial"/>
          <w:i/>
          <w:sz w:val="18"/>
          <w:szCs w:val="18"/>
        </w:rPr>
        <w:t xml:space="preserve">tificados con los emblemas., colores y distintivos institucionales de cada una de las entidades y organismos a los cuales pertenecen. Para efectos de control, el Ministerio de Transporte </w:t>
      </w:r>
      <w:r>
        <w:rPr>
          <w:rFonts w:ascii="Work Sans" w:hAnsi="Work Sans" w:cs="Arial"/>
          <w:i/>
          <w:sz w:val="18"/>
          <w:szCs w:val="18"/>
        </w:rPr>
        <w:lastRenderedPageBreak/>
        <w:t>reglamentará lo pertinente.</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Parágrafo 3°. Facúltese a las Entidades </w:t>
      </w:r>
      <w:r>
        <w:rPr>
          <w:rFonts w:ascii="Work Sans" w:hAnsi="Work Sans" w:cs="Arial"/>
          <w:i/>
          <w:sz w:val="18"/>
          <w:szCs w:val="18"/>
        </w:rPr>
        <w:t>Territoriales para decretar las exenciones contempladas en el literal b), del artículo 1°.</w:t>
      </w:r>
    </w:p>
    <w:p w:rsidR="007C5512" w:rsidRDefault="007C5512">
      <w:pPr>
        <w:suppressLineNumbers/>
        <w:ind w:left="567" w:right="616"/>
        <w:jc w:val="both"/>
        <w:textAlignment w:val="auto"/>
        <w:rPr>
          <w:rFonts w:ascii="Work Sans" w:hAnsi="Work Sans" w:cs="Arial"/>
          <w:i/>
          <w:sz w:val="18"/>
          <w:szCs w:val="18"/>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4°. Se entiende también las vías "Concesionadas”,</w:t>
      </w:r>
    </w:p>
    <w:p w:rsidR="007C5512" w:rsidRDefault="007C5512">
      <w:pPr>
        <w:suppressLineNumbers/>
        <w:ind w:right="616"/>
        <w:jc w:val="both"/>
        <w:textAlignment w:val="auto"/>
        <w:rPr>
          <w:rFonts w:ascii="Work Sans" w:hAnsi="Work Sans" w:cs="Arial"/>
          <w:i/>
          <w:sz w:val="20"/>
          <w:szCs w:val="20"/>
        </w:rPr>
      </w:pPr>
    </w:p>
    <w:p w:rsidR="007C5512" w:rsidRDefault="004D2C6B">
      <w:pPr>
        <w:widowControl/>
        <w:suppressLineNumbers/>
        <w:tabs>
          <w:tab w:val="left" w:pos="0"/>
        </w:tabs>
        <w:ind w:right="49"/>
        <w:jc w:val="both"/>
        <w:textAlignment w:val="auto"/>
      </w:pPr>
      <w:r>
        <w:rPr>
          <w:rFonts w:ascii="Work Sans" w:hAnsi="Work Sans" w:cs="Arial"/>
          <w:kern w:val="0"/>
          <w:sz w:val="20"/>
          <w:szCs w:val="20"/>
          <w:lang w:eastAsia="es-ES" w:bidi="ar-SA"/>
        </w:rPr>
        <w:t>Que el Decreto 087 de 2011 “</w:t>
      </w:r>
      <w:r>
        <w:rPr>
          <w:rFonts w:ascii="Work Sans" w:hAnsi="Work Sans" w:cs="Arial"/>
          <w:i/>
          <w:kern w:val="0"/>
          <w:sz w:val="20"/>
          <w:szCs w:val="20"/>
          <w:lang w:eastAsia="es-ES" w:bidi="ar-SA"/>
        </w:rPr>
        <w:t>Por el cual se modifica la estructura del Ministerio de Transporte, y se de</w:t>
      </w:r>
      <w:r>
        <w:rPr>
          <w:rFonts w:ascii="Work Sans" w:hAnsi="Work Sans" w:cs="Arial"/>
          <w:i/>
          <w:kern w:val="0"/>
          <w:sz w:val="20"/>
          <w:szCs w:val="20"/>
          <w:lang w:eastAsia="es-ES" w:bidi="ar-SA"/>
        </w:rPr>
        <w:t>terminan las funciones de sus dependencias</w:t>
      </w:r>
      <w:r>
        <w:rPr>
          <w:rFonts w:ascii="Work Sans" w:hAnsi="Work Sans" w:cs="Arial"/>
          <w:kern w:val="0"/>
          <w:sz w:val="20"/>
          <w:szCs w:val="20"/>
          <w:lang w:eastAsia="es-ES" w:bidi="ar-SA"/>
        </w:rPr>
        <w:t>.” establece:</w:t>
      </w:r>
    </w:p>
    <w:p w:rsidR="007C5512" w:rsidRDefault="007C5512">
      <w:pPr>
        <w:widowControl/>
        <w:suppressLineNumbers/>
        <w:tabs>
          <w:tab w:val="left" w:pos="0"/>
        </w:tabs>
        <w:ind w:left="709" w:right="709"/>
        <w:jc w:val="both"/>
        <w:textAlignment w:val="auto"/>
        <w:rPr>
          <w:rFonts w:ascii="Work Sans" w:hAnsi="Work Sans" w:cs="Arial"/>
          <w:i/>
          <w:kern w:val="0"/>
          <w:sz w:val="20"/>
          <w:szCs w:val="20"/>
          <w:lang w:eastAsia="es-ES" w:bidi="ar-SA"/>
        </w:rPr>
      </w:pP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“Artículo 6°. Funciones del Despacho del Ministro de Transporte. Son funciones del Despacho del Ministro de Transporte, además de las señaladas por la Constitución Política y la ley, las siguientes:</w:t>
      </w: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w:t>
      </w:r>
    </w:p>
    <w:p w:rsidR="007C5512" w:rsidRDefault="004D2C6B">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6.15. Establecer los peajes, tarifas, tasas y derechos a cobrar por el uso de la infraestructura de los modos de transporte, excepto el aéreo. (…)”</w:t>
      </w:r>
    </w:p>
    <w:p w:rsidR="007C5512" w:rsidRDefault="007C5512">
      <w:pPr>
        <w:widowControl/>
        <w:suppressLineNumbers/>
        <w:tabs>
          <w:tab w:val="left" w:pos="0"/>
        </w:tabs>
        <w:ind w:right="709"/>
        <w:jc w:val="both"/>
        <w:textAlignment w:val="auto"/>
        <w:rPr>
          <w:rFonts w:ascii="Work Sans" w:hAnsi="Work Sans" w:cs="Arial"/>
          <w:i/>
          <w:kern w:val="0"/>
          <w:sz w:val="20"/>
          <w:szCs w:val="20"/>
          <w:lang w:eastAsia="es-ES" w:bidi="ar-SA"/>
        </w:rPr>
      </w:pPr>
    </w:p>
    <w:p w:rsidR="007C5512" w:rsidRDefault="004D2C6B">
      <w:pPr>
        <w:jc w:val="both"/>
      </w:pPr>
      <w:r>
        <w:rPr>
          <w:rFonts w:ascii="Work Sans" w:hAnsi="Work Sans" w:cs="Arial"/>
          <w:sz w:val="20"/>
          <w:szCs w:val="20"/>
        </w:rPr>
        <w:t>Que la Agencia Nacional de Infraestructura suscribió con la Concesión Costera Cartagena Barranquilla S.A</w:t>
      </w:r>
      <w:r>
        <w:rPr>
          <w:rFonts w:ascii="Work Sans" w:hAnsi="Work Sans" w:cs="Arial"/>
          <w:sz w:val="20"/>
          <w:szCs w:val="20"/>
        </w:rPr>
        <w:t>.S. el Contrato de Concesión 004 de 2014, cuyo objeto corresponde</w:t>
      </w:r>
      <w:r>
        <w:rPr>
          <w:rFonts w:ascii="Work Sans" w:eastAsia="Calibri" w:hAnsi="Work Sans" w:cs="Arial"/>
          <w:kern w:val="0"/>
          <w:sz w:val="20"/>
          <w:szCs w:val="20"/>
          <w:lang w:val="es-CO" w:eastAsia="en-US" w:bidi="ar-SA"/>
        </w:rPr>
        <w:t xml:space="preserve"> a los estudios y diseños definitivos, financiación, gestión ambiental, predial y social, construcción, mejoramiento, rehabilitación, operación, mantenimiento y reversión del Proyecto de Conc</w:t>
      </w:r>
      <w:r>
        <w:rPr>
          <w:rFonts w:ascii="Work Sans" w:eastAsia="Calibri" w:hAnsi="Work Sans" w:cs="Arial"/>
          <w:kern w:val="0"/>
          <w:sz w:val="20"/>
          <w:szCs w:val="20"/>
          <w:lang w:val="es-CO" w:eastAsia="en-US" w:bidi="ar-SA"/>
        </w:rPr>
        <w:t>esión Vial Cartagena Barranquilla y Circunvalar de la Prosperidad, de acuerdo con el Apéndice Técnico 1 y demás Apéndices del Contrato.</w:t>
      </w:r>
    </w:p>
    <w:p w:rsidR="007C5512" w:rsidRDefault="007C5512">
      <w:pPr>
        <w:jc w:val="both"/>
        <w:rPr>
          <w:rFonts w:ascii="Work Sans" w:eastAsia="Calibri" w:hAnsi="Work Sans" w:cs="Arial"/>
          <w:kern w:val="0"/>
          <w:sz w:val="20"/>
          <w:szCs w:val="20"/>
          <w:lang w:val="es-CO" w:eastAsia="en-US" w:bidi="ar-SA"/>
        </w:rPr>
      </w:pPr>
    </w:p>
    <w:p w:rsidR="007C5512" w:rsidRDefault="004D2C6B">
      <w:pPr>
        <w:widowControl/>
        <w:tabs>
          <w:tab w:val="left" w:pos="426"/>
        </w:tabs>
        <w:jc w:val="both"/>
      </w:pPr>
      <w:r>
        <w:rPr>
          <w:rFonts w:ascii="Work Sans" w:hAnsi="Work Sans" w:cs="Arial"/>
          <w:sz w:val="20"/>
          <w:szCs w:val="20"/>
          <w:lang w:eastAsia="es-CO" w:bidi="ar-SA"/>
        </w:rPr>
        <w:t xml:space="preserve">Que </w:t>
      </w:r>
      <w:r>
        <w:rPr>
          <w:rFonts w:ascii="Work Sans" w:eastAsia="Calibri" w:hAnsi="Work Sans" w:cs="Arial"/>
          <w:kern w:val="0"/>
          <w:sz w:val="20"/>
          <w:szCs w:val="20"/>
          <w:lang w:val="es-CO" w:eastAsia="en-US" w:bidi="ar-SA"/>
        </w:rPr>
        <w:t xml:space="preserve">mediante Resolución 0001378 del </w:t>
      </w:r>
      <w:r>
        <w:rPr>
          <w:rFonts w:ascii="Work Sans" w:hAnsi="Work Sans" w:cs="Arial"/>
          <w:sz w:val="20"/>
          <w:szCs w:val="20"/>
          <w:lang w:bidi="ar-SA"/>
        </w:rPr>
        <w:t>26 de mayo de 2014</w:t>
      </w:r>
      <w:r>
        <w:rPr>
          <w:rFonts w:ascii="Work Sans" w:eastAsia="Calibri" w:hAnsi="Work Sans" w:cs="Arial"/>
          <w:kern w:val="0"/>
          <w:sz w:val="20"/>
          <w:szCs w:val="20"/>
          <w:lang w:val="es-CO" w:eastAsia="en-US" w:bidi="ar-SA"/>
        </w:rPr>
        <w:t xml:space="preserve"> el Ministerio de Transporte,  estableció </w:t>
      </w:r>
      <w:r>
        <w:rPr>
          <w:rFonts w:ascii="Work Sans" w:hAnsi="Work Sans" w:cs="Arial"/>
          <w:sz w:val="20"/>
          <w:szCs w:val="20"/>
          <w:lang w:bidi="ar-SA"/>
        </w:rPr>
        <w:t>las tarifas a cobrar en</w:t>
      </w:r>
      <w:r>
        <w:rPr>
          <w:rFonts w:ascii="Work Sans" w:hAnsi="Work Sans" w:cs="Arial"/>
          <w:sz w:val="20"/>
          <w:szCs w:val="20"/>
          <w:lang w:bidi="ar-SA"/>
        </w:rPr>
        <w:t xml:space="preserve"> las estaciones de peaje denominadas Marahuaco, Puerto Colombia y Galapa y en las casetas de control denominadas Papiros y Juan Mina, pertenecientes al Proyecto Vial </w:t>
      </w:r>
      <w:r>
        <w:rPr>
          <w:rFonts w:ascii="Work Sans" w:eastAsia="Calibri" w:hAnsi="Work Sans" w:cs="Arial"/>
          <w:kern w:val="0"/>
          <w:sz w:val="20"/>
          <w:szCs w:val="20"/>
          <w:lang w:val="es-CO" w:eastAsia="en-US" w:bidi="ar-SA"/>
        </w:rPr>
        <w:t>Cartagena - Barranquilla y Circunvalar de la Prosperidad</w:t>
      </w:r>
      <w:r>
        <w:rPr>
          <w:rFonts w:ascii="Work Sans" w:hAnsi="Work Sans" w:cs="Arial"/>
          <w:sz w:val="20"/>
          <w:szCs w:val="20"/>
          <w:lang w:bidi="ar-SA"/>
        </w:rPr>
        <w:t xml:space="preserve">. </w:t>
      </w:r>
    </w:p>
    <w:p w:rsidR="007C5512" w:rsidRDefault="007C5512">
      <w:pPr>
        <w:widowControl/>
        <w:tabs>
          <w:tab w:val="left" w:pos="426"/>
        </w:tabs>
        <w:jc w:val="both"/>
        <w:rPr>
          <w:rFonts w:ascii="Work Sans" w:hAnsi="Work Sans"/>
          <w:sz w:val="20"/>
          <w:szCs w:val="20"/>
        </w:rPr>
      </w:pPr>
    </w:p>
    <w:p w:rsidR="007C5512" w:rsidRDefault="004D2C6B">
      <w:pPr>
        <w:widowControl/>
        <w:tabs>
          <w:tab w:val="left" w:pos="426"/>
        </w:tabs>
        <w:jc w:val="both"/>
      </w:pPr>
      <w:r>
        <w:rPr>
          <w:rFonts w:ascii="Work Sans" w:hAnsi="Work Sans" w:cs="Arial"/>
          <w:sz w:val="20"/>
          <w:szCs w:val="20"/>
          <w:lang w:eastAsia="es-CO" w:bidi="ar-SA"/>
        </w:rPr>
        <w:t xml:space="preserve">Que </w:t>
      </w:r>
      <w:r>
        <w:rPr>
          <w:rFonts w:ascii="Work Sans" w:eastAsia="Calibri" w:hAnsi="Work Sans" w:cs="Arial"/>
          <w:kern w:val="0"/>
          <w:sz w:val="20"/>
          <w:szCs w:val="20"/>
          <w:lang w:val="es-CO" w:eastAsia="en-US" w:bidi="ar-SA"/>
        </w:rPr>
        <w:t>el Ministerio de Transport</w:t>
      </w:r>
      <w:r>
        <w:rPr>
          <w:rFonts w:ascii="Work Sans" w:eastAsia="Calibri" w:hAnsi="Work Sans" w:cs="Arial"/>
          <w:kern w:val="0"/>
          <w:sz w:val="20"/>
          <w:szCs w:val="20"/>
          <w:lang w:val="es-CO" w:eastAsia="en-US" w:bidi="ar-SA"/>
        </w:rPr>
        <w:t>e</w:t>
      </w:r>
      <w:r>
        <w:rPr>
          <w:rFonts w:ascii="Work Sans" w:hAnsi="Work Sans" w:cs="Arial"/>
          <w:sz w:val="20"/>
          <w:szCs w:val="20"/>
          <w:lang w:eastAsia="es-CO" w:bidi="ar-SA"/>
        </w:rPr>
        <w:t xml:space="preserve"> </w:t>
      </w:r>
      <w:r>
        <w:rPr>
          <w:rFonts w:ascii="Work Sans" w:eastAsia="Calibri" w:hAnsi="Work Sans" w:cs="Arial"/>
          <w:kern w:val="0"/>
          <w:sz w:val="20"/>
          <w:szCs w:val="20"/>
          <w:lang w:val="es-CO" w:eastAsia="en-US" w:bidi="ar-SA"/>
        </w:rPr>
        <w:t>mediante Resolución 20213040003285 del 28 de enero de 2021, estableció tarifas diferenciales de manera temporal para las Categorías I y II en la estación de peaje denominada Puerto Colombia ubicada en el PR 93 + 600 y para las Categorías I, II y III en l</w:t>
      </w:r>
      <w:r>
        <w:rPr>
          <w:rFonts w:ascii="Work Sans" w:eastAsia="Calibri" w:hAnsi="Work Sans" w:cs="Arial"/>
          <w:kern w:val="0"/>
          <w:sz w:val="20"/>
          <w:szCs w:val="20"/>
          <w:lang w:val="es-CO" w:eastAsia="en-US" w:bidi="ar-SA"/>
        </w:rPr>
        <w:t>a caseta de Control Papiros ubicada en el PR103+600 del Proyecto Cartagena - Barranquilla y Circunvalar de la Prosperidad</w:t>
      </w:r>
    </w:p>
    <w:p w:rsidR="007C5512" w:rsidRDefault="007C5512">
      <w:pPr>
        <w:widowControl/>
        <w:tabs>
          <w:tab w:val="left" w:pos="426"/>
        </w:tabs>
        <w:jc w:val="both"/>
        <w:rPr>
          <w:rFonts w:ascii="Work Sans" w:hAnsi="Work Sans" w:cs="Calibri"/>
          <w:kern w:val="0"/>
          <w:sz w:val="20"/>
          <w:szCs w:val="20"/>
          <w:lang w:eastAsia="es-ES" w:bidi="ar-SA"/>
        </w:rPr>
      </w:pPr>
    </w:p>
    <w:p w:rsidR="007C5512" w:rsidRDefault="004D2C6B">
      <w:pPr>
        <w:widowControl/>
        <w:tabs>
          <w:tab w:val="left" w:pos="426"/>
        </w:tabs>
        <w:jc w:val="both"/>
      </w:pPr>
      <w:r>
        <w:rPr>
          <w:rFonts w:ascii="Work Sans" w:hAnsi="Work Sans" w:cs="Calibri"/>
          <w:kern w:val="0"/>
          <w:sz w:val="20"/>
          <w:szCs w:val="20"/>
          <w:lang w:eastAsia="es-ES" w:bidi="ar-SA"/>
        </w:rPr>
        <w:t>Que la Agencia Nacional de Infraestructura, mediante oficio  con número de radicado  20213120337581 del 27 de octubre de 2021, propon</w:t>
      </w:r>
      <w:r>
        <w:rPr>
          <w:rFonts w:ascii="Work Sans" w:hAnsi="Work Sans" w:cs="Calibri"/>
          <w:kern w:val="0"/>
          <w:sz w:val="20"/>
          <w:szCs w:val="20"/>
          <w:lang w:eastAsia="es-ES" w:bidi="ar-SA"/>
        </w:rPr>
        <w:t>e a esta Cartera Ministerial modificar la estructura tarifaria establecida en la Resolución 1378 de 2014 para la estación de peaje Galapa y las Casetas de Control Papiros y Juan Mina, con fundamento en lo siguiente:</w:t>
      </w:r>
    </w:p>
    <w:p w:rsidR="007C5512" w:rsidRDefault="007C5512">
      <w:pPr>
        <w:ind w:right="623"/>
        <w:jc w:val="both"/>
        <w:rPr>
          <w:rFonts w:ascii="Work Sans" w:hAnsi="Work Sans" w:cs="Arial"/>
          <w:sz w:val="20"/>
          <w:szCs w:val="20"/>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“Se propone modificar la Resolución No.</w:t>
      </w:r>
      <w:r>
        <w:rPr>
          <w:rFonts w:ascii="Work Sans" w:hAnsi="Work Sans" w:cs="Arial"/>
          <w:i/>
          <w:iCs/>
          <w:sz w:val="16"/>
          <w:szCs w:val="16"/>
        </w:rPr>
        <w:t xml:space="preserve"> 1378 del 26 de mayo de 2014 y No. 20213040003285 del 28 de enero de 2021. Lo anterior, con el fin de modificar la estructura tarifaria de la estación de peaje Galapa y las casetas de Control de Papiros y Juan Mina de acuerdo con las solicitudes de los ent</w:t>
      </w:r>
      <w:r>
        <w:rPr>
          <w:rFonts w:ascii="Work Sans" w:hAnsi="Work Sans" w:cs="Arial"/>
          <w:i/>
          <w:iCs/>
          <w:sz w:val="16"/>
          <w:szCs w:val="16"/>
        </w:rPr>
        <w:t>es territoriales y de la comunidad, así como, la composición del tráfico de la zona, como se relaciona a continuación:</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Ahora bien, es importante mencionar que el proyecto Cartagena Barranquilla y Circunvalar de la Prosperidad cuenta con una caseta de</w:t>
      </w:r>
      <w:r>
        <w:rPr>
          <w:rFonts w:ascii="Work Sans" w:hAnsi="Work Sans" w:cs="Arial"/>
          <w:i/>
          <w:iCs/>
          <w:sz w:val="16"/>
          <w:szCs w:val="16"/>
        </w:rPr>
        <w:t xml:space="preserve"> control existente, esto es, caseta de Control Papiros y dos estaciones de peaje denominadas Marahuaco y Puerto Colombia. Adicionalmente, se estableció la construcción de una estación de peaje nueva, Galapa, y una caseta de control, Juan Mina, razón por la</w:t>
      </w:r>
      <w:r>
        <w:rPr>
          <w:rFonts w:ascii="Work Sans" w:hAnsi="Work Sans" w:cs="Arial"/>
          <w:i/>
          <w:iCs/>
          <w:sz w:val="16"/>
          <w:szCs w:val="16"/>
        </w:rPr>
        <w:t xml:space="preserve"> cual la implementación de la estructura tarifaria del proyecto se presenta en fechas diferentes, como se menciona a continuación:</w:t>
      </w:r>
    </w:p>
    <w:p w:rsidR="007C5512" w:rsidRDefault="007C5512">
      <w:pPr>
        <w:ind w:left="720" w:right="623"/>
        <w:jc w:val="both"/>
        <w:rPr>
          <w:rFonts w:ascii="Work Sans" w:hAnsi="Work Sans" w:cs="Arial"/>
          <w:i/>
          <w:iCs/>
          <w:sz w:val="16"/>
          <w:szCs w:val="16"/>
        </w:rPr>
      </w:pPr>
    </w:p>
    <w:p w:rsidR="007C5512" w:rsidRDefault="004D2C6B">
      <w:pPr>
        <w:ind w:left="720" w:right="623"/>
        <w:jc w:val="both"/>
      </w:pPr>
      <w:r>
        <w:rPr>
          <w:rFonts w:ascii="Work Sans" w:hAnsi="Work Sans" w:cs="Arial"/>
          <w:i/>
          <w:iCs/>
          <w:sz w:val="16"/>
          <w:szCs w:val="16"/>
        </w:rPr>
        <w:t xml:space="preserve">El peaje Galapa y la caseta de control Juan Mina iniciaron el cobro previsto en la Resolución 1378 de 2014, el 13 de </w:t>
      </w:r>
      <w:r>
        <w:rPr>
          <w:rFonts w:ascii="Work Sans" w:hAnsi="Work Sans" w:cs="Arial"/>
          <w:i/>
          <w:iCs/>
          <w:sz w:val="16"/>
          <w:szCs w:val="16"/>
        </w:rPr>
        <w:t>diciembre de 2018 y el 11 de julio de 2019</w:t>
      </w:r>
      <w:r>
        <w:rPr>
          <w:rFonts w:ascii="Work Sans" w:hAnsi="Work Sans"/>
          <w:i/>
          <w:iCs/>
          <w:sz w:val="16"/>
          <w:szCs w:val="16"/>
        </w:rPr>
        <w:footnoteReference w:id="1"/>
      </w:r>
      <w:r>
        <w:rPr>
          <w:rFonts w:ascii="Work Sans" w:hAnsi="Work Sans" w:cs="Arial"/>
          <w:i/>
          <w:iCs/>
          <w:sz w:val="16"/>
          <w:szCs w:val="16"/>
        </w:rPr>
        <w:t xml:space="preserve">, respectivamente. En cuanto </w:t>
      </w:r>
      <w:r>
        <w:rPr>
          <w:rFonts w:ascii="Work Sans" w:hAnsi="Work Sans" w:cs="Arial"/>
          <w:i/>
          <w:iCs/>
          <w:sz w:val="16"/>
          <w:szCs w:val="16"/>
        </w:rPr>
        <w:lastRenderedPageBreak/>
        <w:t>a la caseta de Control Papiros y para las estaciones de pea</w:t>
      </w:r>
      <w:r>
        <w:rPr>
          <w:rFonts w:ascii="Work Sans" w:hAnsi="Work Sans" w:cs="Arial"/>
          <w:i/>
          <w:iCs/>
          <w:sz w:val="16"/>
          <w:szCs w:val="16"/>
        </w:rPr>
        <w:t>je de Marahuaco y Puerto Colombia, el cobro se inició el 15 de enero de 2020, de conformidad con la Resolución 1378 de 2014.</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Posteriormente, mediante Resolución 20213040003285 del 28 de enero de 2021 del Ministerio de Transporte se modificó la estructura </w:t>
      </w:r>
      <w:r>
        <w:rPr>
          <w:rFonts w:ascii="Work Sans" w:hAnsi="Work Sans" w:cs="Arial"/>
          <w:i/>
          <w:iCs/>
          <w:sz w:val="16"/>
          <w:szCs w:val="16"/>
        </w:rPr>
        <w:t>tarifaria del Proyecto y se establecieron las siguientes Tarifas Especiales, de forma temporal, para las categorías I, II y III en la estación de peaje Puerto Colombia y en la casta de control denominada Papiros, así:</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proofErr w:type="gramStart"/>
      <w:r>
        <w:rPr>
          <w:rFonts w:ascii="Work Sans" w:hAnsi="Work Sans" w:cs="Arial"/>
          <w:i/>
          <w:iCs/>
          <w:sz w:val="16"/>
          <w:szCs w:val="16"/>
        </w:rPr>
        <w:t>Articulo</w:t>
      </w:r>
      <w:proofErr w:type="gramEnd"/>
      <w:r>
        <w:rPr>
          <w:rFonts w:ascii="Work Sans" w:hAnsi="Work Sans" w:cs="Arial"/>
          <w:i/>
          <w:iCs/>
          <w:sz w:val="16"/>
          <w:szCs w:val="16"/>
        </w:rPr>
        <w:t xml:space="preserve"> 1.- Establecer las siguiente</w:t>
      </w:r>
      <w:r>
        <w:rPr>
          <w:rFonts w:ascii="Work Sans" w:hAnsi="Work Sans" w:cs="Arial"/>
          <w:i/>
          <w:iCs/>
          <w:sz w:val="16"/>
          <w:szCs w:val="16"/>
        </w:rPr>
        <w:t>s tarifas diferenciales de manera temporal para las Categorías I y II en la estación de peaje Puerto Colombia ubicada en el PR93+600 y para las categorías I, II y III en la caseta de control de Papiros ubicada en el PR103+600, por el termino de dos (2) año</w:t>
      </w:r>
      <w:r>
        <w:rPr>
          <w:rFonts w:ascii="Work Sans" w:hAnsi="Work Sans" w:cs="Arial"/>
          <w:i/>
          <w:iCs/>
          <w:sz w:val="16"/>
          <w:szCs w:val="16"/>
        </w:rPr>
        <w:t>s, o hasta agotar la disponibilidad de recursos para atender el diferencial tarifario por parte de la Agencia Nacional de Infraestructura, lo primero que ocurra: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Por otro lado, en lo atinente a la estación de peaje Galapa y a la castea de control Ju</w:t>
      </w:r>
      <w:r>
        <w:rPr>
          <w:rFonts w:ascii="Work Sans" w:hAnsi="Work Sans" w:cs="Arial"/>
          <w:i/>
          <w:iCs/>
          <w:sz w:val="16"/>
          <w:szCs w:val="16"/>
        </w:rPr>
        <w:t xml:space="preserve">an Mina, se informa que fueron construidas en desarrollo del proyecto y en ese sentido, la Estación de peaje Galapa se encuentra en operación desde el 13 de diciembre de 2018 y la castea de control Juan Mina desde el 11 de julio de 2019.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Ubicación de las</w:t>
      </w:r>
      <w:r>
        <w:rPr>
          <w:rFonts w:ascii="Work Sans" w:hAnsi="Work Sans" w:cs="Arial"/>
          <w:i/>
          <w:iCs/>
          <w:sz w:val="16"/>
          <w:szCs w:val="16"/>
        </w:rPr>
        <w:t xml:space="preserve"> estaciones de peaje:</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De conformidad con el Apéndice Técnico 1 “Alcance del proyecto”, Capitulo II “Descripción del proyecto”, Sección 2.3 “Estaciones de Peaje”, la ubicación de las estaciones de peaje Puerto Colombia, Marahuaco, y la Caseta de Control Pa</w:t>
      </w:r>
      <w:r>
        <w:rPr>
          <w:rFonts w:ascii="Work Sans" w:hAnsi="Work Sans" w:cs="Arial"/>
          <w:i/>
          <w:iCs/>
          <w:sz w:val="16"/>
          <w:szCs w:val="16"/>
        </w:rPr>
        <w:t>piros está determinada así:</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“Tabla 2 - Estaciones de peaje actualmente existentes: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Que mediante Resolución No. 1309 del 27 de abril de 2018 “Por la cual se emite concepto vinculante previo a la reubicación de una estación de peaje denominado Galapa y</w:t>
      </w:r>
      <w:r>
        <w:rPr>
          <w:rFonts w:ascii="Work Sans" w:hAnsi="Work Sans" w:cs="Arial"/>
          <w:i/>
          <w:iCs/>
          <w:sz w:val="16"/>
          <w:szCs w:val="16"/>
        </w:rPr>
        <w:t xml:space="preserve"> la caseta de control Juan Mina” en su artículo 1 indica: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Emitir concepto vinculante previo a la reubicación de la estación de peaje con cobro bidireccional, en el Proyecto Vial Cartagena – Barranquilla y Circunvalar de la Prosperidad, que se denomi</w:t>
      </w:r>
      <w:r>
        <w:rPr>
          <w:rFonts w:ascii="Work Sans" w:hAnsi="Work Sans" w:cs="Arial"/>
          <w:i/>
          <w:iCs/>
          <w:sz w:val="16"/>
          <w:szCs w:val="16"/>
        </w:rPr>
        <w:t>na Peaje Galapa, en el K11+700 equidistante de los cascos urbanos de los municipios de Galapa PR17 y Caracolí PR19, y la caseta de control Juan Mina, en el PR20+000 a 2 km del casco urbano del Corregimiento de Juan Mina.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Tarifas Aplicables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Así las</w:t>
      </w:r>
      <w:r>
        <w:rPr>
          <w:rFonts w:ascii="Work Sans" w:hAnsi="Work Sans" w:cs="Arial"/>
          <w:i/>
          <w:iCs/>
          <w:sz w:val="16"/>
          <w:szCs w:val="16"/>
        </w:rPr>
        <w:t xml:space="preserve"> cosas, en lo atinente a estación de peaje Galapa y las casetas de control Papiros y Juan Mina, de conformidad con el Contrato de Concesión No. 004 de 2014, Parte Especial, Sección 4.2 “Estructura Tarifaria”, el esquema tarifario correspondiente es el sigu</w:t>
      </w:r>
      <w:r>
        <w:rPr>
          <w:rFonts w:ascii="Work Sans" w:hAnsi="Work Sans" w:cs="Arial"/>
          <w:i/>
          <w:iCs/>
          <w:sz w:val="16"/>
          <w:szCs w:val="16"/>
        </w:rPr>
        <w:t>iente:</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(a) Para efectos de lo dispuesto en la Sección 1.137 de la Parte General, y de acuerdo con lo establecido por la Resolución No. 1378 del 26 de mayo de 2014, la estructura tarifaria que regirá el Proyecto estará compuesta por las siguientes tar</w:t>
      </w:r>
      <w:r>
        <w:rPr>
          <w:rFonts w:ascii="Work Sans" w:hAnsi="Work Sans" w:cs="Arial"/>
          <w:i/>
          <w:iCs/>
          <w:sz w:val="16"/>
          <w:szCs w:val="16"/>
        </w:rPr>
        <w:t>ifas:</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Tarifas al usuario para la caseta de Control Papiros</w:t>
      </w:r>
    </w:p>
    <w:p w:rsidR="007C5512" w:rsidRDefault="007C5512">
      <w:pPr>
        <w:ind w:left="720" w:right="623"/>
        <w:jc w:val="both"/>
        <w:rPr>
          <w:rFonts w:ascii="Work Sans" w:hAnsi="Work Sans" w:cs="Arial"/>
          <w:i/>
          <w:iCs/>
          <w:sz w:val="16"/>
          <w:szCs w:val="16"/>
        </w:rPr>
      </w:pPr>
    </w:p>
    <w:tbl>
      <w:tblPr>
        <w:tblW w:w="5392" w:type="dxa"/>
        <w:jc w:val="center"/>
        <w:tblLayout w:type="fixed"/>
        <w:tblCellMar>
          <w:left w:w="10" w:type="dxa"/>
          <w:right w:w="10" w:type="dxa"/>
        </w:tblCellMar>
        <w:tblLook w:val="0000" w:firstRow="0" w:lastRow="0" w:firstColumn="0" w:lastColumn="0" w:noHBand="0" w:noVBand="0"/>
      </w:tblPr>
      <w:tblGrid>
        <w:gridCol w:w="1266"/>
        <w:gridCol w:w="2744"/>
        <w:gridCol w:w="1382"/>
      </w:tblGrid>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CATEGORÍAS</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TARIFAS*</w:t>
            </w:r>
          </w:p>
          <w:p w:rsidR="007C5512" w:rsidRDefault="004D2C6B">
            <w:pPr>
              <w:ind w:right="623"/>
              <w:jc w:val="both"/>
              <w:rPr>
                <w:rFonts w:ascii="Work Sans" w:hAnsi="Work Sans" w:cs="Arial"/>
                <w:i/>
                <w:iCs/>
                <w:sz w:val="16"/>
                <w:szCs w:val="16"/>
              </w:rPr>
            </w:pPr>
            <w:r>
              <w:rPr>
                <w:rFonts w:ascii="Work Sans" w:hAnsi="Work Sans" w:cs="Arial"/>
                <w:i/>
                <w:iCs/>
                <w:sz w:val="16"/>
                <w:szCs w:val="16"/>
              </w:rPr>
              <w:t>(Pesos de 2012)</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Automóviles, camperos y camionetas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4,500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5,300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Categoría </w:t>
            </w:r>
            <w:r>
              <w:rPr>
                <w:rFonts w:ascii="Work Sans" w:hAnsi="Work Sans" w:cs="Arial"/>
                <w:i/>
                <w:iCs/>
                <w:sz w:val="16"/>
                <w:szCs w:val="16"/>
              </w:rPr>
              <w:lastRenderedPageBreak/>
              <w:t>III</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lastRenderedPageBreak/>
              <w:t>Camiones pequeños de 2 ejes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11,100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Categoría </w:t>
            </w:r>
            <w:r>
              <w:rPr>
                <w:rFonts w:ascii="Work Sans" w:hAnsi="Work Sans" w:cs="Arial"/>
                <w:i/>
                <w:iCs/>
                <w:sz w:val="16"/>
                <w:szCs w:val="16"/>
              </w:rPr>
              <w:t>IV</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19,500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62,100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83,100</w:t>
            </w:r>
          </w:p>
        </w:tc>
      </w:tr>
      <w:tr w:rsidR="007C5512">
        <w:tblPrEx>
          <w:tblCellMar>
            <w:top w:w="0" w:type="dxa"/>
            <w:bottom w:w="0" w:type="dxa"/>
          </w:tblCellMar>
        </w:tblPrEx>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6 ejes o más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92,300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*Estas tarifas incluyen el monto correspondiente al Fondo de Seguridad Vial.</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Una vez se</w:t>
      </w:r>
      <w:r>
        <w:rPr>
          <w:rFonts w:ascii="Work Sans" w:hAnsi="Work Sans" w:cs="Arial"/>
          <w:i/>
          <w:iCs/>
          <w:sz w:val="16"/>
          <w:szCs w:val="16"/>
        </w:rPr>
        <w:t xml:space="preserve"> terminen las obras de la Unidad Funcional 5 y 6 o cuando se cumplan los supuestos de la Sección 3.6 de la Parte Especial, se instalará una estación de peaje y una caseta de control. Las tarifas iniciales de estos peajes, expresados en pesos de Mes de Refe</w:t>
      </w:r>
      <w:r>
        <w:rPr>
          <w:rFonts w:ascii="Work Sans" w:hAnsi="Work Sans" w:cs="Arial"/>
          <w:i/>
          <w:iCs/>
          <w:sz w:val="16"/>
          <w:szCs w:val="16"/>
        </w:rPr>
        <w:t xml:space="preserve">rencia, serán las siguientes: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Tarifas al usuario para la estación de peaje Galapa</w:t>
      </w:r>
    </w:p>
    <w:p w:rsidR="007C5512" w:rsidRDefault="007C5512">
      <w:pPr>
        <w:ind w:left="720" w:right="623"/>
        <w:jc w:val="both"/>
        <w:rPr>
          <w:rFonts w:ascii="Work Sans" w:hAnsi="Work Sans" w:cs="Arial"/>
          <w:i/>
          <w:iCs/>
          <w:sz w:val="16"/>
          <w:szCs w:val="16"/>
        </w:rPr>
      </w:pPr>
    </w:p>
    <w:tbl>
      <w:tblPr>
        <w:tblW w:w="6509" w:type="dxa"/>
        <w:jc w:val="center"/>
        <w:tblCellMar>
          <w:left w:w="10" w:type="dxa"/>
          <w:right w:w="10" w:type="dxa"/>
        </w:tblCellMar>
        <w:tblLook w:val="0000" w:firstRow="0" w:lastRow="0" w:firstColumn="0" w:lastColumn="0" w:noHBand="0" w:noVBand="0"/>
      </w:tblPr>
      <w:tblGrid>
        <w:gridCol w:w="1597"/>
        <w:gridCol w:w="2809"/>
        <w:gridCol w:w="2103"/>
      </w:tblGrid>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Tarifas (pesos de 2012)</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Automóviles, Camperos y Camionetas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9.800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14.700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pequeños de 2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IV</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18.700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58.400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77.800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6 ejes o más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86.400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*Estas tarifas incluyen el monto correspondiente al Fondo de Seguridad</w:t>
      </w:r>
      <w:r>
        <w:rPr>
          <w:rFonts w:ascii="Work Sans" w:hAnsi="Work Sans" w:cs="Arial"/>
          <w:i/>
          <w:iCs/>
          <w:sz w:val="16"/>
          <w:szCs w:val="16"/>
        </w:rPr>
        <w:t xml:space="preserve"> Vial.</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Tarifas al usuario para la caseta de Control Juan Mina</w:t>
      </w:r>
    </w:p>
    <w:p w:rsidR="007C5512" w:rsidRDefault="007C5512">
      <w:pPr>
        <w:ind w:left="720" w:right="623"/>
        <w:jc w:val="both"/>
        <w:rPr>
          <w:rFonts w:ascii="Work Sans" w:hAnsi="Work Sans" w:cs="Arial"/>
          <w:i/>
          <w:iCs/>
          <w:sz w:val="16"/>
          <w:szCs w:val="16"/>
        </w:rPr>
      </w:pPr>
    </w:p>
    <w:tbl>
      <w:tblPr>
        <w:tblW w:w="6509" w:type="dxa"/>
        <w:jc w:val="center"/>
        <w:tblCellMar>
          <w:left w:w="10" w:type="dxa"/>
          <w:right w:w="10" w:type="dxa"/>
        </w:tblCellMar>
        <w:tblLook w:val="0000" w:firstRow="0" w:lastRow="0" w:firstColumn="0" w:lastColumn="0" w:noHBand="0" w:noVBand="0"/>
      </w:tblPr>
      <w:tblGrid>
        <w:gridCol w:w="1597"/>
        <w:gridCol w:w="2809"/>
        <w:gridCol w:w="2103"/>
      </w:tblGrid>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Tarifas (pesos de 2012)</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Automóviles, Camperos y Camionetas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9.800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14.700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pequeños de 2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IV</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18.700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58.400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77.800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6 ejes o más</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86.400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*Estas tarifas incluyen el monto correspondiente al Fondo de Seguridad Vial.</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(b)</w:t>
      </w:r>
      <w:r>
        <w:rPr>
          <w:rFonts w:ascii="Work Sans" w:hAnsi="Work Sans" w:cs="Arial"/>
          <w:i/>
          <w:iCs/>
          <w:sz w:val="16"/>
          <w:szCs w:val="16"/>
        </w:rPr>
        <w:tab/>
        <w:t xml:space="preserve">El </w:t>
      </w:r>
      <w:r>
        <w:rPr>
          <w:rFonts w:ascii="Work Sans" w:hAnsi="Work Sans" w:cs="Arial"/>
          <w:i/>
          <w:iCs/>
          <w:sz w:val="16"/>
          <w:szCs w:val="16"/>
        </w:rPr>
        <w:t>valor de las Tarifas se ajustará a más tardar el dieciséis (16) de enero de cada año y se aplicarán para cada año calendario hasta el quince (15) de enero del año siguiente, de acuerdo con el incremento del IPC y aplicando la siguiente fórmula de ajuste:</w:t>
      </w:r>
    </w:p>
    <w:p w:rsidR="007C5512" w:rsidRDefault="004D2C6B">
      <w:pPr>
        <w:ind w:left="720" w:right="623"/>
        <w:jc w:val="both"/>
      </w:pPr>
      <w:r>
        <w:rPr>
          <w:rFonts w:ascii="Work Sans" w:hAnsi="Work Sans" w:cs="Arial"/>
          <w:i/>
          <w:iCs/>
          <w:sz w:val="16"/>
          <w:szCs w:val="16"/>
        </w:rPr>
        <w:object w:dxaOrig="3885" w:dyaOrig="720" w14:anchorId="4CEA6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94.25pt;height:36pt;visibility:visible;mso-wrap-style:square" o:ole="">
            <v:imagedata r:id="rId7" o:title=""/>
          </v:shape>
          <o:OLEObject Type="Embed" ProgID="Unknown" ShapeID="Object 1" DrawAspect="Content" ObjectID="_1698176126" r:id="rId8"/>
        </w:object>
      </w:r>
    </w:p>
    <w:p w:rsidR="007C5512" w:rsidRDefault="004D2C6B">
      <w:pPr>
        <w:ind w:left="720" w:right="623"/>
        <w:jc w:val="both"/>
        <w:rPr>
          <w:rFonts w:ascii="Work Sans" w:hAnsi="Work Sans" w:cs="Arial"/>
          <w:i/>
          <w:iCs/>
          <w:sz w:val="16"/>
          <w:szCs w:val="16"/>
        </w:rPr>
      </w:pPr>
      <w:r>
        <w:rPr>
          <w:rFonts w:ascii="Work Sans" w:hAnsi="Work Sans" w:cs="Arial"/>
          <w:i/>
          <w:iCs/>
          <w:sz w:val="16"/>
          <w:szCs w:val="16"/>
        </w:rPr>
        <w:t>Dónde:</w:t>
      </w:r>
    </w:p>
    <w:tbl>
      <w:tblPr>
        <w:tblW w:w="7379" w:type="dxa"/>
        <w:jc w:val="center"/>
        <w:tblCellMar>
          <w:left w:w="10" w:type="dxa"/>
          <w:right w:w="10" w:type="dxa"/>
        </w:tblCellMar>
        <w:tblLook w:val="0000" w:firstRow="0" w:lastRow="0" w:firstColumn="0" w:lastColumn="0" w:noHBand="0" w:noVBand="0"/>
      </w:tblPr>
      <w:tblGrid>
        <w:gridCol w:w="2031"/>
        <w:gridCol w:w="5348"/>
      </w:tblGrid>
      <w:tr w:rsidR="007C5512">
        <w:tblPrEx>
          <w:tblCellMar>
            <w:top w:w="0" w:type="dxa"/>
            <w:bottom w:w="0" w:type="dxa"/>
          </w:tblCellMar>
        </w:tblPrEx>
        <w:trPr>
          <w:jc w:val="center"/>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lastRenderedPageBreak/>
              <w:t>TarifaSRt</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Para cada categoría de vehículos y cada Estación de Peaje es el valor de la Tarifa ajustada con la variación del IPC expresada en Pesos corrientes del año t, sin el redondeo a la centena.</w:t>
            </w:r>
          </w:p>
        </w:tc>
      </w:tr>
      <w:tr w:rsidR="007C5512">
        <w:tblPrEx>
          <w:tblCellMar>
            <w:top w:w="0" w:type="dxa"/>
            <w:bottom w:w="0" w:type="dxa"/>
          </w:tblCellMar>
        </w:tblPrEx>
        <w:trPr>
          <w:jc w:val="center"/>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TarifaUsuariot-1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Para cada </w:t>
            </w:r>
            <w:r>
              <w:rPr>
                <w:rFonts w:ascii="Work Sans" w:hAnsi="Work Sans" w:cs="Arial"/>
                <w:i/>
                <w:iCs/>
                <w:sz w:val="16"/>
                <w:szCs w:val="16"/>
              </w:rPr>
              <w:t>categoría de vehículos y cada Estación de Peaje es el valor de la Tarifa (sin incluir el aporte al Fondo de Seguridad Vial o cualquier sobretasa o similar que tenga destinación diferente al Proyecto) del año calendario inmediatamente anterior al año t.</w:t>
            </w:r>
          </w:p>
        </w:tc>
      </w:tr>
      <w:tr w:rsidR="007C5512">
        <w:tblPrEx>
          <w:tblCellMar>
            <w:top w:w="0" w:type="dxa"/>
            <w:bottom w:w="0" w:type="dxa"/>
          </w:tblCellMar>
        </w:tblPrEx>
        <w:trPr>
          <w:trHeight w:val="305"/>
          <w:jc w:val="center"/>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IP</w:t>
            </w:r>
            <w:r>
              <w:rPr>
                <w:rFonts w:ascii="Work Sans" w:hAnsi="Work Sans" w:cs="Arial"/>
                <w:i/>
                <w:iCs/>
                <w:sz w:val="16"/>
                <w:szCs w:val="16"/>
              </w:rPr>
              <w:t>C t-1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IPC de Diciembre del año inmediatamente anterior a t</w:t>
            </w:r>
          </w:p>
        </w:tc>
      </w:tr>
      <w:tr w:rsidR="007C5512">
        <w:tblPrEx>
          <w:tblCellMar>
            <w:top w:w="0" w:type="dxa"/>
            <w:bottom w:w="0" w:type="dxa"/>
          </w:tblCellMar>
        </w:tblPrEx>
        <w:trPr>
          <w:jc w:val="center"/>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IPC t-2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IPC de Diciembre del año inmediatamente anterior a t-1</w:t>
            </w:r>
          </w:p>
        </w:tc>
      </w:tr>
    </w:tbl>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(c) Una vez se establezca la tarifa sin el redondeo a la centena, se le adicionarán las tasas correspondientes al Fondo de </w:t>
      </w:r>
      <w:r>
        <w:rPr>
          <w:rFonts w:ascii="Work Sans" w:hAnsi="Work Sans" w:cs="Arial"/>
          <w:i/>
          <w:iCs/>
          <w:sz w:val="16"/>
          <w:szCs w:val="16"/>
        </w:rPr>
        <w:t>Seguridad Vial y este resultado se ajustará a más tardar el dieciséis (16) de enero de cada año y se aplicarán para cada año calendario hasta el quince (15) de enero del año siguiente, redondeado a la centena más cercana de acuerdo con la siguiente fórmula</w:t>
      </w: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center"/>
      </w:pPr>
      <m:oMathPara>
        <m:oMathParaPr>
          <m:jc m:val="center"/>
        </m:oMathParaPr>
        <m:oMath>
          <m:sSub>
            <m:sSubPr>
              <m:ctrlPr>
                <w:rPr>
                  <w:rFonts w:ascii="Cambria Math" w:hAnsi="Cambria Math"/>
                </w:rPr>
              </m:ctrlPr>
            </m:sSubPr>
            <m:e>
              <m:r>
                <w:rPr>
                  <w:rFonts w:ascii="Cambria Math" w:hAnsi="Cambria Math"/>
                </w:rPr>
                <m:t>TarifaUsuario</m:t>
              </m:r>
            </m:e>
            <m:sub>
              <m:r>
                <w:rPr>
                  <w:rFonts w:ascii="Cambria Math" w:hAnsi="Cambria Math"/>
                </w:rPr>
                <m:t>t</m:t>
              </m:r>
            </m:sub>
          </m:sSub>
          <m:r>
            <w:rPr>
              <w:rFonts w:ascii="Cambria Math" w:hAnsi="Cambria Math"/>
            </w:rPr>
            <m:t>=</m:t>
          </m:r>
          <m:r>
            <w:rPr>
              <w:rFonts w:ascii="Cambria Math" w:hAnsi="Cambria Math"/>
            </w:rPr>
            <m:t>Redond</m:t>
          </m:r>
          <m:r>
            <w:rPr>
              <w:rFonts w:ascii="Cambria Math" w:hAnsi="Cambria Math"/>
            </w:rPr>
            <m:t>eo</m:t>
          </m:r>
          <m:r>
            <w:rPr>
              <w:rFonts w:ascii="Cambria Math" w:hAnsi="Cambria Math"/>
            </w:rPr>
            <m:t>100*</m:t>
          </m:r>
          <m:d>
            <m:dPr>
              <m:begChr m:val="["/>
              <m:endChr m:val="]"/>
              <m:ctrlPr>
                <w:rPr>
                  <w:rFonts w:ascii="Cambria Math" w:hAnsi="Cambria Math"/>
                </w:rPr>
              </m:ctrlPr>
            </m:dPr>
            <m:e>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FSV</m:t>
                  </m:r>
                </m:e>
                <m:sub>
                  <m:r>
                    <w:rPr>
                      <w:rFonts w:ascii="Cambria Math" w:hAnsi="Cambria Math"/>
                    </w:rPr>
                    <m:t>t</m:t>
                  </m:r>
                </m:sub>
              </m:sSub>
            </m:e>
          </m:d>
        </m:oMath>
      </m:oMathPara>
    </w:p>
    <w:p w:rsidR="007C5512" w:rsidRDefault="004D2C6B">
      <w:pPr>
        <w:ind w:left="720" w:right="623"/>
        <w:jc w:val="both"/>
        <w:rPr>
          <w:rFonts w:ascii="Work Sans" w:hAnsi="Work Sans" w:cs="Arial"/>
          <w:i/>
          <w:iCs/>
          <w:sz w:val="16"/>
          <w:szCs w:val="16"/>
        </w:rPr>
      </w:pPr>
      <w:r>
        <w:rPr>
          <w:rFonts w:ascii="Work Sans" w:hAnsi="Work Sans" w:cs="Arial"/>
          <w:i/>
          <w:iCs/>
          <w:sz w:val="16"/>
          <w:szCs w:val="16"/>
        </w:rPr>
        <w:t>Donde,</w:t>
      </w:r>
    </w:p>
    <w:tbl>
      <w:tblPr>
        <w:tblW w:w="6201" w:type="dxa"/>
        <w:tblInd w:w="1679" w:type="dxa"/>
        <w:tblCellMar>
          <w:left w:w="10" w:type="dxa"/>
          <w:right w:w="10" w:type="dxa"/>
        </w:tblCellMar>
        <w:tblLook w:val="0000" w:firstRow="0" w:lastRow="0" w:firstColumn="0" w:lastColumn="0" w:noHBand="0" w:noVBand="0"/>
      </w:tblPr>
      <w:tblGrid>
        <w:gridCol w:w="1949"/>
        <w:gridCol w:w="4252"/>
      </w:tblGrid>
      <w:tr w:rsidR="007C5512">
        <w:tblPrEx>
          <w:tblCellMar>
            <w:top w:w="0" w:type="dxa"/>
            <w:bottom w:w="0" w:type="dxa"/>
          </w:tblCellMar>
        </w:tblPrEx>
        <w:trPr>
          <w:trHeight w:val="178"/>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TarifaUsuariot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Valor actualizado de la tarifa para el año t.</w:t>
            </w:r>
          </w:p>
        </w:tc>
      </w:tr>
      <w:tr w:rsidR="007C5512">
        <w:tblPrEx>
          <w:tblCellMar>
            <w:top w:w="0" w:type="dxa"/>
            <w:bottom w:w="0" w:type="dxa"/>
          </w:tblCellMar>
        </w:tblPrEx>
        <w:trPr>
          <w:trHeight w:val="742"/>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TarifaSRt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Para cada categoría de vehículos y cada Estación de Peaje es el valor de la Tarifa ajustada con la variación del IPC expresada en Pesos corrientes del año t, sin el redondeo</w:t>
            </w:r>
            <w:r>
              <w:rPr>
                <w:rFonts w:ascii="Work Sans" w:hAnsi="Work Sans" w:cs="Arial"/>
                <w:i/>
                <w:iCs/>
                <w:sz w:val="16"/>
                <w:szCs w:val="16"/>
              </w:rPr>
              <w:t xml:space="preserve"> a la centena</w:t>
            </w:r>
          </w:p>
        </w:tc>
      </w:tr>
      <w:tr w:rsidR="007C5512">
        <w:tblPrEx>
          <w:tblCellMar>
            <w:top w:w="0" w:type="dxa"/>
            <w:bottom w:w="0" w:type="dxa"/>
          </w:tblCellMar>
        </w:tblPrEx>
        <w:trPr>
          <w:trHeight w:val="549"/>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FSVt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Es el valor del aporte al Fondo de Seguridad Vial para el año t vigente al momento del cálculo, expresado en Pesos corrientes del año t.</w:t>
            </w:r>
          </w:p>
        </w:tc>
      </w:tr>
      <w:tr w:rsidR="007C5512">
        <w:tblPrEx>
          <w:tblCellMar>
            <w:top w:w="0" w:type="dxa"/>
            <w:bottom w:w="0" w:type="dxa"/>
          </w:tblCellMar>
        </w:tblPrEx>
        <w:trPr>
          <w:trHeight w:val="1098"/>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Redondeo100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Función que redondea un número al múltiplo de cien (100) más cercano. Redondea hacia </w:t>
            </w:r>
            <w:r>
              <w:rPr>
                <w:rFonts w:ascii="Work Sans" w:hAnsi="Work Sans" w:cs="Arial"/>
                <w:i/>
                <w:iCs/>
                <w:sz w:val="16"/>
                <w:szCs w:val="16"/>
              </w:rPr>
              <w:t>la centena superior, si el residuo de dividir el número entre cien (100) es mayor o igual a cincuenta (50). Redondea hacia la centena inferior, si el residuo de dividir el número entre cien (100) es menor que cincuenta (50).</w:t>
            </w:r>
          </w:p>
        </w:tc>
      </w:tr>
    </w:tbl>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1.2. Respecto de la </w:t>
      </w:r>
      <w:r>
        <w:rPr>
          <w:rFonts w:ascii="Work Sans" w:hAnsi="Work Sans" w:cs="Arial"/>
          <w:i/>
          <w:iCs/>
          <w:sz w:val="16"/>
          <w:szCs w:val="16"/>
        </w:rPr>
        <w:t xml:space="preserve">aplicación de las nuevas tarifas para la estación de peaje Galapa y las Casetas de Control de Papiros y Juan Mina y su justificación </w:t>
      </w:r>
    </w:p>
    <w:p w:rsidR="007C5512" w:rsidRDefault="007C5512">
      <w:pPr>
        <w:ind w:left="720" w:right="623"/>
        <w:jc w:val="both"/>
        <w:rPr>
          <w:rFonts w:ascii="Work Sans" w:hAnsi="Work Sans" w:cs="Arial"/>
          <w:i/>
          <w:iCs/>
          <w:sz w:val="16"/>
          <w:szCs w:val="16"/>
        </w:rPr>
      </w:pP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Cs/>
          <w:sz w:val="16"/>
          <w:szCs w:val="16"/>
        </w:rPr>
      </w:pPr>
      <w:r>
        <w:rPr>
          <w:rFonts w:ascii="Work Sans" w:hAnsi="Work Sans" w:cs="Arial"/>
          <w:iCs/>
          <w:sz w:val="16"/>
          <w:szCs w:val="16"/>
        </w:rPr>
        <w:t>“…</w:t>
      </w:r>
    </w:p>
    <w:p w:rsidR="007C5512" w:rsidRDefault="007C5512">
      <w:pPr>
        <w:ind w:left="720" w:right="623"/>
        <w:jc w:val="both"/>
        <w:rPr>
          <w:rFonts w:ascii="Work Sans" w:hAnsi="Work Sans" w:cs="Arial"/>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Además de la problemática social descrita anteriormente, la modificación de tarifas propuesta para esta estación de </w:t>
      </w:r>
      <w:r>
        <w:rPr>
          <w:rFonts w:ascii="Work Sans" w:hAnsi="Work Sans" w:cs="Arial"/>
          <w:i/>
          <w:iCs/>
          <w:sz w:val="16"/>
          <w:szCs w:val="16"/>
        </w:rPr>
        <w:t>peaje propende por captar la demanda vehicular que actualmente usa la Carrera 51B (vía de inferiores condiciones). Esta situación se ha evidenciado en la diferencia que presenta el número de vehículos que pasan por el peaje frente al número de vehículos qu</w:t>
      </w:r>
      <w:r>
        <w:rPr>
          <w:rFonts w:ascii="Work Sans" w:hAnsi="Work Sans" w:cs="Arial"/>
          <w:i/>
          <w:iCs/>
          <w:sz w:val="16"/>
          <w:szCs w:val="16"/>
        </w:rPr>
        <w:t>e hacen uso de la vía mencionada, en el sentido Barranquilla – Cartagena, en el cual no se realiza cobro por el tránsito vehicular.</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Para estimar el impacto en el Fondo de Contingencias de Entidades Estatales – FCEE, con ocasión de la modificación de tarif</w:t>
      </w:r>
      <w:r>
        <w:rPr>
          <w:rFonts w:ascii="Work Sans" w:hAnsi="Work Sans" w:cs="Arial"/>
          <w:i/>
          <w:iCs/>
          <w:sz w:val="16"/>
          <w:szCs w:val="16"/>
        </w:rPr>
        <w:t>as, se solicitó a la interventoría realizar un aforo vehicular por categoría sobre el corredor del proyecto a la altura de la caseta de control Papiros, en el sentido Barranquilla – Cartagena (sentido sin cobro), durante los días jueves 29 de julio, sábado</w:t>
      </w:r>
      <w:r>
        <w:rPr>
          <w:rFonts w:ascii="Work Sans" w:hAnsi="Work Sans" w:cs="Arial"/>
          <w:i/>
          <w:iCs/>
          <w:sz w:val="16"/>
          <w:szCs w:val="16"/>
        </w:rPr>
        <w:t xml:space="preserve"> 31 de julio y domingo 1 de agosto de 2021, el cual arrojó los siguientes resultados.</w:t>
      </w:r>
    </w:p>
    <w:p w:rsidR="007C5512" w:rsidRDefault="007C5512">
      <w:pPr>
        <w:ind w:left="720" w:right="623"/>
        <w:jc w:val="both"/>
        <w:rPr>
          <w:rFonts w:ascii="Work Sans" w:hAnsi="Work Sans" w:cs="Arial"/>
          <w:i/>
          <w:iCs/>
          <w:sz w:val="16"/>
          <w:szCs w:val="16"/>
        </w:rPr>
      </w:pPr>
    </w:p>
    <w:tbl>
      <w:tblPr>
        <w:tblW w:w="7163" w:type="dxa"/>
        <w:tblInd w:w="720" w:type="dxa"/>
        <w:tblLayout w:type="fixed"/>
        <w:tblCellMar>
          <w:left w:w="10" w:type="dxa"/>
          <w:right w:w="10" w:type="dxa"/>
        </w:tblCellMar>
        <w:tblLook w:val="0000" w:firstRow="0" w:lastRow="0" w:firstColumn="0" w:lastColumn="0" w:noHBand="0" w:noVBand="0"/>
      </w:tblPr>
      <w:tblGrid>
        <w:gridCol w:w="1945"/>
        <w:gridCol w:w="1636"/>
        <w:gridCol w:w="1791"/>
        <w:gridCol w:w="1791"/>
      </w:tblGrid>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FECHA</w:t>
            </w:r>
          </w:p>
        </w:tc>
        <w:tc>
          <w:tcPr>
            <w:tcW w:w="1636" w:type="dxa"/>
            <w:tcBorders>
              <w:top w:val="single" w:sz="4" w:space="0" w:color="FFFFFF"/>
              <w:bottom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29 de julio/21</w:t>
            </w:r>
          </w:p>
        </w:tc>
        <w:tc>
          <w:tcPr>
            <w:tcW w:w="1791" w:type="dxa"/>
            <w:tcBorders>
              <w:top w:val="single" w:sz="4" w:space="0" w:color="FFFFFF"/>
              <w:bottom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31 de julio/21</w:t>
            </w:r>
          </w:p>
        </w:tc>
        <w:tc>
          <w:tcPr>
            <w:tcW w:w="1791" w:type="dxa"/>
            <w:tcBorders>
              <w:top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01 de agosto/21</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I</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5640</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8250</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10021</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II</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191</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225</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213</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III</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202</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151</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36</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 xml:space="preserve">TRÁFICO </w:t>
            </w:r>
            <w:r>
              <w:rPr>
                <w:rFonts w:ascii="Work Sans" w:hAnsi="Work Sans" w:cs="Arial"/>
                <w:i/>
                <w:iCs/>
                <w:sz w:val="16"/>
                <w:szCs w:val="16"/>
              </w:rPr>
              <w:lastRenderedPageBreak/>
              <w:t>CATEGORIA IV</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lastRenderedPageBreak/>
              <w:t>109</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51</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V</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109</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88</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3</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VI</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14</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4</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0</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TRÁFICO CATEGORIA VII</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2</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0</w:t>
            </w:r>
          </w:p>
        </w:tc>
      </w:tr>
      <w:tr w:rsidR="007C5512">
        <w:tblPrEx>
          <w:tblCellMar>
            <w:top w:w="0" w:type="dxa"/>
            <w:bottom w:w="0" w:type="dxa"/>
          </w:tblCellMar>
        </w:tblPrEx>
        <w:trPr>
          <w:trHeight w:val="230"/>
        </w:trPr>
        <w:tc>
          <w:tcPr>
            <w:tcW w:w="1945" w:type="dxa"/>
            <w:tcBorders>
              <w:top w:val="single" w:sz="4" w:space="0" w:color="FFFFFF"/>
              <w:left w:val="single" w:sz="4" w:space="0" w:color="FFFFFF"/>
              <w:bottom w:val="single" w:sz="4" w:space="0" w:color="FFFFFF"/>
              <w:right w:val="single" w:sz="4" w:space="0" w:color="FFFFFF"/>
            </w:tcBorders>
            <w:shd w:val="clear" w:color="auto" w:fill="4472C4"/>
            <w:tcMar>
              <w:top w:w="0" w:type="dxa"/>
              <w:left w:w="108" w:type="dxa"/>
              <w:bottom w:w="0" w:type="dxa"/>
              <w:right w:w="108" w:type="dxa"/>
            </w:tcMar>
          </w:tcPr>
          <w:p w:rsidR="007C5512" w:rsidRDefault="004D2C6B">
            <w:pPr>
              <w:ind w:right="623"/>
              <w:jc w:val="both"/>
            </w:pPr>
            <w:r>
              <w:rPr>
                <w:rFonts w:ascii="Work Sans" w:hAnsi="Work Sans" w:cs="Arial"/>
                <w:i/>
                <w:iCs/>
                <w:sz w:val="16"/>
                <w:szCs w:val="16"/>
              </w:rPr>
              <w:t>TOTAL</w:t>
            </w:r>
          </w:p>
        </w:tc>
        <w:tc>
          <w:tcPr>
            <w:tcW w:w="16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6267</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8777</w:t>
            </w:r>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10281</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Nota: Información remitida por la Interventoría a la Agencia mediante correos electrónicos del 30 de julio y 3 de agosto </w:t>
      </w:r>
      <w:r>
        <w:rPr>
          <w:rFonts w:ascii="Work Sans" w:hAnsi="Work Sans" w:cs="Arial"/>
          <w:i/>
          <w:iCs/>
          <w:sz w:val="16"/>
          <w:szCs w:val="16"/>
        </w:rPr>
        <w:t xml:space="preserve">de 2021.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Con los resultados del aforo se procedió a comparar dicho tráfico con el registrado los mismos días en el peaje Puerto Colombia y en la caseta de control Papiros con el fin de obtener un valor aproximado de los usuarios potenciales de la caseta </w:t>
      </w:r>
      <w:r>
        <w:rPr>
          <w:rFonts w:ascii="Work Sans" w:hAnsi="Work Sans" w:cs="Arial"/>
          <w:i/>
          <w:iCs/>
          <w:sz w:val="16"/>
          <w:szCs w:val="16"/>
        </w:rPr>
        <w:t>de control Papiros que en la actualidad hacen uso de la Carrera 51B.</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Caseta de control Juan Mina y estación de peaje Galapa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El proyecto Circunvalar de la Prosperidad, consiste en la construcción de un corredor perimetral por el costado occidental de la c</w:t>
      </w:r>
      <w:r>
        <w:rPr>
          <w:rFonts w:ascii="Work Sans" w:hAnsi="Work Sans" w:cs="Arial"/>
          <w:i/>
          <w:iCs/>
          <w:sz w:val="16"/>
          <w:szCs w:val="16"/>
        </w:rPr>
        <w:t>iudad de Barranquilla, con el objeto de mejorar la infraestructura disponible para el transporte de los productos entre los puertos marítimos, fluviales, terrestres y aeroportuarios. Adicionalmente, se busca disminuir los tiempos de viaje y costos de opera</w:t>
      </w:r>
      <w:r>
        <w:rPr>
          <w:rFonts w:ascii="Work Sans" w:hAnsi="Work Sans" w:cs="Arial"/>
          <w:i/>
          <w:iCs/>
          <w:sz w:val="16"/>
          <w:szCs w:val="16"/>
        </w:rPr>
        <w:t xml:space="preserve">ción vehicular para el transporte de carga de los sectores productivos ubicados en los corredores industriales y hacia la zona portuaria ubicada en cercanía de la desembocadura del Río Magdalena.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El desarrollo vial representa un mejoramiento en la </w:t>
      </w:r>
      <w:r>
        <w:rPr>
          <w:rFonts w:ascii="Work Sans" w:hAnsi="Work Sans" w:cs="Arial"/>
          <w:i/>
          <w:iCs/>
          <w:sz w:val="16"/>
          <w:szCs w:val="16"/>
        </w:rPr>
        <w:t>movilidad en el casco urbano de Barranquilla y Soledad por el descongestionamiento vehicular y un menor deterioro de su malla vial. La conexión directa que aporta entre los municipios del área metropolitana ayuda a reactivar la economía y las actividades e</w:t>
      </w:r>
      <w:r>
        <w:rPr>
          <w:rFonts w:ascii="Work Sans" w:hAnsi="Work Sans" w:cs="Arial"/>
          <w:i/>
          <w:iCs/>
          <w:sz w:val="16"/>
          <w:szCs w:val="16"/>
        </w:rPr>
        <w:t>n esas localidades, así como al desarrollo del concepto ciudad región que se articula con el proyecto de autonomía administrativa y política de la Región Caribe.</w:t>
      </w:r>
    </w:p>
    <w:p w:rsidR="007C5512" w:rsidRDefault="007C5512">
      <w:pPr>
        <w:ind w:left="720" w:right="623"/>
        <w:jc w:val="both"/>
        <w:rPr>
          <w:rFonts w:ascii="Work Sans" w:hAnsi="Work Sans" w:cs="Arial"/>
          <w:i/>
          <w:iCs/>
          <w:sz w:val="16"/>
          <w:szCs w:val="16"/>
        </w:rPr>
      </w:pPr>
    </w:p>
    <w:p w:rsidR="007C5512" w:rsidRDefault="004D2C6B">
      <w:pPr>
        <w:ind w:left="720" w:right="623"/>
        <w:jc w:val="both"/>
      </w:pPr>
      <w:r>
        <w:rPr>
          <w:rFonts w:ascii="Work Sans" w:hAnsi="Work Sans" w:cs="Arial"/>
          <w:i/>
          <w:iCs/>
          <w:sz w:val="16"/>
          <w:szCs w:val="16"/>
        </w:rPr>
        <w:t>Así las cosas, existen varios beneficios que ofrece el proyecto para los usuarios de la vía y</w:t>
      </w:r>
      <w:r>
        <w:rPr>
          <w:rFonts w:ascii="Work Sans" w:hAnsi="Work Sans" w:cs="Arial"/>
          <w:i/>
          <w:iCs/>
          <w:sz w:val="16"/>
          <w:szCs w:val="16"/>
        </w:rPr>
        <w:t xml:space="preserve"> las comunidades aledañas, los cuales, debido a las vías alternas y al valor de la tarifa de peaje, se están dejando de aprovechar por la falta de uso del corredor vial concesionado. El escenario anterior, podría, eventualmente, impedir el desarrollo indus</w:t>
      </w:r>
      <w:r>
        <w:rPr>
          <w:rFonts w:ascii="Work Sans" w:hAnsi="Work Sans" w:cs="Arial"/>
          <w:i/>
          <w:iCs/>
          <w:sz w:val="16"/>
          <w:szCs w:val="16"/>
        </w:rPr>
        <w:t xml:space="preserve">trial del corredor, así como la mejora de la conectividad entre las vías nacionales, la movilidad en el caso urbano de Barranquilla y Soledad, el transporte entre los puntos de descarga y carga de bienes y servicios, entre otros. </w:t>
      </w:r>
    </w:p>
    <w:p w:rsidR="007C5512" w:rsidRDefault="007C5512">
      <w:pPr>
        <w:ind w:left="720" w:right="623"/>
        <w:jc w:val="both"/>
        <w:rPr>
          <w:rFonts w:ascii="Work Sans" w:hAnsi="Work Sans" w:cs="Arial"/>
          <w:i/>
          <w:iCs/>
          <w:sz w:val="16"/>
          <w:szCs w:val="16"/>
        </w:rPr>
      </w:pPr>
    </w:p>
    <w:p w:rsidR="007C5512" w:rsidRDefault="004D2C6B">
      <w:pPr>
        <w:ind w:left="720" w:right="623"/>
        <w:jc w:val="both"/>
      </w:pPr>
      <w:r>
        <w:rPr>
          <w:rFonts w:ascii="Work Sans" w:hAnsi="Work Sans" w:cs="Arial"/>
          <w:i/>
          <w:iCs/>
          <w:sz w:val="16"/>
          <w:szCs w:val="16"/>
        </w:rPr>
        <w:t>El Tránsito Promedio Dia</w:t>
      </w:r>
      <w:r>
        <w:rPr>
          <w:rFonts w:ascii="Work Sans" w:hAnsi="Work Sans" w:cs="Arial"/>
          <w:i/>
          <w:iCs/>
          <w:sz w:val="16"/>
          <w:szCs w:val="16"/>
        </w:rPr>
        <w:t>rio (TPDA) registrado a la fecha en las estaciones de peajes ubicadas sobre el corredor (Juan Mina y Galapa) evidencia niveles cercanos a 1400 vehículos</w:t>
      </w:r>
      <w:r>
        <w:rPr>
          <w:rFonts w:ascii="Work Sans" w:hAnsi="Work Sans"/>
          <w:i/>
          <w:iCs/>
          <w:sz w:val="16"/>
          <w:szCs w:val="16"/>
        </w:rPr>
        <w:footnoteReference w:id="2"/>
      </w:r>
      <w:r>
        <w:rPr>
          <w:rFonts w:ascii="Work Sans" w:hAnsi="Work Sans" w:cs="Arial"/>
          <w:i/>
          <w:iCs/>
          <w:sz w:val="16"/>
          <w:szCs w:val="16"/>
        </w:rPr>
        <w:t>, muy por debajo de los 5500 vehículos esperados en la estructuración del proyecto. La principal razón de esta diferencia está en la competencia representada por la Vía 40-Circunvalar d</w:t>
      </w:r>
      <w:r>
        <w:rPr>
          <w:rFonts w:ascii="Work Sans" w:hAnsi="Work Sans" w:cs="Arial"/>
          <w:i/>
          <w:iCs/>
          <w:sz w:val="16"/>
          <w:szCs w:val="16"/>
        </w:rPr>
        <w:t>e Barranquilla, la cual actualmente no tiene restricciones a la circulación de vehículos de carga como tampoco estaciones de peaje u otra medida de cobro por uso. Adicional a ello, la crisis económica ocasionada por la pandemia por COVID-19 pudo haber redu</w:t>
      </w:r>
      <w:r>
        <w:rPr>
          <w:rFonts w:ascii="Work Sans" w:hAnsi="Work Sans" w:cs="Arial"/>
          <w:i/>
          <w:iCs/>
          <w:sz w:val="16"/>
          <w:szCs w:val="16"/>
        </w:rPr>
        <w:t>cido la disposición y/o capacidad de pago de los potenciales usuarios de la circunvalar de la prosperidad, generando una reducción en el tráfico del corredor el cual impacta, de forma directa, el recaudo de los peajes afectos al corredor.</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De conformidad c</w:t>
      </w:r>
      <w:r>
        <w:rPr>
          <w:rFonts w:ascii="Work Sans" w:hAnsi="Work Sans" w:cs="Arial"/>
          <w:i/>
          <w:iCs/>
          <w:sz w:val="16"/>
          <w:szCs w:val="16"/>
        </w:rPr>
        <w:t>on lo anterior, se espera que con una disminución de las tarifas tanto en las casetas de control Juan Mina y Papiros como en la estación de peaje Galapa, se contribuya con la competitividad del corredor frente a las vías de competencia directa, en especial</w:t>
      </w:r>
      <w:r>
        <w:rPr>
          <w:rFonts w:ascii="Work Sans" w:hAnsi="Work Sans" w:cs="Arial"/>
          <w:i/>
          <w:iCs/>
          <w:sz w:val="16"/>
          <w:szCs w:val="16"/>
        </w:rPr>
        <w:t xml:space="preserve"> la Circunvalar de Barranquilla, atrayendo mayor demanda a la registrada en el pasado reciente, debido a un mayor uso de la infraestructura disponible, y con ello, lograr una descongestión vehicular y un alivio frente a la transitabilidad y eficiencia que </w:t>
      </w:r>
      <w:r>
        <w:rPr>
          <w:rFonts w:ascii="Work Sans" w:hAnsi="Work Sans" w:cs="Arial"/>
          <w:i/>
          <w:iCs/>
          <w:sz w:val="16"/>
          <w:szCs w:val="16"/>
        </w:rPr>
        <w:t>se busca con la ejecución del proyecto de infraestructura vial.</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1.3 Frente a los aspectos de Riesgos del Contrato de Concesión No. 004 de 2014:</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Mediante memorando de radicado 20216020329511 del 21 de octubre de 2021, el GIT de Riesgos manifestó:</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“…En at</w:t>
      </w:r>
      <w:r>
        <w:rPr>
          <w:rFonts w:ascii="Work Sans" w:hAnsi="Work Sans" w:cs="Arial"/>
          <w:i/>
          <w:iCs/>
          <w:sz w:val="16"/>
          <w:szCs w:val="16"/>
        </w:rPr>
        <w:t xml:space="preserve">ención al trámite para Cambio de la estructura tarifaria de los peajes Juan Mina, Galapa y Papiros, nos permitimos informar que como consecuencia de la aplicación de las modificaciones solicitadas se materializaría el Riesgo Tarifario a cargo de la ANI de </w:t>
      </w:r>
      <w:r>
        <w:rPr>
          <w:rFonts w:ascii="Work Sans" w:hAnsi="Work Sans" w:cs="Arial"/>
          <w:i/>
          <w:iCs/>
          <w:sz w:val="16"/>
          <w:szCs w:val="16"/>
        </w:rPr>
        <w:t>que trata Sección 13.3, literal (n) de la Parte General del Contrato de Concesión, la cual establece:</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“Parcialmente, los efectos desfavorables de modificaciones a las tarifas previstas en la Resolución de Peaje, la implementación de nuevas tarifas diferen</w:t>
      </w:r>
      <w:r>
        <w:rPr>
          <w:rFonts w:ascii="Work Sans" w:hAnsi="Work Sans" w:cs="Arial"/>
          <w:i/>
          <w:iCs/>
          <w:sz w:val="16"/>
          <w:szCs w:val="16"/>
        </w:rPr>
        <w:t>ciales en las Estaciones de Peaje existentes y/o nuevas Estaciones de Peaje, en las vías que hacen parte del Proyecto o, en general, cualquier cambio en la estructura tarifaria prevista en la Resolución de Peaje. Lo anterior, en la medida que la asunción d</w:t>
      </w:r>
      <w:r>
        <w:rPr>
          <w:rFonts w:ascii="Work Sans" w:hAnsi="Work Sans" w:cs="Arial"/>
          <w:i/>
          <w:iCs/>
          <w:sz w:val="16"/>
          <w:szCs w:val="16"/>
        </w:rPr>
        <w:t xml:space="preserve">e este riesgo conlleva, exclusivamente, la obligación de hacer los desembolsos a que se refiere la Sección </w:t>
      </w:r>
      <w:proofErr w:type="gramStart"/>
      <w:r>
        <w:rPr>
          <w:rFonts w:ascii="Work Sans" w:hAnsi="Work Sans" w:cs="Arial"/>
          <w:i/>
          <w:iCs/>
          <w:sz w:val="16"/>
          <w:szCs w:val="16"/>
        </w:rPr>
        <w:t>3.3(</w:t>
      </w:r>
      <w:proofErr w:type="gramEnd"/>
      <w:r>
        <w:rPr>
          <w:rFonts w:ascii="Work Sans" w:hAnsi="Work Sans" w:cs="Arial"/>
          <w:i/>
          <w:iCs/>
          <w:sz w:val="16"/>
          <w:szCs w:val="16"/>
        </w:rPr>
        <w:t>i) de esta Parte General, cuando se presente el supuesto de hecho señalado en esa Sección. En este último caso, la ANI cumplirá con la obligación</w:t>
      </w:r>
      <w:r>
        <w:rPr>
          <w:rFonts w:ascii="Work Sans" w:hAnsi="Work Sans" w:cs="Arial"/>
          <w:i/>
          <w:iCs/>
          <w:sz w:val="16"/>
          <w:szCs w:val="16"/>
        </w:rPr>
        <w:t xml:space="preserve"> aquí prevista con los recursos disponibles en el Fondo de Contingencias, de ser ello viable y posible teniendo en cuenta las reglas aplicables a dicho Fondo y la suficiencia de recursos. De no ser posible, procederá el traslado de recursos de la Subcuenta</w:t>
      </w:r>
      <w:r>
        <w:rPr>
          <w:rFonts w:ascii="Work Sans" w:hAnsi="Work Sans" w:cs="Arial"/>
          <w:i/>
          <w:iCs/>
          <w:sz w:val="16"/>
          <w:szCs w:val="16"/>
        </w:rPr>
        <w:t xml:space="preserve"> Excedentes ANI. De ser insuficientes esos recursos, deberá incluirse en su propio presupuesto </w:t>
      </w:r>
      <w:proofErr w:type="gramStart"/>
      <w:r>
        <w:rPr>
          <w:rFonts w:ascii="Work Sans" w:hAnsi="Work Sans" w:cs="Arial"/>
          <w:i/>
          <w:iCs/>
          <w:sz w:val="16"/>
          <w:szCs w:val="16"/>
        </w:rPr>
        <w:t>los recursos necesarios</w:t>
      </w:r>
      <w:proofErr w:type="gramEnd"/>
      <w:r>
        <w:rPr>
          <w:rFonts w:ascii="Work Sans" w:hAnsi="Work Sans" w:cs="Arial"/>
          <w:i/>
          <w:iCs/>
          <w:sz w:val="16"/>
          <w:szCs w:val="16"/>
        </w:rPr>
        <w:t xml:space="preserve"> previo el agotamiento de los requisitos de Ley. En cualquier caso, aplicarán los plazos e intereses previstos en la Sección 3.6 de esta P</w:t>
      </w:r>
      <w:r>
        <w:rPr>
          <w:rFonts w:ascii="Work Sans" w:hAnsi="Work Sans" w:cs="Arial"/>
          <w:i/>
          <w:iCs/>
          <w:sz w:val="16"/>
          <w:szCs w:val="16"/>
        </w:rPr>
        <w:t>arte General.”</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Se informa, que para cubrir el riesgo materializado se cuenta con Plan de Aportes Aprobado mediante documento de radicado 2-2021-039373 del 30 de julio de 2021 por el Ministerio de Hacienda y Crédito Público – MHCP, el cual se adjunta. Como</w:t>
      </w:r>
      <w:r>
        <w:rPr>
          <w:rFonts w:ascii="Work Sans" w:hAnsi="Work Sans" w:cs="Arial"/>
          <w:i/>
          <w:iCs/>
          <w:sz w:val="16"/>
          <w:szCs w:val="16"/>
        </w:rPr>
        <w:t xml:space="preserve"> consecuencia de la nueva estructura tarifaria producto de la presente solicitud se deberán aplicar las reglas estipuladas en la Sección 3.3 (i) de la Parte General del Contrato de Concesión No. 004 de 2014, respecto a la compensación de riesgos. No obstan</w:t>
      </w:r>
      <w:r>
        <w:rPr>
          <w:rFonts w:ascii="Work Sans" w:hAnsi="Work Sans" w:cs="Arial"/>
          <w:i/>
          <w:iCs/>
          <w:sz w:val="16"/>
          <w:szCs w:val="16"/>
        </w:rPr>
        <w:t>te, como resultado de este ajuste se espera atraer mayor tráfico al corredor del proyecto, por lo que se deberá realizar continuo seguimiento al comportamiento del tráfico y por consiguiente de los recursos para cubrir el riesgo, de ser necesario se solici</w:t>
      </w:r>
      <w:r>
        <w:rPr>
          <w:rFonts w:ascii="Work Sans" w:hAnsi="Work Sans" w:cs="Arial"/>
          <w:i/>
          <w:iCs/>
          <w:sz w:val="16"/>
          <w:szCs w:val="16"/>
        </w:rPr>
        <w:t>tará actualización del plan de aportes al Ministerio de Hacienda y Crédito Público”.</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Concepto Interventoría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La Interventoría del proyecto MAB Ingeniería de Valor S.A., mediante comunicación MAB-2-0147-1346-21 con Radicado ANI No. 20214091216512 del 19 de</w:t>
      </w:r>
      <w:r>
        <w:rPr>
          <w:rFonts w:ascii="Work Sans" w:hAnsi="Work Sans" w:cs="Arial"/>
          <w:i/>
          <w:iCs/>
          <w:sz w:val="16"/>
          <w:szCs w:val="16"/>
        </w:rPr>
        <w:t xml:space="preserve"> octubre de 2021, emitió concepto en los siguientes términos: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Concepto Social: Desde el Componente Social no hay riesgos Contractuales o Identificados negativos asociados a la modificación a la resolución de Peajes 1378 del 26 de mayo de 2014 para l</w:t>
      </w:r>
      <w:r>
        <w:rPr>
          <w:rFonts w:ascii="Work Sans" w:hAnsi="Work Sans" w:cs="Arial"/>
          <w:i/>
          <w:iCs/>
          <w:sz w:val="16"/>
          <w:szCs w:val="16"/>
        </w:rPr>
        <w:t>as casetas de Peaje de Galapa y Juan Mina, como quiera que tampoco se tienen solicitudes de las comunidades o imposiciones legales que ejerzan presión para disminuir las tarifas en estos peajes, no obstante, es de destacar que, estas medidas de carácter ge</w:t>
      </w:r>
      <w:r>
        <w:rPr>
          <w:rFonts w:ascii="Work Sans" w:hAnsi="Work Sans" w:cs="Arial"/>
          <w:i/>
          <w:iCs/>
          <w:sz w:val="16"/>
          <w:szCs w:val="16"/>
        </w:rPr>
        <w:t>neral benefician no solo a las comunidades del área de influencia sino además a los usuarios de la vía siendo un enlace llamativo para el uso más seguido del corredor de propios y foráneos que deseen desplazarse de forma rápida y segura.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En cuanto a la ca</w:t>
      </w:r>
      <w:r>
        <w:rPr>
          <w:rFonts w:ascii="Work Sans" w:hAnsi="Work Sans" w:cs="Arial"/>
          <w:i/>
          <w:iCs/>
          <w:sz w:val="16"/>
          <w:szCs w:val="16"/>
        </w:rPr>
        <w:t>seta de Control de Papiros, se han presentado las solicitudes de los representantes de las Instituciones educativas, (IDPHU, ASPAEN, ALTAMIRA y MURPHY) y empresarios aledaños a la caseta de control del Peaje Papiros, así como de la Alcaldía de Puerto Colom</w:t>
      </w:r>
      <w:r>
        <w:rPr>
          <w:rFonts w:ascii="Work Sans" w:hAnsi="Work Sans" w:cs="Arial"/>
          <w:i/>
          <w:iCs/>
          <w:sz w:val="16"/>
          <w:szCs w:val="16"/>
        </w:rPr>
        <w:t>bia con relación a obtener una solución a lo que ellos consideran la problemática de movilidad que se presenta entre el sector de la Clínica Porto Azul hasta la Intersección Salgar o “Y” de los Chinos”, así lo manifestaron en las reuniones realizadas el 20</w:t>
      </w:r>
      <w:r>
        <w:rPr>
          <w:rFonts w:ascii="Work Sans" w:hAnsi="Work Sans" w:cs="Arial"/>
          <w:i/>
          <w:iCs/>
          <w:sz w:val="16"/>
          <w:szCs w:val="16"/>
        </w:rPr>
        <w:t xml:space="preserve"> de agosto y 29 de septiembre de 2021 con la ANI, señalando la dificultad para desplazarse a sus centros de trabajo, debido a que para poder ingresar a los colegios y dejar a sus hijos dentro de la Institución Educativa, si se desplazan en sentido Barranqu</w:t>
      </w:r>
      <w:r>
        <w:rPr>
          <w:rFonts w:ascii="Work Sans" w:hAnsi="Work Sans" w:cs="Arial"/>
          <w:i/>
          <w:iCs/>
          <w:sz w:val="16"/>
          <w:szCs w:val="16"/>
        </w:rPr>
        <w:t>illa –Cartagena, les corresponde realizar los giros en las intersecciones Puerto Colombia o Salgar lo que finalmente los obliga a cruzar el peaje papiros para poder continuar su recorrido hacia Barranquilla, igual ocurre si proviene del Municipio de Puerto</w:t>
      </w:r>
      <w:r>
        <w:rPr>
          <w:rFonts w:ascii="Work Sans" w:hAnsi="Work Sans" w:cs="Arial"/>
          <w:i/>
          <w:iCs/>
          <w:sz w:val="16"/>
          <w:szCs w:val="16"/>
        </w:rPr>
        <w:t xml:space="preserve"> Colombia continúan hasta cruzar la caseta de papiros y seguir hasta Barranquilla, sin embargo la dinámica actual es que los estudiantes del Colegio ALTAMIRA y MURPHY se quedan en el puente peatonal Altamira y los vehículos continúan para incorporarse en l</w:t>
      </w:r>
      <w:r>
        <w:rPr>
          <w:rFonts w:ascii="Work Sans" w:hAnsi="Work Sans" w:cs="Arial"/>
          <w:i/>
          <w:iCs/>
          <w:sz w:val="16"/>
          <w:szCs w:val="16"/>
        </w:rPr>
        <w:t xml:space="preserve">a intersección salgar a la Cra 51B y evitar el peaje.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Para aquellos usuarios que proviene del Municipio de Puerto Colombia hacia Barranquilla prefieren utilizar la Cra 51B conectándose a través de la intersección Salgar, evitando pasar la caseta de Papir</w:t>
      </w:r>
      <w:r>
        <w:rPr>
          <w:rFonts w:ascii="Work Sans" w:hAnsi="Work Sans" w:cs="Arial"/>
          <w:i/>
          <w:iCs/>
          <w:sz w:val="16"/>
          <w:szCs w:val="16"/>
        </w:rPr>
        <w:t xml:space="preserve">os, generando congestión vehicular en la carrera 51B.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lastRenderedPageBreak/>
        <w:t xml:space="preserve">Conforme a lo anterior, en las reuniones realizadas la propuesta por parte del Municipio de Puerto Colombia a la ANI es que se rebaje la tarifa de peaje en la caseta de Papiros en unas 2/3 partes del </w:t>
      </w:r>
      <w:r>
        <w:rPr>
          <w:rFonts w:ascii="Work Sans" w:hAnsi="Work Sans" w:cs="Arial"/>
          <w:i/>
          <w:iCs/>
          <w:sz w:val="16"/>
          <w:szCs w:val="16"/>
        </w:rPr>
        <w:t>valor establecido, es decir un 66.6% lo que generaría un incremento del tráfico de vehículos, y los padres de familia y trabajadores del sector accederían más fácil al pago de la tarifa.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Por todo lo anterior, para ambos casos se genera un impacto positivo</w:t>
      </w:r>
      <w:r>
        <w:rPr>
          <w:rFonts w:ascii="Work Sans" w:hAnsi="Work Sans" w:cs="Arial"/>
          <w:i/>
          <w:iCs/>
          <w:sz w:val="16"/>
          <w:szCs w:val="16"/>
        </w:rPr>
        <w:t xml:space="preserve"> que redunda en el incremento de vehículos por el corredor, disminuye o anula las solicitudes comunitarias, crea un impacto positivo en la imagen del Concesionario, la ANI y el Ministerio de Transporte.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Concepto Financiero: De conformidad a lo estab</w:t>
      </w:r>
      <w:r>
        <w:rPr>
          <w:rFonts w:ascii="Work Sans" w:hAnsi="Work Sans" w:cs="Arial"/>
          <w:i/>
          <w:iCs/>
          <w:sz w:val="16"/>
          <w:szCs w:val="16"/>
        </w:rPr>
        <w:t>lecido en el capítulo 13 del Contrato de Concesión literal 13.3 Riesgos de la ANI se procede a realizar un ejercicio financiero para determinar el valor del riesgo asociado a la disminución de las tarifas propuestas en oficio ANI No. 20213120315391 del 8 d</w:t>
      </w:r>
      <w:r>
        <w:rPr>
          <w:rFonts w:ascii="Work Sans" w:hAnsi="Work Sans" w:cs="Arial"/>
          <w:i/>
          <w:iCs/>
          <w:sz w:val="16"/>
          <w:szCs w:val="16"/>
        </w:rPr>
        <w:t xml:space="preserve">e octubre así: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Teniendo en cuenta que la estación de Papiros, entró en operación al proyecto como fuente de financiación del proyecto a través del pago de la Retribución correspondiente, a partir del 1 de enero de 2020, se toma como fuente el valor del r</w:t>
      </w:r>
      <w:r>
        <w:rPr>
          <w:rFonts w:ascii="Work Sans" w:hAnsi="Work Sans" w:cs="Arial"/>
          <w:i/>
          <w:iCs/>
          <w:sz w:val="16"/>
          <w:szCs w:val="16"/>
        </w:rPr>
        <w:t>ecaudo certificado desde el 1 de enero de 2020 hasta el 30 de septiembre de 2021 de la totalidad de las casetas, para establecer la participación del recaudo por Caseta de Peaje. Encontrando que las casetas de peaje a modificar representan el 18.49% del to</w:t>
      </w:r>
      <w:r>
        <w:rPr>
          <w:rFonts w:ascii="Work Sans" w:hAnsi="Work Sans" w:cs="Arial"/>
          <w:i/>
          <w:iCs/>
          <w:sz w:val="16"/>
          <w:szCs w:val="16"/>
        </w:rPr>
        <w:t xml:space="preserve">tal del recaudo así: (…)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Al valor del recaudo por categoría de cada una de las casetas registrados en los cuadros anteriores, es descontando el porcentaje propuesto para disminuir para cada categoría. Arrojando que la modificación a la resolución 1378 de</w:t>
      </w:r>
      <w:r>
        <w:rPr>
          <w:rFonts w:ascii="Work Sans" w:hAnsi="Work Sans" w:cs="Arial"/>
          <w:i/>
          <w:iCs/>
          <w:sz w:val="16"/>
          <w:szCs w:val="16"/>
        </w:rPr>
        <w:t>l 26 de mayo de 2014 generaría una disminución en el recaudo estimado del 8,68%, tal como se observa en los cálculos realizados y anexos a esta comunicación.</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Es preciso resaltar, que el porcentaje establecido de disminución de recaudo corresponde a un imp</w:t>
      </w:r>
      <w:r>
        <w:rPr>
          <w:rFonts w:ascii="Work Sans" w:hAnsi="Work Sans" w:cs="Arial"/>
          <w:i/>
          <w:iCs/>
          <w:sz w:val="16"/>
          <w:szCs w:val="16"/>
        </w:rPr>
        <w:t xml:space="preserve">acto del 8,68% sobre el valor estimado de recaudo; Sin embargo, este porcentaje puede resultar inferior, como consecuencia de la generación de un mayor tráfico en el corredor vial estimulado por la reducción en la tarifa.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Para determinar el impacto que t</w:t>
      </w:r>
      <w:r>
        <w:rPr>
          <w:rFonts w:ascii="Work Sans" w:hAnsi="Work Sans" w:cs="Arial"/>
          <w:i/>
          <w:iCs/>
          <w:sz w:val="16"/>
          <w:szCs w:val="16"/>
        </w:rPr>
        <w:t>endría la presente modificación sobre el DR-8 (Contractual) se realizó el siguiente cálculo: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Como se puede observar en el cuadro anterior, partiendo de que el comportamiento del tráfico en adelante sea similar al del año 2021, la modificación a la res</w:t>
      </w:r>
      <w:r>
        <w:rPr>
          <w:rFonts w:ascii="Work Sans" w:hAnsi="Work Sans" w:cs="Arial"/>
          <w:i/>
          <w:iCs/>
          <w:sz w:val="16"/>
          <w:szCs w:val="16"/>
        </w:rPr>
        <w:t xml:space="preserve">olución 1378 del 26 de mayo de 2014 no afecta la disponibilidad de recursos para el cubrimiento del DR-8, toda vez que con el Plan de Aportes asignado para los años 2021 y 2022 más el VPIP acumulado presenta un superávit de recursos.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Por otra parte, se c</w:t>
      </w:r>
      <w:r>
        <w:rPr>
          <w:rFonts w:ascii="Work Sans" w:hAnsi="Work Sans" w:cs="Arial"/>
          <w:i/>
          <w:iCs/>
          <w:sz w:val="16"/>
          <w:szCs w:val="16"/>
        </w:rPr>
        <w:t>onsidera que la disminución de las tarifas tiene como fin incentivar el aumento en el tráfico en las rutas 25AT04 (Circunvalar de la Prosperidad) y 90ª01 (Vía al Mar), en aras del cumplimiento de la ecuación económica del contrato, teniendo en cuenta que e</w:t>
      </w:r>
      <w:r>
        <w:rPr>
          <w:rFonts w:ascii="Work Sans" w:hAnsi="Work Sans" w:cs="Arial"/>
          <w:i/>
          <w:iCs/>
          <w:sz w:val="16"/>
          <w:szCs w:val="16"/>
        </w:rPr>
        <w:t xml:space="preserve">n el fondo de contingencias existen los recursos en el evento en que esta reducción no incentive el uso y el esquema tarifario sea deficitario.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Concepto Jurídico: Por competencia, las autoridades del Sector encabezado por el Ministerio de Transporte y la</w:t>
      </w:r>
      <w:r>
        <w:rPr>
          <w:rFonts w:ascii="Work Sans" w:hAnsi="Work Sans" w:cs="Arial"/>
          <w:i/>
          <w:iCs/>
          <w:sz w:val="16"/>
          <w:szCs w:val="16"/>
        </w:rPr>
        <w:t xml:space="preserve"> ANI, son las competentes para establecer las correspondientes tasas de peaje por la utilización de la infraestructura carreteable. En este sentido, en ejercicio de su soberanía puede determinar la tarifa que considere acorde a las necesidades no sólo del </w:t>
      </w:r>
      <w:r>
        <w:rPr>
          <w:rFonts w:ascii="Work Sans" w:hAnsi="Work Sans" w:cs="Arial"/>
          <w:i/>
          <w:iCs/>
          <w:sz w:val="16"/>
          <w:szCs w:val="16"/>
        </w:rPr>
        <w:t xml:space="preserve">proyecto sino al interés general de la población que usa dicha infraestructura.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No obstante, y teniendo en cuenta que la Interventoría conoce hasta este momento la decisión de la ANI, es menester advertir las consecuencias que se derivan de este arbitrio</w:t>
      </w:r>
      <w:r>
        <w:rPr>
          <w:rFonts w:ascii="Work Sans" w:hAnsi="Work Sans" w:cs="Arial"/>
          <w:i/>
          <w:iCs/>
          <w:sz w:val="16"/>
          <w:szCs w:val="16"/>
        </w:rPr>
        <w:t xml:space="preserve"> tarifario que tiene las entidades públicas.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En ese sentido y teniendo en cuenta que la reducción de las tarifas del proyecto Cartagena Barranquilla, impactan en principio la estructura tarifaria debe acudirse a lo establecido en el contrato en lo que re</w:t>
      </w:r>
      <w:r>
        <w:rPr>
          <w:rFonts w:ascii="Work Sans" w:hAnsi="Work Sans" w:cs="Arial"/>
          <w:i/>
          <w:iCs/>
          <w:sz w:val="16"/>
          <w:szCs w:val="16"/>
        </w:rPr>
        <w:t>specta a la asunción de riesgos, y en este caso particular aquellos en que la ANI debe asumir, conforme a la Sección 13.3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Estructura Tarifaria aplicable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En ese orden de ideas, a continuación, se presenta el esquema de tarifas que rige actualmente </w:t>
      </w:r>
      <w:r>
        <w:rPr>
          <w:rFonts w:ascii="Work Sans" w:hAnsi="Work Sans" w:cs="Arial"/>
          <w:i/>
          <w:iCs/>
          <w:sz w:val="16"/>
          <w:szCs w:val="16"/>
        </w:rPr>
        <w:t xml:space="preserve">en la estación de peaje de Galapa y en las casetas de control de Juan Mina y Papiros, correspondientes  al Proyecto Cartagena Barranquilla y Circunvalar de la Prosperidad, de acuerdo con lo establecido en las Resoluciones No. 1378 del 26 de mayo de </w:t>
      </w:r>
      <w:r>
        <w:rPr>
          <w:rFonts w:ascii="Work Sans" w:hAnsi="Work Sans" w:cs="Arial"/>
          <w:i/>
          <w:iCs/>
          <w:sz w:val="16"/>
          <w:szCs w:val="16"/>
        </w:rPr>
        <w:lastRenderedPageBreak/>
        <w:t xml:space="preserve">2014 y </w:t>
      </w:r>
      <w:r>
        <w:rPr>
          <w:rFonts w:ascii="Work Sans" w:hAnsi="Work Sans" w:cs="Arial"/>
          <w:i/>
          <w:iCs/>
          <w:sz w:val="16"/>
          <w:szCs w:val="16"/>
        </w:rPr>
        <w:t>No. 20213040003285 del 28 de enero de 2021, así como las tarifas que se pretende aplicar con la modificación solicitada:</w:t>
      </w:r>
    </w:p>
    <w:p w:rsidR="007C5512" w:rsidRDefault="007C5512">
      <w:pPr>
        <w:ind w:left="720" w:right="623"/>
        <w:jc w:val="both"/>
        <w:rPr>
          <w:rFonts w:ascii="Work Sans" w:hAnsi="Work Sans" w:cs="Arial"/>
          <w:i/>
          <w:iCs/>
          <w:sz w:val="16"/>
          <w:szCs w:val="16"/>
        </w:rPr>
      </w:pPr>
    </w:p>
    <w:tbl>
      <w:tblPr>
        <w:tblW w:w="7365" w:type="dxa"/>
        <w:tblInd w:w="720" w:type="dxa"/>
        <w:tblCellMar>
          <w:left w:w="10" w:type="dxa"/>
          <w:right w:w="10" w:type="dxa"/>
        </w:tblCellMar>
        <w:tblLook w:val="0000" w:firstRow="0" w:lastRow="0" w:firstColumn="0" w:lastColumn="0" w:noHBand="0" w:noVBand="0"/>
      </w:tblPr>
      <w:tblGrid>
        <w:gridCol w:w="1163"/>
        <w:gridCol w:w="1203"/>
        <w:gridCol w:w="1059"/>
        <w:gridCol w:w="1072"/>
        <w:gridCol w:w="1203"/>
        <w:gridCol w:w="1059"/>
        <w:gridCol w:w="1072"/>
      </w:tblGrid>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Papiros</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Actual 2021</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Tarifas a aplicar 2021</w:t>
            </w:r>
          </w:p>
        </w:tc>
      </w:tr>
      <w:tr w:rsidR="007C5512">
        <w:tblPrEx>
          <w:tblCellMar>
            <w:top w:w="0" w:type="dxa"/>
            <w:bottom w:w="0" w:type="dxa"/>
          </w:tblCellMar>
        </w:tblPrEx>
        <w:trPr>
          <w:trHeight w:val="952"/>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Categoría</w:t>
            </w:r>
          </w:p>
        </w:tc>
        <w:tc>
          <w:tcPr>
            <w:tcW w:w="1203"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Recaudo para Concesión (a)</w:t>
            </w:r>
          </w:p>
        </w:tc>
        <w:tc>
          <w:tcPr>
            <w:tcW w:w="105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FOSEVI</w:t>
            </w:r>
            <w:r>
              <w:rPr>
                <w:rFonts w:ascii="Work Sans" w:hAnsi="Work Sans" w:cs="Arial"/>
                <w:i/>
                <w:iCs/>
                <w:sz w:val="12"/>
                <w:szCs w:val="12"/>
              </w:rPr>
              <w:br/>
            </w:r>
            <w:r>
              <w:rPr>
                <w:rFonts w:ascii="Work Sans" w:hAnsi="Work Sans" w:cs="Arial"/>
                <w:i/>
                <w:iCs/>
                <w:sz w:val="12"/>
                <w:szCs w:val="12"/>
              </w:rPr>
              <w:t>(b)</w:t>
            </w:r>
          </w:p>
        </w:tc>
        <w:tc>
          <w:tcPr>
            <w:tcW w:w="1072"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Tarifa Usuario final</w:t>
            </w:r>
            <w:r>
              <w:rPr>
                <w:rFonts w:ascii="Work Sans" w:hAnsi="Work Sans" w:cs="Arial"/>
                <w:i/>
                <w:iCs/>
                <w:sz w:val="12"/>
                <w:szCs w:val="12"/>
              </w:rPr>
              <w:br/>
            </w:r>
            <w:r>
              <w:rPr>
                <w:rFonts w:ascii="Work Sans" w:hAnsi="Work Sans" w:cs="Arial"/>
                <w:i/>
                <w:iCs/>
                <w:sz w:val="12"/>
                <w:szCs w:val="12"/>
              </w:rPr>
              <w:t>(c) = (a) + (b)</w:t>
            </w:r>
          </w:p>
        </w:tc>
        <w:tc>
          <w:tcPr>
            <w:tcW w:w="12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 xml:space="preserve">Recaudo para </w:t>
            </w:r>
            <w:r>
              <w:rPr>
                <w:rFonts w:ascii="Work Sans" w:hAnsi="Work Sans" w:cs="Arial"/>
                <w:i/>
                <w:iCs/>
                <w:sz w:val="12"/>
                <w:szCs w:val="12"/>
              </w:rPr>
              <w:br/>
            </w:r>
            <w:r>
              <w:rPr>
                <w:rFonts w:ascii="Work Sans" w:hAnsi="Work Sans" w:cs="Arial"/>
                <w:i/>
                <w:iCs/>
                <w:sz w:val="12"/>
                <w:szCs w:val="12"/>
              </w:rPr>
              <w:t>Concesión (1)</w:t>
            </w:r>
          </w:p>
        </w:tc>
        <w:tc>
          <w:tcPr>
            <w:tcW w:w="1059"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FOSEVI</w:t>
            </w:r>
            <w:r>
              <w:rPr>
                <w:rFonts w:ascii="Work Sans" w:hAnsi="Work Sans" w:cs="Arial"/>
                <w:i/>
                <w:iCs/>
                <w:sz w:val="12"/>
                <w:szCs w:val="12"/>
              </w:rPr>
              <w:br/>
            </w:r>
            <w:r>
              <w:rPr>
                <w:rFonts w:ascii="Work Sans" w:hAnsi="Work Sans" w:cs="Arial"/>
                <w:i/>
                <w:iCs/>
                <w:sz w:val="12"/>
                <w:szCs w:val="12"/>
              </w:rPr>
              <w:t>(2)</w:t>
            </w:r>
          </w:p>
        </w:tc>
        <w:tc>
          <w:tcPr>
            <w:tcW w:w="107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7C5512" w:rsidRDefault="004D2C6B">
            <w:pPr>
              <w:ind w:right="623"/>
              <w:rPr>
                <w:rFonts w:ascii="Work Sans" w:hAnsi="Work Sans" w:cs="Arial"/>
                <w:i/>
                <w:iCs/>
                <w:sz w:val="12"/>
                <w:szCs w:val="12"/>
              </w:rPr>
            </w:pPr>
            <w:r>
              <w:rPr>
                <w:rFonts w:ascii="Work Sans" w:hAnsi="Work Sans" w:cs="Arial"/>
                <w:i/>
                <w:iCs/>
                <w:sz w:val="12"/>
                <w:szCs w:val="12"/>
              </w:rPr>
              <w:t>Tarifa Usuario final</w:t>
            </w:r>
            <w:r>
              <w:rPr>
                <w:rFonts w:ascii="Work Sans" w:hAnsi="Work Sans" w:cs="Arial"/>
                <w:i/>
                <w:iCs/>
                <w:sz w:val="12"/>
                <w:szCs w:val="12"/>
              </w:rPr>
              <w:br/>
            </w:r>
            <w:r>
              <w:rPr>
                <w:rFonts w:ascii="Work Sans" w:hAnsi="Work Sans" w:cs="Arial"/>
                <w:i/>
                <w:iCs/>
                <w:sz w:val="12"/>
                <w:szCs w:val="12"/>
              </w:rPr>
              <w:t>(3) = (1) + (2)</w:t>
            </w:r>
          </w:p>
        </w:tc>
      </w:tr>
      <w:tr w:rsidR="007C5512">
        <w:tblPrEx>
          <w:tblCellMar>
            <w:top w:w="0" w:type="dxa"/>
            <w:bottom w:w="0" w:type="dxa"/>
          </w:tblCellMar>
        </w:tblPrEx>
        <w:trPr>
          <w:trHeight w:val="199"/>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5.800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6.000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2.300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IE</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4.900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5.100</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N/A</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II</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6.900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7.100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2.300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IIE</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5.900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6.100</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N/A</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III</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14.700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14.900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7.400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7.600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IIIE</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12.500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12.700</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N/A</w:t>
            </w:r>
          </w:p>
        </w:tc>
      </w:tr>
      <w:tr w:rsidR="007C5512">
        <w:tblPrEx>
          <w:tblCellMar>
            <w:top w:w="0" w:type="dxa"/>
            <w:bottom w:w="0" w:type="dxa"/>
          </w:tblCellMar>
        </w:tblPrEx>
        <w:trPr>
          <w:trHeight w:val="199"/>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IV</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26.100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26.300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13.100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13.300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V</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83.600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83.800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41.800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42.000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VI</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112.100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112.300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56.100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56.300</w:t>
            </w:r>
          </w:p>
        </w:tc>
      </w:tr>
      <w:tr w:rsidR="007C5512">
        <w:tblPrEx>
          <w:tblCellMar>
            <w:top w:w="0" w:type="dxa"/>
            <w:bottom w:w="0" w:type="dxa"/>
          </w:tblCellMar>
        </w:tblPrEx>
        <w:trPr>
          <w:trHeight w:val="183"/>
        </w:trPr>
        <w:tc>
          <w:tcPr>
            <w:tcW w:w="116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rsidR="007C5512" w:rsidRDefault="004D2C6B">
            <w:pPr>
              <w:ind w:right="623"/>
              <w:jc w:val="both"/>
              <w:rPr>
                <w:rFonts w:ascii="Work Sans" w:hAnsi="Work Sans" w:cs="Arial"/>
                <w:i/>
                <w:iCs/>
                <w:sz w:val="12"/>
                <w:szCs w:val="12"/>
              </w:rPr>
            </w:pPr>
            <w:r>
              <w:rPr>
                <w:rFonts w:ascii="Work Sans" w:hAnsi="Work Sans" w:cs="Arial"/>
                <w:i/>
                <w:iCs/>
                <w:sz w:val="12"/>
                <w:szCs w:val="12"/>
              </w:rPr>
              <w:t>VII</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124.500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124.700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62.300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200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62.500</w:t>
            </w:r>
          </w:p>
        </w:tc>
      </w:tr>
    </w:tbl>
    <w:p w:rsidR="007C5512" w:rsidRDefault="007C5512">
      <w:pPr>
        <w:ind w:left="720" w:right="623"/>
        <w:jc w:val="both"/>
        <w:rPr>
          <w:rFonts w:ascii="Work Sans" w:hAnsi="Work Sans" w:cs="Arial"/>
          <w:i/>
          <w:iCs/>
          <w:sz w:val="16"/>
          <w:szCs w:val="16"/>
        </w:rPr>
      </w:pPr>
    </w:p>
    <w:p w:rsidR="007C5512" w:rsidRDefault="007C5512">
      <w:pPr>
        <w:ind w:left="720" w:right="623"/>
        <w:jc w:val="both"/>
        <w:rPr>
          <w:rFonts w:ascii="Work Sans" w:hAnsi="Work Sans" w:cs="Arial"/>
          <w:i/>
          <w:iCs/>
          <w:sz w:val="16"/>
          <w:szCs w:val="16"/>
        </w:rPr>
      </w:pPr>
    </w:p>
    <w:tbl>
      <w:tblPr>
        <w:tblW w:w="7705" w:type="dxa"/>
        <w:jc w:val="center"/>
        <w:tblCellMar>
          <w:left w:w="10" w:type="dxa"/>
          <w:right w:w="10" w:type="dxa"/>
        </w:tblCellMar>
        <w:tblLook w:val="0000" w:firstRow="0" w:lastRow="0" w:firstColumn="0" w:lastColumn="0" w:noHBand="0" w:noVBand="0"/>
      </w:tblPr>
      <w:tblGrid>
        <w:gridCol w:w="1273"/>
        <w:gridCol w:w="1323"/>
        <w:gridCol w:w="1150"/>
        <w:gridCol w:w="1166"/>
        <w:gridCol w:w="1323"/>
        <w:gridCol w:w="1150"/>
        <w:gridCol w:w="1166"/>
      </w:tblGrid>
      <w:tr w:rsidR="007C5512">
        <w:tblPrEx>
          <w:tblCellMar>
            <w:top w:w="0" w:type="dxa"/>
            <w:bottom w:w="0" w:type="dxa"/>
          </w:tblCellMar>
        </w:tblPrEx>
        <w:trPr>
          <w:trHeight w:val="19"/>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ACB9CA"/>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Juan Mina y</w:t>
            </w:r>
            <w:r>
              <w:rPr>
                <w:rFonts w:ascii="Work Sans" w:hAnsi="Work Sans" w:cs="Arial"/>
                <w:i/>
                <w:iCs/>
                <w:sz w:val="12"/>
                <w:szCs w:val="12"/>
              </w:rPr>
              <w:br/>
            </w:r>
            <w:r>
              <w:rPr>
                <w:rFonts w:ascii="Work Sans" w:hAnsi="Work Sans" w:cs="Arial"/>
                <w:i/>
                <w:iCs/>
                <w:sz w:val="12"/>
                <w:szCs w:val="12"/>
              </w:rPr>
              <w:t>Galapa</w:t>
            </w:r>
          </w:p>
        </w:tc>
        <w:tc>
          <w:tcPr>
            <w:tcW w:w="3639" w:type="dxa"/>
            <w:gridSpan w:val="3"/>
            <w:tcBorders>
              <w:top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Actual2021</w:t>
            </w:r>
          </w:p>
        </w:tc>
        <w:tc>
          <w:tcPr>
            <w:tcW w:w="3639" w:type="dxa"/>
            <w:gridSpan w:val="3"/>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Tarifas a aplicar 2021</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Categoría</w:t>
            </w:r>
          </w:p>
        </w:tc>
        <w:tc>
          <w:tcPr>
            <w:tcW w:w="1323" w:type="dxa"/>
            <w:tcBorders>
              <w:bottom w:val="single" w:sz="4" w:space="0" w:color="000000"/>
              <w:right w:val="single" w:sz="4" w:space="0" w:color="000000"/>
            </w:tcBorders>
            <w:shd w:val="clear" w:color="auto" w:fill="BDD6EE"/>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Recaudo para </w:t>
            </w:r>
            <w:r>
              <w:rPr>
                <w:rFonts w:ascii="Work Sans" w:hAnsi="Work Sans" w:cs="Arial"/>
                <w:i/>
                <w:iCs/>
                <w:sz w:val="12"/>
                <w:szCs w:val="12"/>
              </w:rPr>
              <w:br/>
            </w:r>
            <w:r>
              <w:rPr>
                <w:rFonts w:ascii="Work Sans" w:hAnsi="Work Sans" w:cs="Arial"/>
                <w:i/>
                <w:iCs/>
                <w:sz w:val="12"/>
                <w:szCs w:val="12"/>
              </w:rPr>
              <w:t>Concesión (a)</w:t>
            </w:r>
          </w:p>
        </w:tc>
        <w:tc>
          <w:tcPr>
            <w:tcW w:w="1150" w:type="dxa"/>
            <w:tcBorders>
              <w:bottom w:val="single" w:sz="4" w:space="0" w:color="000000"/>
              <w:right w:val="single" w:sz="4" w:space="0" w:color="000000"/>
            </w:tcBorders>
            <w:shd w:val="clear" w:color="auto" w:fill="BDD6EE"/>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FOSEVI</w:t>
            </w:r>
            <w:r>
              <w:rPr>
                <w:rFonts w:ascii="Work Sans" w:hAnsi="Work Sans" w:cs="Arial"/>
                <w:i/>
                <w:iCs/>
                <w:sz w:val="12"/>
                <w:szCs w:val="12"/>
              </w:rPr>
              <w:br/>
            </w:r>
            <w:r>
              <w:rPr>
                <w:rFonts w:ascii="Work Sans" w:hAnsi="Work Sans" w:cs="Arial"/>
                <w:i/>
                <w:iCs/>
                <w:sz w:val="12"/>
                <w:szCs w:val="12"/>
              </w:rPr>
              <w:t>(b)</w:t>
            </w:r>
          </w:p>
        </w:tc>
        <w:tc>
          <w:tcPr>
            <w:tcW w:w="1166" w:type="dxa"/>
            <w:tcBorders>
              <w:bottom w:val="single" w:sz="4" w:space="0" w:color="000000"/>
              <w:right w:val="single" w:sz="4" w:space="0" w:color="000000"/>
            </w:tcBorders>
            <w:shd w:val="clear" w:color="auto" w:fill="BDD6EE"/>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Tarifa Usuario final</w:t>
            </w:r>
            <w:r>
              <w:rPr>
                <w:rFonts w:ascii="Work Sans" w:hAnsi="Work Sans" w:cs="Arial"/>
                <w:i/>
                <w:iCs/>
                <w:sz w:val="12"/>
                <w:szCs w:val="12"/>
              </w:rPr>
              <w:br/>
            </w:r>
            <w:r>
              <w:rPr>
                <w:rFonts w:ascii="Work Sans" w:hAnsi="Work Sans" w:cs="Arial"/>
                <w:i/>
                <w:iCs/>
                <w:sz w:val="12"/>
                <w:szCs w:val="12"/>
              </w:rPr>
              <w:t>(c) = (a) + (b)</w:t>
            </w:r>
          </w:p>
        </w:tc>
        <w:tc>
          <w:tcPr>
            <w:tcW w:w="1323" w:type="dxa"/>
            <w:tcBorders>
              <w:bottom w:val="single" w:sz="4" w:space="0" w:color="000000"/>
              <w:right w:val="single" w:sz="4" w:space="0" w:color="000000"/>
            </w:tcBorders>
            <w:shd w:val="clear" w:color="auto" w:fill="C5E0B3"/>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Recaudo para </w:t>
            </w:r>
            <w:r>
              <w:rPr>
                <w:rFonts w:ascii="Work Sans" w:hAnsi="Work Sans" w:cs="Arial"/>
                <w:i/>
                <w:iCs/>
                <w:sz w:val="12"/>
                <w:szCs w:val="12"/>
              </w:rPr>
              <w:br/>
            </w:r>
            <w:r>
              <w:rPr>
                <w:rFonts w:ascii="Work Sans" w:hAnsi="Work Sans" w:cs="Arial"/>
                <w:i/>
                <w:iCs/>
                <w:sz w:val="12"/>
                <w:szCs w:val="12"/>
              </w:rPr>
              <w:t>Concesión (1)</w:t>
            </w:r>
          </w:p>
        </w:tc>
        <w:tc>
          <w:tcPr>
            <w:tcW w:w="1150" w:type="dxa"/>
            <w:tcBorders>
              <w:bottom w:val="single" w:sz="4" w:space="0" w:color="000000"/>
              <w:right w:val="single" w:sz="4" w:space="0" w:color="000000"/>
            </w:tcBorders>
            <w:shd w:val="clear" w:color="auto" w:fill="C5E0B3"/>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FOSEVI</w:t>
            </w:r>
            <w:r>
              <w:rPr>
                <w:rFonts w:ascii="Work Sans" w:hAnsi="Work Sans" w:cs="Arial"/>
                <w:i/>
                <w:iCs/>
                <w:sz w:val="12"/>
                <w:szCs w:val="12"/>
              </w:rPr>
              <w:br/>
            </w:r>
            <w:r>
              <w:rPr>
                <w:rFonts w:ascii="Work Sans" w:hAnsi="Work Sans" w:cs="Arial"/>
                <w:i/>
                <w:iCs/>
                <w:sz w:val="12"/>
                <w:szCs w:val="12"/>
              </w:rPr>
              <w:t>(2)</w:t>
            </w:r>
          </w:p>
        </w:tc>
        <w:tc>
          <w:tcPr>
            <w:tcW w:w="1166" w:type="dxa"/>
            <w:tcBorders>
              <w:bottom w:val="single" w:sz="4" w:space="0" w:color="000000"/>
              <w:right w:val="single" w:sz="4" w:space="0" w:color="000000"/>
            </w:tcBorders>
            <w:shd w:val="clear" w:color="auto" w:fill="C5E0B3"/>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Tarifa Usuario final</w:t>
            </w:r>
            <w:r>
              <w:rPr>
                <w:rFonts w:ascii="Work Sans" w:hAnsi="Work Sans" w:cs="Arial"/>
                <w:i/>
                <w:iCs/>
                <w:sz w:val="12"/>
                <w:szCs w:val="12"/>
              </w:rPr>
              <w:br/>
            </w:r>
            <w:r>
              <w:rPr>
                <w:rFonts w:ascii="Work Sans" w:hAnsi="Work Sans" w:cs="Arial"/>
                <w:i/>
                <w:iCs/>
                <w:sz w:val="12"/>
                <w:szCs w:val="12"/>
              </w:rPr>
              <w:t>(3) = (1) + (2)</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I</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13.000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13.200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6.500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6.700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II</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19.600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19.800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9.800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10.000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III</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14.100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w:t>
            </w:r>
            <w:r>
              <w:rPr>
                <w:rFonts w:ascii="Work Sans" w:hAnsi="Work Sans" w:cs="Arial"/>
                <w:i/>
                <w:iCs/>
                <w:sz w:val="12"/>
                <w:szCs w:val="12"/>
              </w:rPr>
              <w:t xml:space="preserve">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14.300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7.100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7.300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IV</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25.000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25.200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12.500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12.700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V</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78.700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78.900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39.400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39.600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VI</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105.000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105.200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52.500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52.700 </w:t>
            </w:r>
          </w:p>
        </w:tc>
      </w:tr>
      <w:tr w:rsidR="007C5512">
        <w:tblPrEx>
          <w:tblCellMar>
            <w:top w:w="0" w:type="dxa"/>
            <w:bottom w:w="0" w:type="dxa"/>
          </w:tblCellMar>
        </w:tblPrEx>
        <w:trPr>
          <w:trHeight w:val="19"/>
          <w:jc w:val="center"/>
        </w:trPr>
        <w:tc>
          <w:tcPr>
            <w:tcW w:w="1273" w:type="dxa"/>
            <w:tcBorders>
              <w:left w:val="single" w:sz="4" w:space="0" w:color="000000"/>
              <w:bottom w:val="single" w:sz="4" w:space="0" w:color="000000"/>
              <w:right w:val="single" w:sz="4" w:space="0" w:color="000000"/>
            </w:tcBorders>
            <w:shd w:val="clear" w:color="auto" w:fill="ACB9CA"/>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VII</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116.500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116.700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58.300 </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200 </w:t>
            </w:r>
          </w:p>
        </w:tc>
        <w:tc>
          <w:tcPr>
            <w:tcW w:w="116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7C5512" w:rsidRDefault="004D2C6B">
            <w:pPr>
              <w:ind w:right="623"/>
              <w:jc w:val="both"/>
              <w:rPr>
                <w:rFonts w:ascii="Work Sans" w:hAnsi="Work Sans" w:cs="Arial"/>
                <w:i/>
                <w:iCs/>
                <w:sz w:val="12"/>
                <w:szCs w:val="12"/>
              </w:rPr>
            </w:pPr>
            <w:r>
              <w:rPr>
                <w:rFonts w:ascii="Work Sans" w:hAnsi="Work Sans" w:cs="Arial"/>
                <w:i/>
                <w:iCs/>
                <w:sz w:val="12"/>
                <w:szCs w:val="12"/>
              </w:rPr>
              <w:t xml:space="preserve"> 58.500 </w:t>
            </w:r>
          </w:p>
        </w:tc>
      </w:tr>
    </w:tbl>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Solicitud</w:t>
      </w:r>
      <w:r>
        <w:rPr>
          <w:rFonts w:ascii="Work Sans" w:hAnsi="Work Sans" w:cs="Arial"/>
          <w:i/>
          <w:iCs/>
          <w:sz w:val="16"/>
          <w:szCs w:val="16"/>
        </w:rPr>
        <w:t xml:space="preserve"> de tarifas</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Conforme lo expuesto anteriormente, la Agencia solicita la expedición de un acto administrativo que modifique la Resolución No. 1378 de 2014 y la Resolución No. 20213040003285 del 28 de enero de 2021, en el sentido de establecer las siguientes</w:t>
      </w:r>
      <w:r>
        <w:rPr>
          <w:rFonts w:ascii="Work Sans" w:hAnsi="Work Sans" w:cs="Arial"/>
          <w:i/>
          <w:iCs/>
          <w:sz w:val="16"/>
          <w:szCs w:val="16"/>
        </w:rPr>
        <w:t xml:space="preserve"> tarifas en las casetas de control Juan Mina y Papiros y en la estación de peaje Galapa, así:</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 Modificar la tabla de tarifas correspondiente a la caseta de control Papiros contenida en el artículo segundo de la Resolución No. 1378 del 26 de mayo de 2014 </w:t>
      </w:r>
      <w:r>
        <w:rPr>
          <w:rFonts w:ascii="Work Sans" w:hAnsi="Work Sans" w:cs="Arial"/>
          <w:i/>
          <w:iCs/>
          <w:sz w:val="16"/>
          <w:szCs w:val="16"/>
        </w:rPr>
        <w:t xml:space="preserve">en el sentido de establecer las siguientes tarifas de la caseta de control Papiros, así: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TARIFAS AL USUARIO PARA LA CASETA DE CONTROL PAPIROS</w:t>
      </w:r>
    </w:p>
    <w:tbl>
      <w:tblPr>
        <w:tblW w:w="7223" w:type="dxa"/>
        <w:jc w:val="center"/>
        <w:tblCellMar>
          <w:left w:w="10" w:type="dxa"/>
          <w:right w:w="10" w:type="dxa"/>
        </w:tblCellMar>
        <w:tblLook w:val="0000" w:firstRow="0" w:lastRow="0" w:firstColumn="0" w:lastColumn="0" w:noHBand="0" w:noVBand="0"/>
      </w:tblPr>
      <w:tblGrid>
        <w:gridCol w:w="2493"/>
        <w:gridCol w:w="2365"/>
        <w:gridCol w:w="2365"/>
      </w:tblGrid>
      <w:tr w:rsidR="007C5512">
        <w:tblPrEx>
          <w:tblCellMar>
            <w:top w:w="0" w:type="dxa"/>
            <w:bottom w:w="0" w:type="dxa"/>
          </w:tblCellMar>
        </w:tblPrEx>
        <w:trPr>
          <w:trHeight w:val="429"/>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 2021*</w:t>
            </w:r>
          </w:p>
          <w:p w:rsidR="007C5512" w:rsidRDefault="007C5512">
            <w:pPr>
              <w:ind w:right="623"/>
              <w:jc w:val="both"/>
              <w:rPr>
                <w:rFonts w:ascii="Work Sans" w:hAnsi="Work Sans" w:cs="Arial"/>
                <w:i/>
                <w:iCs/>
                <w:sz w:val="16"/>
                <w:szCs w:val="16"/>
              </w:rPr>
            </w:pP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Automóviles, camperos y camionetas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$2.300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 Categoría II</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$2.300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III</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Camiones pequeños </w:t>
            </w:r>
            <w:r>
              <w:rPr>
                <w:rFonts w:ascii="Work Sans" w:hAnsi="Work Sans" w:cs="Arial"/>
                <w:i/>
                <w:iCs/>
                <w:sz w:val="16"/>
                <w:szCs w:val="16"/>
              </w:rPr>
              <w:lastRenderedPageBreak/>
              <w:t>de 2 ejes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lastRenderedPageBreak/>
              <w:t>$7.600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IV</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$13.300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$42.000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$56.300</w:t>
            </w:r>
          </w:p>
        </w:tc>
      </w:tr>
      <w:tr w:rsidR="007C5512">
        <w:tblPrEx>
          <w:tblCellMar>
            <w:top w:w="0" w:type="dxa"/>
            <w:bottom w:w="0" w:type="dxa"/>
          </w:tblCellMar>
        </w:tblPrEx>
        <w:trPr>
          <w:trHeight w:val="285"/>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6 ejes o más</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$62.500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*Tarifa Incluye </w:t>
      </w:r>
      <w:r>
        <w:rPr>
          <w:rFonts w:ascii="Work Sans" w:hAnsi="Work Sans" w:cs="Arial"/>
          <w:i/>
          <w:iCs/>
          <w:sz w:val="16"/>
          <w:szCs w:val="16"/>
        </w:rPr>
        <w:t>FOSEVI. Tarifas expresadas en pesos de diciembre de 2020</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Modificar las tablas de tarifas correspondientes a la caseta de control Juan Mina y a la estación de peaje Galapa contenida en el artículo tercero de la Resolución No. 1378 del 26 de mayo de 2014,</w:t>
      </w:r>
      <w:r>
        <w:rPr>
          <w:rFonts w:ascii="Work Sans" w:hAnsi="Work Sans" w:cs="Arial"/>
          <w:i/>
          <w:iCs/>
          <w:sz w:val="16"/>
          <w:szCs w:val="16"/>
        </w:rPr>
        <w:t xml:space="preserve"> en el sentido de establecer las siguientes tarifas de la caseta de control Juan Mina y la estación de peaje Galapa, así: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TARIFAS AL USUARIO PARA LA CASETA DE CONTROL JUAN MINA </w:t>
      </w:r>
    </w:p>
    <w:tbl>
      <w:tblPr>
        <w:tblW w:w="7132" w:type="dxa"/>
        <w:jc w:val="center"/>
        <w:tblCellMar>
          <w:left w:w="10" w:type="dxa"/>
          <w:right w:w="10" w:type="dxa"/>
        </w:tblCellMar>
        <w:tblLook w:val="0000" w:firstRow="0" w:lastRow="0" w:firstColumn="0" w:lastColumn="0" w:noHBand="0" w:noVBand="0"/>
      </w:tblPr>
      <w:tblGrid>
        <w:gridCol w:w="2462"/>
        <w:gridCol w:w="2335"/>
        <w:gridCol w:w="2335"/>
      </w:tblGrid>
      <w:tr w:rsidR="007C5512">
        <w:tblPrEx>
          <w:tblCellMar>
            <w:top w:w="0" w:type="dxa"/>
            <w:bottom w:w="0" w:type="dxa"/>
          </w:tblCellMar>
        </w:tblPrEx>
        <w:trPr>
          <w:trHeight w:val="395"/>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 2021</w:t>
            </w:r>
          </w:p>
          <w:p w:rsidR="007C5512" w:rsidRDefault="007C5512">
            <w:pPr>
              <w:ind w:right="623"/>
              <w:jc w:val="both"/>
              <w:rPr>
                <w:rFonts w:ascii="Work Sans" w:hAnsi="Work Sans" w:cs="Arial"/>
                <w:i/>
                <w:iCs/>
                <w:sz w:val="16"/>
                <w:szCs w:val="16"/>
              </w:rPr>
            </w:pP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Automóviles, camperos y </w:t>
            </w:r>
            <w:r>
              <w:rPr>
                <w:rFonts w:ascii="Work Sans" w:hAnsi="Work Sans" w:cs="Arial"/>
                <w:i/>
                <w:iCs/>
                <w:sz w:val="16"/>
                <w:szCs w:val="16"/>
              </w:rPr>
              <w:t>camionetas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$6.700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 Categoría II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$10.000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pequeños de 2 ejes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$7.300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IV</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$12.700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$39.600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$52.700</w:t>
            </w:r>
          </w:p>
        </w:tc>
      </w:tr>
      <w:tr w:rsidR="007C5512">
        <w:tblPrEx>
          <w:tblCellMar>
            <w:top w:w="0" w:type="dxa"/>
            <w:bottom w:w="0" w:type="dxa"/>
          </w:tblCellMar>
        </w:tblPrEx>
        <w:trPr>
          <w:trHeight w:val="262"/>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Camiones </w:t>
            </w:r>
            <w:r>
              <w:rPr>
                <w:rFonts w:ascii="Work Sans" w:hAnsi="Work Sans" w:cs="Arial"/>
                <w:i/>
                <w:iCs/>
                <w:sz w:val="16"/>
                <w:szCs w:val="16"/>
              </w:rPr>
              <w:t>de 6 ejes o más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$58.500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 Incluye FOSEVI. Tarifas expresadas en pesos de diciembre de 2020</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TARIFAS AL USUARIO PARA LA ESTACIÓN DE PEAJE GALAPA</w:t>
      </w:r>
    </w:p>
    <w:tbl>
      <w:tblPr>
        <w:tblW w:w="7102" w:type="dxa"/>
        <w:jc w:val="center"/>
        <w:tblCellMar>
          <w:left w:w="10" w:type="dxa"/>
          <w:right w:w="10" w:type="dxa"/>
        </w:tblCellMar>
        <w:tblLook w:val="0000" w:firstRow="0" w:lastRow="0" w:firstColumn="0" w:lastColumn="0" w:noHBand="0" w:noVBand="0"/>
      </w:tblPr>
      <w:tblGrid>
        <w:gridCol w:w="2452"/>
        <w:gridCol w:w="2325"/>
        <w:gridCol w:w="2325"/>
      </w:tblGrid>
      <w:tr w:rsidR="007C5512">
        <w:tblPrEx>
          <w:tblCellMar>
            <w:top w:w="0" w:type="dxa"/>
            <w:bottom w:w="0" w:type="dxa"/>
          </w:tblCellMar>
        </w:tblPrEx>
        <w:trPr>
          <w:trHeight w:val="410"/>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DESCRIPCIÓN</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TARIFA 2021</w:t>
            </w:r>
          </w:p>
          <w:p w:rsidR="007C5512" w:rsidRDefault="007C5512">
            <w:pPr>
              <w:ind w:right="623"/>
              <w:jc w:val="both"/>
              <w:rPr>
                <w:rFonts w:ascii="Work Sans" w:hAnsi="Work Sans" w:cs="Arial"/>
                <w:i/>
                <w:iCs/>
                <w:sz w:val="16"/>
                <w:szCs w:val="16"/>
              </w:rPr>
            </w:pP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Automóviles, camperos y camionetas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$6.700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 xml:space="preserve"> Categoría II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Buses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$10.000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pequeños de 2 ejes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$7.300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IV</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grandes de 2 ejes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$12.700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3 y 4 ejes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$39.600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5 ejes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$52.700</w:t>
            </w:r>
          </w:p>
        </w:tc>
      </w:tr>
      <w:tr w:rsidR="007C5512">
        <w:tblPrEx>
          <w:tblCellMar>
            <w:top w:w="0" w:type="dxa"/>
            <w:bottom w:w="0" w:type="dxa"/>
          </w:tblCellMar>
        </w:tblPrEx>
        <w:trPr>
          <w:trHeight w:val="272"/>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VII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Camiones de 6 ejes o más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$58.500</w:t>
            </w:r>
          </w:p>
        </w:tc>
      </w:tr>
    </w:tbl>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*Tarifa </w:t>
      </w:r>
      <w:r>
        <w:rPr>
          <w:rFonts w:ascii="Work Sans" w:hAnsi="Work Sans" w:cs="Arial"/>
          <w:i/>
          <w:iCs/>
          <w:sz w:val="16"/>
          <w:szCs w:val="16"/>
        </w:rPr>
        <w:t>Incluye FOSEVI. Tarifas expresadas en pesos de diciembre de 2020</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bookmarkStart w:id="1" w:name="_Hlk85715860"/>
      <w:r>
        <w:rPr>
          <w:rFonts w:ascii="Work Sans" w:hAnsi="Work Sans" w:cs="Arial"/>
          <w:i/>
          <w:iCs/>
          <w:sz w:val="16"/>
          <w:szCs w:val="16"/>
        </w:rPr>
        <w:t xml:space="preserve">- Modificar el artículo cuarto de la Resolución No. 1378 del 26 de mayo de 2014, así: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“ARTÍCULO CUARTO: Las tarifas se actualizarán cada año, de acuerdo con lo establecido en la minuta del</w:t>
      </w:r>
      <w:r>
        <w:rPr>
          <w:rFonts w:ascii="Work Sans" w:hAnsi="Work Sans" w:cs="Arial"/>
          <w:i/>
          <w:iCs/>
          <w:sz w:val="16"/>
          <w:szCs w:val="16"/>
        </w:rPr>
        <w:t xml:space="preserve"> contrato de concesión del proceso VJ-VE-IP-LP-011-2013 y deberán ser ajustadas a la centena más cercana, con el fin de facilitar el recaudo por parte del concesionario. En todo caso dicho incremento no será inferior a cien ($100) pesos.</w:t>
      </w:r>
    </w:p>
    <w:bookmarkEnd w:id="1"/>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Teniendo en cue</w:t>
      </w:r>
      <w:r>
        <w:rPr>
          <w:rFonts w:ascii="Work Sans" w:hAnsi="Work Sans" w:cs="Arial"/>
          <w:i/>
          <w:iCs/>
          <w:sz w:val="16"/>
          <w:szCs w:val="16"/>
        </w:rPr>
        <w:t>nta la modificación del esquema tarifario de la estación de peaje Galapa y de las casetas de control Papiros y Juan Mina, es menester modificar el artículo primero de la Resolución No. 20213040003285 del 28 de enero de 2021, el cual quedará así:</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Articulo </w:t>
      </w:r>
      <w:r>
        <w:rPr>
          <w:rFonts w:ascii="Work Sans" w:hAnsi="Work Sans" w:cs="Arial"/>
          <w:i/>
          <w:iCs/>
          <w:sz w:val="16"/>
          <w:szCs w:val="16"/>
        </w:rPr>
        <w:t>1.- Establecer las siguientes tarifas diferenciales de manera temporal para las Categorías I y II en la estación de peaje Puerto Colombia ubicada en el PR93+600, por el término de dos (2) años, o hasta agotar la disponibilidad de recursos para atender el d</w:t>
      </w:r>
      <w:r>
        <w:rPr>
          <w:rFonts w:ascii="Work Sans" w:hAnsi="Work Sans" w:cs="Arial"/>
          <w:i/>
          <w:iCs/>
          <w:sz w:val="16"/>
          <w:szCs w:val="16"/>
        </w:rPr>
        <w:t>iferencial tarifario por parte de la Agencia Nacional de Infraestructura, lo primero que ocurra: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PEAJE PUERTO COLOMBIA</w:t>
      </w:r>
    </w:p>
    <w:tbl>
      <w:tblPr>
        <w:tblW w:w="6509" w:type="dxa"/>
        <w:jc w:val="center"/>
        <w:tblCellMar>
          <w:left w:w="10" w:type="dxa"/>
          <w:right w:w="10" w:type="dxa"/>
        </w:tblCellMar>
        <w:tblLook w:val="0000" w:firstRow="0" w:lastRow="0" w:firstColumn="0" w:lastColumn="0" w:noHBand="0" w:noVBand="0"/>
      </w:tblPr>
      <w:tblGrid>
        <w:gridCol w:w="1597"/>
        <w:gridCol w:w="2809"/>
        <w:gridCol w:w="2103"/>
      </w:tblGrid>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Tarifas (Incluido valor FOSEVI)</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Cupos otorgados</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IE</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$12.000</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1.000</w:t>
            </w:r>
          </w:p>
        </w:tc>
      </w:tr>
      <w:tr w:rsidR="007C5512">
        <w:tblPrEx>
          <w:tblCellMar>
            <w:top w:w="0" w:type="dxa"/>
            <w:bottom w:w="0" w:type="dxa"/>
          </w:tblCellMar>
        </w:tblPrEx>
        <w:trPr>
          <w:jc w:val="center"/>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Categoría IIE</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$18.100</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ind w:right="623"/>
              <w:jc w:val="both"/>
              <w:rPr>
                <w:rFonts w:ascii="Work Sans" w:hAnsi="Work Sans" w:cs="Arial"/>
                <w:i/>
                <w:iCs/>
                <w:sz w:val="16"/>
                <w:szCs w:val="16"/>
              </w:rPr>
            </w:pPr>
            <w:r>
              <w:rPr>
                <w:rFonts w:ascii="Work Sans" w:hAnsi="Work Sans" w:cs="Arial"/>
                <w:i/>
                <w:iCs/>
                <w:sz w:val="16"/>
                <w:szCs w:val="16"/>
              </w:rPr>
              <w:t>100</w:t>
            </w:r>
          </w:p>
        </w:tc>
      </w:tr>
    </w:tbl>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Parágrafo 1.- En el </w:t>
      </w:r>
      <w:r>
        <w:rPr>
          <w:rFonts w:ascii="Work Sans" w:hAnsi="Work Sans" w:cs="Arial"/>
          <w:i/>
          <w:iCs/>
          <w:sz w:val="16"/>
          <w:szCs w:val="16"/>
        </w:rPr>
        <w:t>evento de agotarse la disponibilidad de recursos para atender el diferencial tarifario la Agencia Nacional de Infraestructura deberá informar con antelación al Ministerio de Transporte para dar por terminadas las tarifas diferenciales otorgadas temporalmen</w:t>
      </w:r>
      <w:r>
        <w:rPr>
          <w:rFonts w:ascii="Work Sans" w:hAnsi="Work Sans" w:cs="Arial"/>
          <w:i/>
          <w:iCs/>
          <w:sz w:val="16"/>
          <w:szCs w:val="16"/>
        </w:rPr>
        <w:t xml:space="preserve">te en el presente acto administrativo.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Parágrafo 2.- La tarifa de la Categoría IE prevista en el presente artículo aplica para los vehículos de servicio particular y de servicio público de residentes en los municipios de Puerto Colombia, Piojo, Juan de A</w:t>
      </w:r>
      <w:r>
        <w:rPr>
          <w:rFonts w:ascii="Work Sans" w:hAnsi="Work Sans" w:cs="Arial"/>
          <w:i/>
          <w:iCs/>
          <w:sz w:val="16"/>
          <w:szCs w:val="16"/>
        </w:rPr>
        <w:t xml:space="preserve">costa y Tubará. </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 xml:space="preserve">Parágrafo 3.- Las tarifas de la Categoría IIE aplica para los vehículos vinculados a empresas de transporte habilitadas para prestar el servicio público de transporte terrestre automotor de pasajeros en los municipios de Puerto Colombia, </w:t>
      </w:r>
      <w:r>
        <w:rPr>
          <w:rFonts w:ascii="Work Sans" w:hAnsi="Work Sans" w:cs="Arial"/>
          <w:i/>
          <w:iCs/>
          <w:sz w:val="16"/>
          <w:szCs w:val="16"/>
        </w:rPr>
        <w:t>Piojo, Juan de Acosta y Tubará.</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Parágrafo 4.- Las tarifas previstas en el presente artículo aplican para mil cien (1.100) cupos por paso bidireccional en el peaje Puerto Colombia.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Parágrafo 5.- Las tarifas previstas en el presente artículo se actualizará</w:t>
      </w:r>
      <w:r>
        <w:rPr>
          <w:rFonts w:ascii="Work Sans" w:hAnsi="Work Sans" w:cs="Arial"/>
          <w:i/>
          <w:iCs/>
          <w:sz w:val="16"/>
          <w:szCs w:val="16"/>
        </w:rPr>
        <w:t>n para el año 2022 y 2023 de acuerdo con lo establecido en el contrato de concesión y deberán ser ajustadas a la centena más cercana.</w:t>
      </w:r>
    </w:p>
    <w:p w:rsidR="007C5512" w:rsidRDefault="007C5512">
      <w:pPr>
        <w:ind w:left="720" w:right="623"/>
        <w:jc w:val="both"/>
        <w:rPr>
          <w:rFonts w:ascii="Work Sans" w:hAnsi="Work Sans" w:cs="Arial"/>
          <w:i/>
          <w:iCs/>
          <w:sz w:val="16"/>
          <w:szCs w:val="16"/>
        </w:rPr>
      </w:pPr>
    </w:p>
    <w:p w:rsidR="007C5512" w:rsidRDefault="004D2C6B">
      <w:pPr>
        <w:ind w:left="720" w:right="623"/>
        <w:jc w:val="both"/>
        <w:rPr>
          <w:rFonts w:ascii="Work Sans" w:hAnsi="Work Sans" w:cs="Arial"/>
          <w:i/>
          <w:iCs/>
          <w:sz w:val="16"/>
          <w:szCs w:val="16"/>
        </w:rPr>
      </w:pPr>
      <w:r>
        <w:rPr>
          <w:rFonts w:ascii="Work Sans" w:hAnsi="Work Sans" w:cs="Arial"/>
          <w:i/>
          <w:iCs/>
          <w:sz w:val="16"/>
          <w:szCs w:val="16"/>
        </w:rPr>
        <w:t>Sugerimos se realice la publicación de la resolución por un término de 5 días dada la urgencia del contexto que precede e</w:t>
      </w:r>
      <w:r>
        <w:rPr>
          <w:rFonts w:ascii="Work Sans" w:hAnsi="Work Sans" w:cs="Arial"/>
          <w:i/>
          <w:iCs/>
          <w:sz w:val="16"/>
          <w:szCs w:val="16"/>
        </w:rPr>
        <w:t>sta solicitud, adicionalmente se trata del resultado del análisis de las observaciones y de los diálogos con la comunidad tal como ya se expuso.”</w:t>
      </w:r>
    </w:p>
    <w:p w:rsidR="007C5512" w:rsidRDefault="007C5512">
      <w:pPr>
        <w:ind w:right="623"/>
        <w:jc w:val="both"/>
        <w:rPr>
          <w:rFonts w:ascii="Work Sans" w:hAnsi="Work Sans" w:cs="Arial"/>
          <w:sz w:val="20"/>
          <w:szCs w:val="20"/>
        </w:rPr>
      </w:pPr>
    </w:p>
    <w:p w:rsidR="007C5512" w:rsidRDefault="004D2C6B">
      <w:pPr>
        <w:ind w:right="56"/>
        <w:jc w:val="both"/>
      </w:pPr>
      <w:r>
        <w:rPr>
          <w:rFonts w:ascii="Work Sans" w:eastAsia="DengXian Light" w:hAnsi="Work Sans" w:cs="Arial"/>
          <w:sz w:val="20"/>
          <w:szCs w:val="20"/>
          <w:lang w:bidi="ar-SA"/>
        </w:rPr>
        <w:t xml:space="preserve">Que mediante memorando </w:t>
      </w:r>
      <w:r>
        <w:rPr>
          <w:rFonts w:ascii="Work Sans" w:hAnsi="Work Sans" w:cs="DejaVuSans"/>
          <w:kern w:val="0"/>
          <w:sz w:val="20"/>
          <w:szCs w:val="20"/>
          <w:lang w:val="es-CO" w:eastAsia="es-CO" w:bidi="ar-SA"/>
        </w:rPr>
        <w:t xml:space="preserve"> 20211410132873</w:t>
      </w:r>
      <w:r>
        <w:rPr>
          <w:rFonts w:ascii="Work Sans" w:eastAsia="DengXian Light" w:hAnsi="Work Sans" w:cs="Arial"/>
          <w:sz w:val="20"/>
          <w:szCs w:val="20"/>
          <w:lang w:bidi="ar-SA"/>
        </w:rPr>
        <w:t xml:space="preserve"> del 11  de noviembre de 2021, la Oficina de Regulación Económica del M</w:t>
      </w:r>
      <w:r>
        <w:rPr>
          <w:rFonts w:ascii="Work Sans" w:eastAsia="DengXian Light" w:hAnsi="Work Sans" w:cs="Arial"/>
          <w:sz w:val="20"/>
          <w:szCs w:val="20"/>
          <w:lang w:bidi="ar-SA"/>
        </w:rPr>
        <w:t xml:space="preserve">inisterio de </w:t>
      </w:r>
      <w:r>
        <w:rPr>
          <w:rFonts w:ascii="Work Sans" w:hAnsi="Work Sans" w:cs="Arial"/>
          <w:sz w:val="20"/>
          <w:szCs w:val="20"/>
        </w:rPr>
        <w:t>Transporte</w:t>
      </w:r>
      <w:r>
        <w:rPr>
          <w:rFonts w:ascii="Work Sans" w:eastAsia="DengXian Light" w:hAnsi="Work Sans" w:cs="Arial"/>
          <w:sz w:val="20"/>
          <w:szCs w:val="20"/>
          <w:lang w:bidi="ar-SA"/>
        </w:rPr>
        <w:t xml:space="preserve"> en cumplimiento del numeral 9.8. </w:t>
      </w:r>
      <w:proofErr w:type="gramStart"/>
      <w:r>
        <w:rPr>
          <w:rFonts w:ascii="Work Sans" w:eastAsia="DengXian Light" w:hAnsi="Work Sans" w:cs="Arial"/>
          <w:sz w:val="20"/>
          <w:szCs w:val="20"/>
          <w:lang w:bidi="ar-SA"/>
        </w:rPr>
        <w:t>del</w:t>
      </w:r>
      <w:proofErr w:type="gramEnd"/>
      <w:r>
        <w:rPr>
          <w:rFonts w:ascii="Work Sans" w:eastAsia="DengXian Light" w:hAnsi="Work Sans" w:cs="Arial"/>
          <w:sz w:val="20"/>
          <w:szCs w:val="20"/>
          <w:lang w:bidi="ar-SA"/>
        </w:rPr>
        <w:t xml:space="preserve"> artículo 9° del Decreto 087 de 2011 analizó y emitió concepto previo favorable para el establecimiento de la nueva estructura tarifaria</w:t>
      </w:r>
      <w:r>
        <w:rPr>
          <w:rFonts w:ascii="Work Sans" w:hAnsi="Work Sans" w:cs="Arial"/>
          <w:sz w:val="20"/>
          <w:szCs w:val="20"/>
        </w:rPr>
        <w:t xml:space="preserve"> en la estación de peaje Galapa y las Casetas de Control de </w:t>
      </w:r>
      <w:r>
        <w:rPr>
          <w:rFonts w:ascii="Work Sans" w:hAnsi="Work Sans" w:cs="Arial"/>
          <w:sz w:val="20"/>
          <w:szCs w:val="20"/>
        </w:rPr>
        <w:t>Papiros y Juan Mina del Proyecto Cartagena - Barranquilla y Circunvalar de la Prosperidad.</w:t>
      </w:r>
    </w:p>
    <w:p w:rsidR="007C5512" w:rsidRDefault="007C5512">
      <w:pPr>
        <w:ind w:right="56"/>
        <w:jc w:val="both"/>
        <w:rPr>
          <w:rFonts w:ascii="Work Sans" w:hAnsi="Work Sans" w:cs="Arial"/>
          <w:sz w:val="20"/>
          <w:szCs w:val="20"/>
        </w:rPr>
      </w:pPr>
    </w:p>
    <w:p w:rsidR="007C5512" w:rsidRDefault="004D2C6B">
      <w:pPr>
        <w:ind w:right="-1"/>
        <w:jc w:val="both"/>
        <w:rPr>
          <w:rFonts w:ascii="Work Sans" w:eastAsia="DengXian Light" w:hAnsi="Work Sans" w:cs="Arial"/>
          <w:color w:val="000000"/>
          <w:sz w:val="20"/>
          <w:szCs w:val="20"/>
        </w:rPr>
      </w:pPr>
      <w:r>
        <w:rPr>
          <w:rFonts w:ascii="Work Sans" w:eastAsia="DengXian Light" w:hAnsi="Work Sans" w:cs="Arial"/>
          <w:color w:val="000000"/>
          <w:sz w:val="20"/>
          <w:szCs w:val="20"/>
        </w:rPr>
        <w:t xml:space="preserve">Que conforme a las funciones y competencias de la Agencia Nacional de Infraestructura de conformidad con el Decreto 4165 de 2011, como entidad del sector </w:t>
      </w:r>
      <w:r>
        <w:rPr>
          <w:rFonts w:ascii="Work Sans" w:eastAsia="DengXian Light" w:hAnsi="Work Sans" w:cs="Arial"/>
          <w:color w:val="000000"/>
          <w:sz w:val="20"/>
          <w:szCs w:val="20"/>
        </w:rPr>
        <w:t>descentralizado de la Rama Ejecutiva del Orden Nacional, con personería jurídica y autonomía administrativa, financiera y técnica, que tiene por objeto planear, coordinar, estructurar, contratar, ejecutar, administrar y evaluar proyectos de concesiones y o</w:t>
      </w:r>
      <w:r>
        <w:rPr>
          <w:rFonts w:ascii="Work Sans" w:eastAsia="DengXian Light" w:hAnsi="Work Sans" w:cs="Arial"/>
          <w:color w:val="000000"/>
          <w:sz w:val="20"/>
          <w:szCs w:val="20"/>
        </w:rPr>
        <w:t xml:space="preserve">tras formas de Asociación Público Privada (APP), para el diseño, construcción, mantenimiento, operación, administración y/o explotación de la infraestructura pública de transporte en todos sus modos y de los servicios conexos o relacionados, y en atención </w:t>
      </w:r>
      <w:r>
        <w:rPr>
          <w:rFonts w:ascii="Work Sans" w:eastAsia="DengXian Light" w:hAnsi="Work Sans" w:cs="Arial"/>
          <w:color w:val="000000"/>
          <w:sz w:val="20"/>
          <w:szCs w:val="20"/>
        </w:rPr>
        <w:t>a su conocimiento y análisis técnico, reuniones de socialización, concertación y acuerdos con usuarios y comunidades, llevados a cabo en virtud de sus competencias funcionales, le corresponde a la Agencia fijar los requisitos para acreditar la calidad de b</w:t>
      </w:r>
      <w:r>
        <w:rPr>
          <w:rFonts w:ascii="Work Sans" w:eastAsia="DengXian Light" w:hAnsi="Work Sans" w:cs="Arial"/>
          <w:color w:val="000000"/>
          <w:sz w:val="20"/>
          <w:szCs w:val="20"/>
        </w:rPr>
        <w:t xml:space="preserve">eneficiario, el procedimiento para acceder al beneficio, los mecanismos de otorgamiento, reemplazo y control y las causales de pérdida del beneficio, de las tarifas especiales diferenciales de peajes. </w:t>
      </w:r>
    </w:p>
    <w:p w:rsidR="007C5512" w:rsidRDefault="007C5512">
      <w:pPr>
        <w:ind w:right="-1"/>
        <w:jc w:val="both"/>
        <w:rPr>
          <w:rFonts w:ascii="Work Sans" w:eastAsia="DengXian Light" w:hAnsi="Work Sans" w:cs="Arial"/>
          <w:color w:val="000000"/>
          <w:sz w:val="20"/>
          <w:szCs w:val="20"/>
        </w:rPr>
      </w:pPr>
    </w:p>
    <w:p w:rsidR="007C5512" w:rsidRDefault="004D2C6B">
      <w:pPr>
        <w:ind w:right="56"/>
        <w:jc w:val="both"/>
      </w:pPr>
      <w:r>
        <w:rPr>
          <w:rFonts w:ascii="Work Sans" w:hAnsi="Work Sans" w:cs="Arial"/>
          <w:sz w:val="20"/>
          <w:szCs w:val="20"/>
          <w:lang w:val="es-CO" w:bidi="ar-SA"/>
        </w:rPr>
        <w:t>Que conforme a las Directrices generales de técnica n</w:t>
      </w:r>
      <w:r>
        <w:rPr>
          <w:rFonts w:ascii="Work Sans" w:hAnsi="Work Sans" w:cs="Arial"/>
          <w:sz w:val="20"/>
          <w:szCs w:val="20"/>
          <w:lang w:val="es-CO" w:bidi="ar-SA"/>
        </w:rPr>
        <w:t xml:space="preserve">ormativa establecidas en el  Capítulo 1 del Título 2 del Libro 1 de la Parte 2 del Decreto </w:t>
      </w:r>
      <w:hyperlink r:id="rId9" w:history="1">
        <w:r>
          <w:rPr>
            <w:rFonts w:ascii="Work Sans" w:hAnsi="Work Sans" w:cs="Arial"/>
            <w:sz w:val="20"/>
            <w:szCs w:val="20"/>
            <w:lang w:val="es-CO" w:bidi="ar-SA"/>
          </w:rPr>
          <w:t>1081</w:t>
        </w:r>
      </w:hyperlink>
      <w:r>
        <w:rPr>
          <w:rFonts w:ascii="Work Sans" w:hAnsi="Work Sans" w:cs="Arial"/>
          <w:sz w:val="20"/>
          <w:szCs w:val="20"/>
          <w:lang w:val="es-CO" w:bidi="ar-SA"/>
        </w:rPr>
        <w:t xml:space="preserve"> de 2015 </w:t>
      </w:r>
      <w:r>
        <w:rPr>
          <w:rFonts w:ascii="Work Sans" w:hAnsi="Work Sans" w:cs="Arial"/>
          <w:i/>
          <w:sz w:val="20"/>
          <w:szCs w:val="20"/>
          <w:lang w:val="es-CO" w:bidi="ar-SA"/>
        </w:rPr>
        <w:t xml:space="preserve">“Único Reglamentario del Sector de la Presidencia </w:t>
      </w:r>
      <w:r>
        <w:rPr>
          <w:rFonts w:ascii="Work Sans" w:hAnsi="Work Sans" w:cs="Arial"/>
          <w:i/>
          <w:sz w:val="20"/>
          <w:szCs w:val="20"/>
          <w:lang w:val="es-CO" w:bidi="ar-SA"/>
        </w:rPr>
        <w:t xml:space="preserve">de la República”, </w:t>
      </w:r>
      <w:r>
        <w:rPr>
          <w:rFonts w:ascii="Work Sans" w:hAnsi="Work Sans" w:cs="Arial"/>
          <w:sz w:val="20"/>
          <w:szCs w:val="20"/>
          <w:lang w:val="es-CO" w:bidi="ar-SA"/>
        </w:rPr>
        <w:t xml:space="preserve">adicionado por el Decreto número 1609 de 2015, y dado que solo se mantendrán las tarifas diferenciales para la estación de peaje Puerto Colombia, producto de la modificación del esquema tarifario de la estación de peaje Galapa y de las </w:t>
      </w:r>
      <w:r>
        <w:rPr>
          <w:rFonts w:ascii="Work Sans" w:hAnsi="Work Sans" w:cs="Arial"/>
          <w:sz w:val="20"/>
          <w:szCs w:val="20"/>
          <w:lang w:val="es-CO" w:bidi="ar-SA"/>
        </w:rPr>
        <w:t xml:space="preserve">casetas de control Papiros y Juan Mina, es necesario derogar la Resolución </w:t>
      </w:r>
      <w:r>
        <w:rPr>
          <w:rFonts w:ascii="Work Sans" w:hAnsi="Work Sans" w:cs="Times New Roman"/>
          <w:bCs/>
          <w:color w:val="000000"/>
          <w:sz w:val="20"/>
          <w:szCs w:val="20"/>
          <w:lang w:eastAsia="es-CO"/>
        </w:rPr>
        <w:t xml:space="preserve">20213040003285 de 2021 del Ministerio de Transporte e incorporar lo referente a las tarifas diferenciales de la estación de peaje Puerto </w:t>
      </w:r>
      <w:r>
        <w:rPr>
          <w:rFonts w:ascii="Work Sans" w:hAnsi="Work Sans" w:cs="Times New Roman"/>
          <w:bCs/>
          <w:color w:val="000000"/>
          <w:sz w:val="20"/>
          <w:szCs w:val="20"/>
          <w:lang w:eastAsia="es-CO"/>
        </w:rPr>
        <w:lastRenderedPageBreak/>
        <w:t>Colombia en el presente acto administrativo,</w:t>
      </w:r>
      <w:r>
        <w:rPr>
          <w:rFonts w:ascii="Work Sans" w:hAnsi="Work Sans" w:cs="Times New Roman"/>
          <w:bCs/>
          <w:color w:val="000000"/>
          <w:sz w:val="20"/>
          <w:szCs w:val="20"/>
          <w:lang w:eastAsia="es-CO"/>
        </w:rPr>
        <w:t xml:space="preserve"> </w:t>
      </w:r>
      <w:r>
        <w:rPr>
          <w:rFonts w:ascii="Work Sans" w:hAnsi="Work Sans" w:cs="Arial"/>
          <w:sz w:val="20"/>
          <w:szCs w:val="20"/>
          <w:lang w:val="es-CO" w:bidi="ar-SA"/>
        </w:rPr>
        <w:t>con el fin de garantizar la seguridad jurídica y evitar la dispersión y proliferación normativa.</w:t>
      </w:r>
    </w:p>
    <w:p w:rsidR="007C5512" w:rsidRDefault="007C5512">
      <w:pPr>
        <w:pStyle w:val="NormalWeb"/>
        <w:spacing w:before="0" w:after="0"/>
        <w:jc w:val="both"/>
        <w:rPr>
          <w:rFonts w:ascii="Work Sans" w:hAnsi="Work Sans" w:cs="Arial"/>
          <w:sz w:val="20"/>
          <w:szCs w:val="20"/>
        </w:rPr>
      </w:pPr>
    </w:p>
    <w:p w:rsidR="007C5512" w:rsidRDefault="004D2C6B">
      <w:pPr>
        <w:pStyle w:val="NormalWeb"/>
        <w:spacing w:before="0" w:after="0"/>
        <w:jc w:val="both"/>
      </w:pPr>
      <w:r>
        <w:rPr>
          <w:rFonts w:ascii="Work Sans" w:hAnsi="Work Sans" w:cs="Arial"/>
          <w:sz w:val="20"/>
          <w:szCs w:val="20"/>
        </w:rPr>
        <w:t>Que el contenido de la presente resolución fue publicado en la página web del Ministerio de Transporte y de la Agencia Nacional de Infraestructura, en cumpli</w:t>
      </w:r>
      <w:r>
        <w:rPr>
          <w:rFonts w:ascii="Work Sans" w:hAnsi="Work Sans" w:cs="Arial"/>
          <w:sz w:val="20"/>
          <w:szCs w:val="20"/>
        </w:rPr>
        <w:t>miento de lo determinado en el numeral 8 del artículo 8° de la Ley 1437 de 2011, artículo 2.1.2.1.14 del Decreto 1081 de 2015 modificado y adicionado por el Decreto 270 de 2017 y la Resolución 994 de 2017 del Ministerio de Transporte, con el objeto de reci</w:t>
      </w:r>
      <w:r>
        <w:rPr>
          <w:rFonts w:ascii="Work Sans" w:hAnsi="Work Sans" w:cs="Arial"/>
          <w:sz w:val="20"/>
          <w:szCs w:val="20"/>
        </w:rPr>
        <w:t>bir opiniones, sugerencias o propuestas alternativas.</w:t>
      </w:r>
    </w:p>
    <w:p w:rsidR="007C5512" w:rsidRDefault="007C5512">
      <w:pPr>
        <w:rPr>
          <w:rFonts w:ascii="Work Sans" w:hAnsi="Work Sans"/>
          <w:sz w:val="20"/>
          <w:szCs w:val="20"/>
        </w:rPr>
      </w:pPr>
    </w:p>
    <w:p w:rsidR="007C5512" w:rsidRDefault="004D2C6B">
      <w:pPr>
        <w:widowControl/>
        <w:autoSpaceDE w:val="0"/>
        <w:jc w:val="both"/>
        <w:rPr>
          <w:rFonts w:ascii="Work Sans" w:eastAsia="DengXian Light" w:hAnsi="Work Sans" w:cs="Arial"/>
          <w:sz w:val="20"/>
          <w:szCs w:val="20"/>
          <w:lang w:bidi="ar-SA"/>
        </w:rPr>
      </w:pPr>
      <w:r>
        <w:rPr>
          <w:rFonts w:ascii="Work Sans" w:eastAsia="DengXian Light" w:hAnsi="Work Sans" w:cs="Arial"/>
          <w:sz w:val="20"/>
          <w:szCs w:val="20"/>
          <w:lang w:bidi="ar-SA"/>
        </w:rPr>
        <w:t>Que la Oficina Asesora de Jurídica del Ministerio de Transporte conservará los documentos asociados a la publicación del presente acto administrativo. Todo ello en concordancia con las políticas de ges</w:t>
      </w:r>
      <w:r>
        <w:rPr>
          <w:rFonts w:ascii="Work Sans" w:eastAsia="DengXian Light" w:hAnsi="Work Sans" w:cs="Arial"/>
          <w:sz w:val="20"/>
          <w:szCs w:val="20"/>
          <w:lang w:bidi="ar-SA"/>
        </w:rPr>
        <w:t>tión documental y de archivo de la entidad.</w:t>
      </w:r>
    </w:p>
    <w:p w:rsidR="007C5512" w:rsidRDefault="007C5512">
      <w:pPr>
        <w:widowControl/>
        <w:autoSpaceDE w:val="0"/>
        <w:jc w:val="both"/>
        <w:rPr>
          <w:rFonts w:ascii="Work Sans" w:eastAsia="DengXian Light" w:hAnsi="Work Sans" w:cs="Arial"/>
          <w:sz w:val="20"/>
          <w:szCs w:val="20"/>
          <w:lang w:bidi="ar-SA"/>
        </w:rPr>
      </w:pPr>
    </w:p>
    <w:p w:rsidR="007C5512" w:rsidRDefault="004D2C6B">
      <w:pPr>
        <w:widowControl/>
        <w:tabs>
          <w:tab w:val="left" w:pos="426"/>
        </w:tabs>
        <w:jc w:val="both"/>
      </w:pPr>
      <w:r>
        <w:rPr>
          <w:rFonts w:ascii="Work Sans" w:hAnsi="Work Sans" w:cs="Arial"/>
          <w:sz w:val="20"/>
          <w:szCs w:val="20"/>
          <w:lang w:eastAsia="es-CO" w:bidi="ar-SA"/>
        </w:rPr>
        <w:t>En mérito de lo expuesto,</w:t>
      </w:r>
    </w:p>
    <w:p w:rsidR="007C5512" w:rsidRDefault="007C5512">
      <w:pPr>
        <w:jc w:val="center"/>
        <w:rPr>
          <w:rFonts w:ascii="Work Sans" w:hAnsi="Work Sans" w:cs="Arial"/>
          <w:b/>
          <w:sz w:val="20"/>
          <w:szCs w:val="20"/>
        </w:rPr>
      </w:pPr>
    </w:p>
    <w:p w:rsidR="007C5512" w:rsidRDefault="004D2C6B">
      <w:pPr>
        <w:jc w:val="center"/>
        <w:rPr>
          <w:rFonts w:ascii="Work Sans" w:hAnsi="Work Sans" w:cs="Arial"/>
          <w:b/>
          <w:sz w:val="20"/>
          <w:szCs w:val="20"/>
        </w:rPr>
      </w:pPr>
      <w:r>
        <w:rPr>
          <w:rFonts w:ascii="Work Sans" w:hAnsi="Work Sans" w:cs="Arial"/>
          <w:b/>
          <w:sz w:val="20"/>
          <w:szCs w:val="20"/>
        </w:rPr>
        <w:t>RESUELVE:</w:t>
      </w:r>
    </w:p>
    <w:p w:rsidR="007C5512" w:rsidRDefault="007C5512">
      <w:pPr>
        <w:widowControl/>
        <w:tabs>
          <w:tab w:val="left" w:pos="-720"/>
        </w:tabs>
        <w:ind w:right="-1"/>
        <w:jc w:val="both"/>
        <w:rPr>
          <w:rFonts w:ascii="Work Sans" w:eastAsia="Arial" w:hAnsi="Work Sans" w:cs="Arial"/>
          <w:spacing w:val="-3"/>
          <w:sz w:val="20"/>
          <w:szCs w:val="20"/>
          <w:lang w:bidi="ar-SA"/>
        </w:rPr>
      </w:pPr>
    </w:p>
    <w:p w:rsidR="007C5512" w:rsidRDefault="004D2C6B">
      <w:pPr>
        <w:jc w:val="both"/>
      </w:pPr>
      <w:bookmarkStart w:id="2" w:name="_Hlk85208380"/>
      <w:r>
        <w:rPr>
          <w:rFonts w:ascii="Work Sans" w:hAnsi="Work Sans" w:cs="Arial"/>
          <w:b/>
          <w:sz w:val="20"/>
          <w:szCs w:val="20"/>
        </w:rPr>
        <w:t>ARTÍCULO 1.-</w:t>
      </w:r>
      <w:r>
        <w:rPr>
          <w:rFonts w:ascii="Work Sans" w:hAnsi="Work Sans" w:cs="Arial"/>
          <w:sz w:val="20"/>
          <w:szCs w:val="20"/>
        </w:rPr>
        <w:t xml:space="preserve"> Modificar las tarifas establecidas en el artículo 2° de la Resolución 1378 de 2014 del Ministerio de Transporte, para la caseta de control Papiros</w:t>
      </w:r>
      <w:bookmarkStart w:id="3" w:name="_Hlk75886479"/>
      <w:r>
        <w:rPr>
          <w:rFonts w:ascii="Work Sans" w:hAnsi="Work Sans" w:cs="Arial"/>
          <w:sz w:val="20"/>
          <w:szCs w:val="20"/>
        </w:rPr>
        <w:t>, las cuales q</w:t>
      </w:r>
      <w:r>
        <w:rPr>
          <w:rFonts w:ascii="Work Sans" w:hAnsi="Work Sans" w:cs="Arial"/>
          <w:sz w:val="20"/>
          <w:szCs w:val="20"/>
        </w:rPr>
        <w:t>uedan así:</w:t>
      </w:r>
    </w:p>
    <w:p w:rsidR="007C5512" w:rsidRDefault="007C5512">
      <w:pPr>
        <w:jc w:val="both"/>
        <w:rPr>
          <w:rFonts w:ascii="Work Sans" w:hAnsi="Work Sans" w:cs="Arial"/>
          <w:i/>
          <w:iCs/>
          <w:sz w:val="20"/>
          <w:szCs w:val="20"/>
        </w:rPr>
      </w:pPr>
    </w:p>
    <w:p w:rsidR="007C5512" w:rsidRDefault="004D2C6B">
      <w:pPr>
        <w:rPr>
          <w:rFonts w:ascii="Work Sans" w:hAnsi="Work Sans" w:cs="Arial"/>
          <w:b/>
          <w:sz w:val="20"/>
          <w:szCs w:val="20"/>
        </w:rPr>
      </w:pPr>
      <w:r>
        <w:rPr>
          <w:rFonts w:ascii="Work Sans" w:hAnsi="Work Sans" w:cs="Arial"/>
          <w:b/>
          <w:sz w:val="20"/>
          <w:szCs w:val="20"/>
        </w:rPr>
        <w:t>Tarifas al usuario para la Caseta de Control Papiros</w:t>
      </w:r>
    </w:p>
    <w:p w:rsidR="007C5512" w:rsidRDefault="007C5512">
      <w:pPr>
        <w:rPr>
          <w:rFonts w:ascii="Work Sans" w:hAnsi="Work Sans" w:cs="Arial"/>
          <w:b/>
          <w:sz w:val="20"/>
          <w:szCs w:val="20"/>
        </w:rPr>
      </w:pPr>
    </w:p>
    <w:tbl>
      <w:tblPr>
        <w:tblW w:w="8213" w:type="dxa"/>
        <w:jc w:val="center"/>
        <w:tblCellMar>
          <w:left w:w="10" w:type="dxa"/>
          <w:right w:w="10" w:type="dxa"/>
        </w:tblCellMar>
        <w:tblLook w:val="0000" w:firstRow="0" w:lastRow="0" w:firstColumn="0" w:lastColumn="0" w:noHBand="0" w:noVBand="0"/>
      </w:tblPr>
      <w:tblGrid>
        <w:gridCol w:w="2835"/>
        <w:gridCol w:w="2689"/>
        <w:gridCol w:w="2689"/>
      </w:tblGrid>
      <w:tr w:rsidR="007C5512">
        <w:tblPrEx>
          <w:tblCellMar>
            <w:top w:w="0" w:type="dxa"/>
            <w:bottom w:w="0" w:type="dxa"/>
          </w:tblCellMar>
        </w:tblPrEx>
        <w:trPr>
          <w:trHeight w:val="47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CATEGORÍA</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DESCRIPCIÓN</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TARIFA 2021</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Automóviles, camperos y camionetas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$2.300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 xml:space="preserve"> Categoría 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Buses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$2.300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pequeños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$7.600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 xml:space="preserve">Camiones </w:t>
            </w:r>
            <w:r>
              <w:rPr>
                <w:rFonts w:ascii="Work Sans" w:hAnsi="Work Sans" w:cs="Arial"/>
                <w:iCs/>
                <w:sz w:val="20"/>
                <w:szCs w:val="20"/>
                <w:lang w:bidi="ar-SA"/>
              </w:rPr>
              <w:t>grandes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$13.300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3 y 4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$42.000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5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$56.300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6 ejes o más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pPr>
            <w:r>
              <w:rPr>
                <w:rFonts w:ascii="Work Sans" w:hAnsi="Work Sans" w:cs="Arial"/>
                <w:iCs/>
                <w:sz w:val="20"/>
                <w:szCs w:val="20"/>
                <w:lang w:bidi="ar-SA"/>
              </w:rPr>
              <w:t>$62.500</w:t>
            </w:r>
          </w:p>
        </w:tc>
      </w:tr>
    </w:tbl>
    <w:p w:rsidR="007C5512" w:rsidRDefault="004D2C6B">
      <w:pPr>
        <w:jc w:val="center"/>
      </w:pPr>
      <w:r>
        <w:rPr>
          <w:rFonts w:ascii="Work Sans" w:hAnsi="Work Sans" w:cs="Arial"/>
          <w:iCs/>
          <w:sz w:val="18"/>
          <w:szCs w:val="18"/>
        </w:rPr>
        <w:t>*Tarifas expresadas en pesos de 2020.</w:t>
      </w:r>
    </w:p>
    <w:p w:rsidR="007C5512" w:rsidRDefault="007C5512">
      <w:pPr>
        <w:jc w:val="center"/>
        <w:rPr>
          <w:rFonts w:ascii="Work Sans" w:hAnsi="Work Sans" w:cs="Arial"/>
          <w:i/>
          <w:iCs/>
          <w:sz w:val="20"/>
          <w:szCs w:val="20"/>
        </w:rPr>
      </w:pPr>
    </w:p>
    <w:bookmarkEnd w:id="3"/>
    <w:p w:rsidR="007C5512" w:rsidRDefault="004D2C6B">
      <w:pPr>
        <w:jc w:val="both"/>
      </w:pPr>
      <w:r>
        <w:rPr>
          <w:rFonts w:ascii="Work Sans" w:hAnsi="Work Sans" w:cs="Arial"/>
          <w:b/>
          <w:sz w:val="20"/>
          <w:szCs w:val="20"/>
        </w:rPr>
        <w:t>ARTÍCULO 2.-</w:t>
      </w:r>
      <w:r>
        <w:rPr>
          <w:rFonts w:ascii="Work Sans" w:hAnsi="Work Sans" w:cs="Arial"/>
          <w:sz w:val="20"/>
          <w:szCs w:val="20"/>
        </w:rPr>
        <w:t xml:space="preserve"> Modificar las tarifas establecidas en el </w:t>
      </w:r>
      <w:r>
        <w:rPr>
          <w:rFonts w:ascii="Work Sans" w:hAnsi="Work Sans" w:cs="Arial"/>
          <w:sz w:val="20"/>
          <w:szCs w:val="20"/>
        </w:rPr>
        <w:t>artículo 3° de la Resolución 1378 de 2014 del Ministerio de Transporte, para la estación de peaje Galapa y para la Caseta de Control Juan Mina, las cuales quedan así:</w:t>
      </w:r>
    </w:p>
    <w:p w:rsidR="007C5512" w:rsidRDefault="007C5512">
      <w:pPr>
        <w:jc w:val="both"/>
        <w:rPr>
          <w:rFonts w:ascii="Work Sans" w:hAnsi="Work Sans" w:cs="Arial"/>
          <w:i/>
          <w:iCs/>
          <w:sz w:val="20"/>
          <w:szCs w:val="20"/>
        </w:rPr>
      </w:pPr>
    </w:p>
    <w:p w:rsidR="007C5512" w:rsidRDefault="004D2C6B">
      <w:pPr>
        <w:rPr>
          <w:rFonts w:ascii="Work Sans" w:hAnsi="Work Sans" w:cs="Arial"/>
          <w:b/>
          <w:sz w:val="20"/>
          <w:szCs w:val="20"/>
        </w:rPr>
      </w:pPr>
      <w:r>
        <w:rPr>
          <w:rFonts w:ascii="Work Sans" w:hAnsi="Work Sans" w:cs="Arial"/>
          <w:b/>
          <w:sz w:val="20"/>
          <w:szCs w:val="20"/>
        </w:rPr>
        <w:t>Tarifas al usuario para la Estación de Peaje Galapa</w:t>
      </w:r>
    </w:p>
    <w:p w:rsidR="007C5512" w:rsidRDefault="007C5512">
      <w:pPr>
        <w:rPr>
          <w:rFonts w:ascii="Work Sans" w:hAnsi="Work Sans" w:cs="Arial"/>
          <w:b/>
          <w:bCs/>
          <w:iCs/>
          <w:sz w:val="18"/>
          <w:szCs w:val="18"/>
          <w:lang w:bidi="ar-SA"/>
        </w:rPr>
      </w:pPr>
    </w:p>
    <w:tbl>
      <w:tblPr>
        <w:tblW w:w="8213" w:type="dxa"/>
        <w:jc w:val="center"/>
        <w:tblCellMar>
          <w:left w:w="10" w:type="dxa"/>
          <w:right w:w="10" w:type="dxa"/>
        </w:tblCellMar>
        <w:tblLook w:val="0000" w:firstRow="0" w:lastRow="0" w:firstColumn="0" w:lastColumn="0" w:noHBand="0" w:noVBand="0"/>
      </w:tblPr>
      <w:tblGrid>
        <w:gridCol w:w="2835"/>
        <w:gridCol w:w="2689"/>
        <w:gridCol w:w="2689"/>
      </w:tblGrid>
      <w:tr w:rsidR="007C5512">
        <w:tblPrEx>
          <w:tblCellMar>
            <w:top w:w="0" w:type="dxa"/>
            <w:bottom w:w="0" w:type="dxa"/>
          </w:tblCellMar>
        </w:tblPrEx>
        <w:trPr>
          <w:trHeight w:val="47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CATEGORÍA</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DESCRIPCIÓN</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pPr>
            <w:r>
              <w:rPr>
                <w:rFonts w:ascii="Work Sans" w:hAnsi="Work Sans" w:cs="Arial"/>
                <w:b/>
                <w:bCs/>
                <w:iCs/>
                <w:sz w:val="20"/>
                <w:szCs w:val="20"/>
                <w:lang w:bidi="ar-SA"/>
              </w:rPr>
              <w:t>TARIFA 2021</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Automóviles, camperos y camionetas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$6.700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 xml:space="preserve"> Categoría 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Buses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$10.000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pequeños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$7.300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grandes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$12.700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3 y 4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$39.600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lastRenderedPageBreak/>
              <w:t>Categoría VI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 xml:space="preserve">Camiones de 5 </w:t>
            </w:r>
            <w:r>
              <w:rPr>
                <w:rFonts w:ascii="Work Sans" w:hAnsi="Work Sans" w:cs="Arial"/>
                <w:iCs/>
                <w:sz w:val="20"/>
                <w:szCs w:val="20"/>
                <w:lang w:bidi="ar-SA"/>
              </w:rPr>
              <w:t>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$52.700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6 ejes o más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$58.500</w:t>
            </w:r>
          </w:p>
        </w:tc>
      </w:tr>
    </w:tbl>
    <w:p w:rsidR="007C5512" w:rsidRDefault="004D2C6B">
      <w:pPr>
        <w:jc w:val="center"/>
      </w:pPr>
      <w:r>
        <w:rPr>
          <w:rFonts w:ascii="Work Sans" w:hAnsi="Work Sans" w:cs="Arial"/>
          <w:iCs/>
          <w:sz w:val="20"/>
          <w:szCs w:val="20"/>
        </w:rPr>
        <w:t>*Tarifas expresadas en pesos de 2020.</w:t>
      </w:r>
    </w:p>
    <w:p w:rsidR="007C5512" w:rsidRDefault="007C5512">
      <w:pPr>
        <w:rPr>
          <w:rFonts w:ascii="Work Sans" w:hAnsi="Work Sans" w:cs="Arial"/>
          <w:b/>
          <w:sz w:val="20"/>
          <w:szCs w:val="20"/>
        </w:rPr>
      </w:pPr>
    </w:p>
    <w:p w:rsidR="007C5512" w:rsidRDefault="007C5512">
      <w:pPr>
        <w:rPr>
          <w:rFonts w:ascii="Work Sans" w:hAnsi="Work Sans" w:cs="Arial"/>
          <w:b/>
          <w:sz w:val="20"/>
          <w:szCs w:val="20"/>
        </w:rPr>
      </w:pPr>
    </w:p>
    <w:p w:rsidR="007C5512" w:rsidRDefault="004D2C6B">
      <w:pPr>
        <w:rPr>
          <w:rFonts w:ascii="Work Sans" w:hAnsi="Work Sans" w:cs="Arial"/>
          <w:b/>
          <w:sz w:val="20"/>
          <w:szCs w:val="20"/>
        </w:rPr>
      </w:pPr>
      <w:r>
        <w:rPr>
          <w:rFonts w:ascii="Work Sans" w:hAnsi="Work Sans" w:cs="Arial"/>
          <w:b/>
          <w:sz w:val="20"/>
          <w:szCs w:val="20"/>
        </w:rPr>
        <w:t xml:space="preserve">Tarifas al usuario para la Caseta de Control Juan Mina </w:t>
      </w:r>
    </w:p>
    <w:p w:rsidR="007C5512" w:rsidRDefault="007C5512">
      <w:pPr>
        <w:rPr>
          <w:rFonts w:ascii="Work Sans" w:hAnsi="Work Sans" w:cs="Arial"/>
          <w:b/>
          <w:bCs/>
          <w:iCs/>
          <w:sz w:val="18"/>
          <w:szCs w:val="18"/>
          <w:lang w:bidi="ar-SA"/>
        </w:rPr>
      </w:pPr>
    </w:p>
    <w:tbl>
      <w:tblPr>
        <w:tblW w:w="8213" w:type="dxa"/>
        <w:jc w:val="center"/>
        <w:tblCellMar>
          <w:left w:w="10" w:type="dxa"/>
          <w:right w:w="10" w:type="dxa"/>
        </w:tblCellMar>
        <w:tblLook w:val="0000" w:firstRow="0" w:lastRow="0" w:firstColumn="0" w:lastColumn="0" w:noHBand="0" w:noVBand="0"/>
      </w:tblPr>
      <w:tblGrid>
        <w:gridCol w:w="2835"/>
        <w:gridCol w:w="2689"/>
        <w:gridCol w:w="2689"/>
      </w:tblGrid>
      <w:tr w:rsidR="007C5512">
        <w:tblPrEx>
          <w:tblCellMar>
            <w:top w:w="0" w:type="dxa"/>
            <w:bottom w:w="0" w:type="dxa"/>
          </w:tblCellMar>
        </w:tblPrEx>
        <w:trPr>
          <w:trHeight w:val="47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CATEGORÍA</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b/>
                <w:bCs/>
                <w:iCs/>
                <w:sz w:val="20"/>
                <w:szCs w:val="20"/>
                <w:lang w:bidi="ar-SA"/>
              </w:rPr>
            </w:pPr>
            <w:r>
              <w:rPr>
                <w:rFonts w:ascii="Work Sans" w:hAnsi="Work Sans" w:cs="Arial"/>
                <w:b/>
                <w:bCs/>
                <w:iCs/>
                <w:sz w:val="20"/>
                <w:szCs w:val="20"/>
                <w:lang w:bidi="ar-SA"/>
              </w:rPr>
              <w:t>DESCRIPCIÓN</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pPr>
            <w:r>
              <w:rPr>
                <w:rFonts w:ascii="Work Sans" w:hAnsi="Work Sans" w:cs="Arial"/>
                <w:b/>
                <w:bCs/>
                <w:iCs/>
                <w:sz w:val="20"/>
                <w:szCs w:val="20"/>
                <w:lang w:bidi="ar-SA"/>
              </w:rPr>
              <w:t xml:space="preserve">TARIFA 2021 </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Automóviles, camperos y camionetas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$6.700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 xml:space="preserve"> </w:t>
            </w:r>
            <w:r>
              <w:rPr>
                <w:rFonts w:ascii="Work Sans" w:hAnsi="Work Sans" w:cs="Arial"/>
                <w:iCs/>
                <w:sz w:val="20"/>
                <w:szCs w:val="20"/>
                <w:lang w:bidi="ar-SA"/>
              </w:rPr>
              <w:t>Categoría 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Buses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$10.000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pequeños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$7.300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IV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grandes de 2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$12.700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3 y 4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$39.600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5 ejes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$52.700</w:t>
            </w:r>
          </w:p>
        </w:tc>
      </w:tr>
      <w:tr w:rsidR="007C5512">
        <w:tblPrEx>
          <w:tblCellMar>
            <w:top w:w="0" w:type="dxa"/>
            <w:bottom w:w="0" w:type="dxa"/>
          </w:tblCellMar>
        </w:tblPrEx>
        <w:trPr>
          <w:trHeight w:val="31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Categoría VII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Camiones de 6 ejes o más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tabs>
                <w:tab w:val="left" w:pos="2625"/>
              </w:tabs>
              <w:jc w:val="center"/>
              <w:rPr>
                <w:rFonts w:ascii="Work Sans" w:hAnsi="Work Sans" w:cs="Arial"/>
                <w:iCs/>
                <w:sz w:val="20"/>
                <w:szCs w:val="20"/>
                <w:lang w:bidi="ar-SA"/>
              </w:rPr>
            </w:pPr>
            <w:r>
              <w:rPr>
                <w:rFonts w:ascii="Work Sans" w:hAnsi="Work Sans" w:cs="Arial"/>
                <w:iCs/>
                <w:sz w:val="20"/>
                <w:szCs w:val="20"/>
                <w:lang w:bidi="ar-SA"/>
              </w:rPr>
              <w:t>$58.500</w:t>
            </w:r>
          </w:p>
        </w:tc>
      </w:tr>
    </w:tbl>
    <w:p w:rsidR="007C5512" w:rsidRDefault="004D2C6B">
      <w:pPr>
        <w:jc w:val="center"/>
      </w:pPr>
      <w:r>
        <w:rPr>
          <w:rFonts w:ascii="Work Sans" w:hAnsi="Work Sans" w:cs="Arial"/>
          <w:iCs/>
          <w:sz w:val="18"/>
          <w:szCs w:val="18"/>
        </w:rPr>
        <w:t>* Tarifas expresadas en pesos de 2020.</w:t>
      </w:r>
    </w:p>
    <w:p w:rsidR="007C5512" w:rsidRDefault="007C5512">
      <w:pPr>
        <w:rPr>
          <w:rFonts w:ascii="Work Sans" w:hAnsi="Work Sans" w:cs="Arial"/>
          <w:i/>
          <w:iCs/>
          <w:sz w:val="18"/>
          <w:szCs w:val="18"/>
          <w:lang w:bidi="ar-SA"/>
        </w:rPr>
      </w:pPr>
    </w:p>
    <w:p w:rsidR="007C5512" w:rsidRDefault="004D2C6B">
      <w:pPr>
        <w:jc w:val="both"/>
      </w:pPr>
      <w:r>
        <w:rPr>
          <w:rFonts w:ascii="Work Sans" w:hAnsi="Work Sans" w:cs="Arial"/>
          <w:b/>
          <w:sz w:val="20"/>
          <w:szCs w:val="20"/>
        </w:rPr>
        <w:t>ARTÍCULO 3.</w:t>
      </w:r>
      <w:r>
        <w:rPr>
          <w:rFonts w:ascii="Work Sans" w:hAnsi="Work Sans" w:cs="Times New Roman"/>
          <w:kern w:val="0"/>
          <w:sz w:val="20"/>
          <w:szCs w:val="20"/>
          <w:lang w:val="es-CO" w:eastAsia="es-CO" w:bidi="ar-SA"/>
        </w:rPr>
        <w:t xml:space="preserve"> Modificar el artículo 4° de la Resolución No. 0001378 de 2014 del Ministerio de Transporte, el cual queda así: </w:t>
      </w:r>
    </w:p>
    <w:p w:rsidR="007C5512" w:rsidRDefault="007C5512">
      <w:pPr>
        <w:jc w:val="both"/>
        <w:rPr>
          <w:rFonts w:ascii="Work Sans" w:hAnsi="Work Sans" w:cs="Times New Roman"/>
          <w:i/>
          <w:iCs/>
          <w:kern w:val="0"/>
          <w:sz w:val="20"/>
          <w:szCs w:val="20"/>
          <w:lang w:val="es-CO" w:eastAsia="es-CO" w:bidi="ar-SA"/>
        </w:rPr>
      </w:pPr>
    </w:p>
    <w:p w:rsidR="007C5512" w:rsidRDefault="004D2C6B">
      <w:pPr>
        <w:ind w:left="284" w:right="56"/>
        <w:jc w:val="both"/>
      </w:pPr>
      <w:r>
        <w:rPr>
          <w:rFonts w:ascii="Work Sans" w:hAnsi="Work Sans" w:cs="Times New Roman"/>
          <w:b/>
          <w:iCs/>
          <w:kern w:val="0"/>
          <w:sz w:val="20"/>
          <w:szCs w:val="20"/>
          <w:lang w:val="es-CO" w:eastAsia="es-CO" w:bidi="ar-SA"/>
        </w:rPr>
        <w:t>ARTÍCULO 4°.</w:t>
      </w:r>
      <w:r>
        <w:rPr>
          <w:rFonts w:ascii="Work Sans" w:hAnsi="Work Sans" w:cs="Times New Roman"/>
          <w:iCs/>
          <w:kern w:val="0"/>
          <w:sz w:val="20"/>
          <w:szCs w:val="20"/>
          <w:lang w:val="es-CO" w:eastAsia="es-CO" w:bidi="ar-SA"/>
        </w:rPr>
        <w:t xml:space="preserve"> Las tarifas se actualizarán cada año, de acuerdo con lo establecido </w:t>
      </w:r>
      <w:r>
        <w:rPr>
          <w:rFonts w:ascii="Work Sans" w:hAnsi="Work Sans" w:cs="Times New Roman"/>
          <w:iCs/>
          <w:kern w:val="0"/>
          <w:sz w:val="20"/>
          <w:szCs w:val="20"/>
          <w:lang w:val="es-CO" w:eastAsia="es-CO" w:bidi="ar-SA"/>
        </w:rPr>
        <w:t>en la minuta del contrato de concesión del proceso VJ-VE-IP-LP-011-2013 y deberán ser ajustadas a la centena más cercana, con el fin de facilitar el recaudo por parte del concesionario. En todo caso dicho incremento no será inferior a cien ($100) pesos.</w:t>
      </w:r>
    </w:p>
    <w:p w:rsidR="007C5512" w:rsidRDefault="007C5512">
      <w:pPr>
        <w:jc w:val="both"/>
        <w:rPr>
          <w:rFonts w:ascii="Work Sans" w:hAnsi="Work Sans" w:cs="Arial"/>
          <w:b/>
          <w:sz w:val="20"/>
          <w:szCs w:val="20"/>
          <w:lang w:val="es-CO"/>
        </w:rPr>
      </w:pPr>
    </w:p>
    <w:p w:rsidR="007C5512" w:rsidRDefault="004D2C6B">
      <w:pPr>
        <w:jc w:val="both"/>
      </w:pPr>
      <w:r>
        <w:rPr>
          <w:rFonts w:ascii="Work Sans" w:hAnsi="Work Sans" w:cs="Arial"/>
          <w:b/>
          <w:sz w:val="20"/>
          <w:szCs w:val="20"/>
        </w:rPr>
        <w:t>A</w:t>
      </w:r>
      <w:r>
        <w:rPr>
          <w:rFonts w:ascii="Work Sans" w:hAnsi="Work Sans" w:cs="Arial"/>
          <w:b/>
          <w:sz w:val="20"/>
          <w:szCs w:val="20"/>
        </w:rPr>
        <w:t>RTÍCULO 4.</w:t>
      </w:r>
      <w:r>
        <w:rPr>
          <w:rFonts w:ascii="Work Sans" w:hAnsi="Work Sans" w:cs="Arial"/>
          <w:sz w:val="20"/>
          <w:szCs w:val="20"/>
        </w:rPr>
        <w:t>-</w:t>
      </w:r>
      <w:r>
        <w:rPr>
          <w:rFonts w:ascii="Work Sans" w:hAnsi="Work Sans"/>
          <w:i/>
          <w:iCs/>
          <w:sz w:val="20"/>
          <w:szCs w:val="20"/>
        </w:rPr>
        <w:t xml:space="preserve"> </w:t>
      </w:r>
      <w:r>
        <w:rPr>
          <w:rFonts w:ascii="Work Sans" w:hAnsi="Work Sans"/>
          <w:iCs/>
          <w:sz w:val="20"/>
          <w:szCs w:val="20"/>
        </w:rPr>
        <w:t>Establecer las siguientes tarifas diferenciales de manera temporal para las Categorías I y II en la estación de peaje Puerto Colombia ubicada en el PR93+600, por el término de dos (2) años, o hasta agotar la disponibilidad de recursos para aten</w:t>
      </w:r>
      <w:r>
        <w:rPr>
          <w:rFonts w:ascii="Work Sans" w:hAnsi="Work Sans"/>
          <w:iCs/>
          <w:sz w:val="20"/>
          <w:szCs w:val="20"/>
        </w:rPr>
        <w:t>der el diferencial tarifario por parte de la Agencia Nacional de Infraestructura, lo primero que ocurra:</w:t>
      </w:r>
    </w:p>
    <w:p w:rsidR="007C5512" w:rsidRDefault="007C5512">
      <w:pPr>
        <w:jc w:val="both"/>
        <w:rPr>
          <w:rFonts w:ascii="Work Sans" w:hAnsi="Work Sans" w:cs="Arial"/>
          <w:iCs/>
          <w:sz w:val="20"/>
          <w:szCs w:val="20"/>
        </w:rPr>
      </w:pPr>
    </w:p>
    <w:p w:rsidR="007C5512" w:rsidRDefault="004D2C6B">
      <w:pPr>
        <w:jc w:val="center"/>
        <w:rPr>
          <w:rFonts w:ascii="Work Sans" w:hAnsi="Work Sans" w:cs="Arial"/>
          <w:b/>
          <w:bCs/>
          <w:iCs/>
          <w:sz w:val="20"/>
          <w:szCs w:val="20"/>
        </w:rPr>
      </w:pPr>
      <w:r>
        <w:rPr>
          <w:rFonts w:ascii="Work Sans" w:hAnsi="Work Sans" w:cs="Arial"/>
          <w:b/>
          <w:bCs/>
          <w:iCs/>
          <w:sz w:val="20"/>
          <w:szCs w:val="20"/>
        </w:rPr>
        <w:t>PEAJE PUERTO COLOMBIA</w:t>
      </w:r>
    </w:p>
    <w:tbl>
      <w:tblPr>
        <w:tblW w:w="8642" w:type="dxa"/>
        <w:jc w:val="center"/>
        <w:tblCellMar>
          <w:left w:w="10" w:type="dxa"/>
          <w:right w:w="10" w:type="dxa"/>
        </w:tblCellMar>
        <w:tblLook w:val="0000" w:firstRow="0" w:lastRow="0" w:firstColumn="0" w:lastColumn="0" w:noHBand="0" w:noVBand="0"/>
      </w:tblPr>
      <w:tblGrid>
        <w:gridCol w:w="2972"/>
        <w:gridCol w:w="3402"/>
        <w:gridCol w:w="2268"/>
      </w:tblGrid>
      <w:tr w:rsidR="007C5512">
        <w:tblPrEx>
          <w:tblCellMar>
            <w:top w:w="0" w:type="dxa"/>
            <w:bottom w:w="0" w:type="dxa"/>
          </w:tblCellMar>
        </w:tblPrEx>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b/>
                <w:bCs/>
                <w:iCs/>
                <w:sz w:val="20"/>
                <w:szCs w:val="20"/>
              </w:rPr>
            </w:pPr>
            <w:r>
              <w:rPr>
                <w:rFonts w:ascii="Work Sans" w:hAnsi="Work Sans" w:cs="Arial"/>
                <w:b/>
                <w:bCs/>
                <w:iCs/>
                <w:sz w:val="20"/>
                <w:szCs w:val="20"/>
              </w:rPr>
              <w:t>Categoría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b/>
                <w:bCs/>
                <w:iCs/>
                <w:sz w:val="20"/>
                <w:szCs w:val="20"/>
              </w:rPr>
            </w:pPr>
            <w:r>
              <w:rPr>
                <w:rFonts w:ascii="Work Sans" w:hAnsi="Work Sans" w:cs="Arial"/>
                <w:b/>
                <w:bCs/>
                <w:iCs/>
                <w:sz w:val="20"/>
                <w:szCs w:val="20"/>
              </w:rPr>
              <w:t>Tarifas (Incluido valor FOSEVI)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b/>
                <w:bCs/>
                <w:iCs/>
                <w:sz w:val="20"/>
                <w:szCs w:val="20"/>
              </w:rPr>
            </w:pPr>
            <w:r>
              <w:rPr>
                <w:rFonts w:ascii="Work Sans" w:hAnsi="Work Sans" w:cs="Arial"/>
                <w:b/>
                <w:bCs/>
                <w:iCs/>
                <w:sz w:val="20"/>
                <w:szCs w:val="20"/>
              </w:rPr>
              <w:t>Cupos otorgados</w:t>
            </w:r>
          </w:p>
        </w:tc>
      </w:tr>
      <w:tr w:rsidR="007C5512">
        <w:tblPrEx>
          <w:tblCellMar>
            <w:top w:w="0" w:type="dxa"/>
            <w:bottom w:w="0" w:type="dxa"/>
          </w:tblCellMar>
        </w:tblPrEx>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Categoría 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$12.000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1.000</w:t>
            </w:r>
          </w:p>
        </w:tc>
      </w:tr>
      <w:tr w:rsidR="007C5512">
        <w:tblPrEx>
          <w:tblCellMar>
            <w:top w:w="0" w:type="dxa"/>
            <w:bottom w:w="0" w:type="dxa"/>
          </w:tblCellMar>
        </w:tblPrEx>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Categoría IIE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$18.100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12" w:rsidRDefault="004D2C6B">
            <w:pPr>
              <w:jc w:val="center"/>
              <w:textAlignment w:val="auto"/>
              <w:rPr>
                <w:rFonts w:ascii="Work Sans" w:hAnsi="Work Sans" w:cs="Arial"/>
                <w:iCs/>
                <w:sz w:val="20"/>
                <w:szCs w:val="20"/>
              </w:rPr>
            </w:pPr>
            <w:r>
              <w:rPr>
                <w:rFonts w:ascii="Work Sans" w:hAnsi="Work Sans" w:cs="Arial"/>
                <w:iCs/>
                <w:sz w:val="20"/>
                <w:szCs w:val="20"/>
              </w:rPr>
              <w:t>100</w:t>
            </w:r>
          </w:p>
        </w:tc>
      </w:tr>
    </w:tbl>
    <w:p w:rsidR="007C5512" w:rsidRDefault="007C5512">
      <w:pPr>
        <w:jc w:val="both"/>
        <w:rPr>
          <w:rFonts w:ascii="Work Sans" w:hAnsi="Work Sans" w:cs="Arial"/>
          <w:sz w:val="20"/>
          <w:szCs w:val="20"/>
          <w:lang w:eastAsia="es-CO"/>
        </w:rPr>
      </w:pPr>
    </w:p>
    <w:p w:rsidR="007C5512" w:rsidRDefault="004D2C6B">
      <w:pPr>
        <w:jc w:val="both"/>
      </w:pPr>
      <w:r>
        <w:rPr>
          <w:rFonts w:ascii="Work Sans" w:hAnsi="Work Sans"/>
          <w:b/>
          <w:iCs/>
          <w:sz w:val="20"/>
          <w:szCs w:val="20"/>
        </w:rPr>
        <w:t>Parágrafo 1.</w:t>
      </w:r>
      <w:r>
        <w:rPr>
          <w:rFonts w:ascii="Work Sans" w:hAnsi="Work Sans"/>
          <w:iCs/>
          <w:sz w:val="20"/>
          <w:szCs w:val="20"/>
        </w:rPr>
        <w:t xml:space="preserve"> </w:t>
      </w:r>
      <w:r>
        <w:rPr>
          <w:rFonts w:ascii="Work Sans" w:hAnsi="Work Sans"/>
          <w:iCs/>
          <w:sz w:val="20"/>
          <w:szCs w:val="20"/>
        </w:rPr>
        <w:t>En el evento de agotarse la disponibilidad de recursos para atender el diferencial tarifario la Agencia Nacional de Infraestructura deberá informar con antelación al Ministerio de Transporte para dar por terminadas las tarifas diferenciales otorgadas tempo</w:t>
      </w:r>
      <w:r>
        <w:rPr>
          <w:rFonts w:ascii="Work Sans" w:hAnsi="Work Sans"/>
          <w:iCs/>
          <w:sz w:val="20"/>
          <w:szCs w:val="20"/>
        </w:rPr>
        <w:t>ralmente en el presente acto administrativo.</w:t>
      </w:r>
    </w:p>
    <w:p w:rsidR="007C5512" w:rsidRDefault="007C5512">
      <w:pPr>
        <w:jc w:val="both"/>
        <w:rPr>
          <w:rFonts w:ascii="Work Sans" w:hAnsi="Work Sans"/>
          <w:iCs/>
          <w:sz w:val="20"/>
          <w:szCs w:val="20"/>
        </w:rPr>
      </w:pPr>
    </w:p>
    <w:p w:rsidR="007C5512" w:rsidRDefault="004D2C6B">
      <w:pPr>
        <w:jc w:val="both"/>
      </w:pPr>
      <w:r>
        <w:rPr>
          <w:rFonts w:ascii="Work Sans" w:hAnsi="Work Sans"/>
          <w:b/>
          <w:iCs/>
          <w:sz w:val="20"/>
          <w:szCs w:val="20"/>
        </w:rPr>
        <w:t>Parágrafo 2.</w:t>
      </w:r>
      <w:r>
        <w:rPr>
          <w:rFonts w:ascii="Work Sans" w:hAnsi="Work Sans"/>
          <w:iCs/>
          <w:sz w:val="20"/>
          <w:szCs w:val="20"/>
        </w:rPr>
        <w:t xml:space="preserve"> La tarifa de la Categoría IE prevista en el presente artículo aplica para los vehículos de servicio particular y de servicio público de residentes en los municipios de Puerto Colombia, Piojó, Juan </w:t>
      </w:r>
      <w:r>
        <w:rPr>
          <w:rFonts w:ascii="Work Sans" w:hAnsi="Work Sans"/>
          <w:iCs/>
          <w:sz w:val="20"/>
          <w:szCs w:val="20"/>
        </w:rPr>
        <w:t>de Acosta y Tubará.</w:t>
      </w:r>
    </w:p>
    <w:p w:rsidR="007C5512" w:rsidRDefault="007C5512">
      <w:pPr>
        <w:jc w:val="both"/>
        <w:rPr>
          <w:rFonts w:ascii="Work Sans" w:hAnsi="Work Sans"/>
          <w:iCs/>
          <w:sz w:val="20"/>
          <w:szCs w:val="20"/>
        </w:rPr>
      </w:pPr>
    </w:p>
    <w:p w:rsidR="007C5512" w:rsidRDefault="004D2C6B">
      <w:pPr>
        <w:jc w:val="both"/>
      </w:pPr>
      <w:r>
        <w:rPr>
          <w:rFonts w:ascii="Work Sans" w:hAnsi="Work Sans"/>
          <w:b/>
          <w:iCs/>
          <w:sz w:val="20"/>
          <w:szCs w:val="20"/>
        </w:rPr>
        <w:t xml:space="preserve">Parágrafo 3. </w:t>
      </w:r>
      <w:r>
        <w:rPr>
          <w:rFonts w:ascii="Work Sans" w:hAnsi="Work Sans"/>
          <w:iCs/>
          <w:sz w:val="20"/>
          <w:szCs w:val="20"/>
        </w:rPr>
        <w:t xml:space="preserve">Las tarifas de la Categoría IIE </w:t>
      </w:r>
      <w:proofErr w:type="gramStart"/>
      <w:r>
        <w:rPr>
          <w:rFonts w:ascii="Work Sans" w:hAnsi="Work Sans"/>
          <w:iCs/>
          <w:sz w:val="20"/>
          <w:szCs w:val="20"/>
        </w:rPr>
        <w:t>aplica</w:t>
      </w:r>
      <w:proofErr w:type="gramEnd"/>
      <w:r>
        <w:rPr>
          <w:rFonts w:ascii="Work Sans" w:hAnsi="Work Sans"/>
          <w:iCs/>
          <w:sz w:val="20"/>
          <w:szCs w:val="20"/>
        </w:rPr>
        <w:t xml:space="preserve"> para los vehículos vinculados a empresas de transporte habilitadas para prestar el servicio público de transporte terrestre automotor de pasajeros en los municipios de Puerto Colombia</w:t>
      </w:r>
      <w:r>
        <w:rPr>
          <w:rFonts w:ascii="Work Sans" w:hAnsi="Work Sans"/>
          <w:iCs/>
          <w:sz w:val="20"/>
          <w:szCs w:val="20"/>
        </w:rPr>
        <w:t>, Piojó, Juan de Acosta y Tubará.</w:t>
      </w:r>
    </w:p>
    <w:p w:rsidR="007C5512" w:rsidRDefault="004D2C6B">
      <w:pPr>
        <w:jc w:val="both"/>
        <w:rPr>
          <w:rFonts w:ascii="Work Sans" w:hAnsi="Work Sans"/>
          <w:iCs/>
          <w:sz w:val="20"/>
          <w:szCs w:val="20"/>
        </w:rPr>
      </w:pPr>
      <w:r>
        <w:rPr>
          <w:rFonts w:ascii="Work Sans" w:hAnsi="Work Sans"/>
          <w:iCs/>
          <w:sz w:val="20"/>
          <w:szCs w:val="20"/>
        </w:rPr>
        <w:lastRenderedPageBreak/>
        <w:t xml:space="preserve"> </w:t>
      </w:r>
    </w:p>
    <w:p w:rsidR="007C5512" w:rsidRDefault="004D2C6B">
      <w:pPr>
        <w:jc w:val="both"/>
      </w:pPr>
      <w:r>
        <w:rPr>
          <w:rFonts w:ascii="Work Sans" w:hAnsi="Work Sans"/>
          <w:b/>
          <w:iCs/>
          <w:sz w:val="20"/>
          <w:szCs w:val="20"/>
        </w:rPr>
        <w:t>Parágrafo 4.</w:t>
      </w:r>
      <w:r>
        <w:rPr>
          <w:rFonts w:ascii="Work Sans" w:hAnsi="Work Sans"/>
          <w:iCs/>
          <w:sz w:val="20"/>
          <w:szCs w:val="20"/>
        </w:rPr>
        <w:t xml:space="preserve"> Las tarifas previstas en el presente artículo aplican para mil cien (1.100) cupos por paso bidireccional en el peaje Puerto Colombia.</w:t>
      </w:r>
    </w:p>
    <w:p w:rsidR="007C5512" w:rsidRDefault="007C5512">
      <w:pPr>
        <w:jc w:val="both"/>
        <w:rPr>
          <w:rFonts w:ascii="Work Sans" w:hAnsi="Work Sans"/>
          <w:iCs/>
          <w:sz w:val="20"/>
          <w:szCs w:val="20"/>
        </w:rPr>
      </w:pPr>
    </w:p>
    <w:p w:rsidR="007C5512" w:rsidRDefault="004D2C6B">
      <w:pPr>
        <w:jc w:val="both"/>
      </w:pPr>
      <w:r>
        <w:rPr>
          <w:rFonts w:ascii="Work Sans" w:hAnsi="Work Sans"/>
          <w:b/>
          <w:iCs/>
          <w:sz w:val="20"/>
          <w:szCs w:val="20"/>
        </w:rPr>
        <w:t>Parágrafo 5.</w:t>
      </w:r>
      <w:r>
        <w:rPr>
          <w:rFonts w:ascii="Work Sans" w:hAnsi="Work Sans"/>
          <w:iCs/>
          <w:sz w:val="20"/>
          <w:szCs w:val="20"/>
        </w:rPr>
        <w:t xml:space="preserve"> Las tarifas previstas en el presente artículo se actualizar</w:t>
      </w:r>
      <w:r>
        <w:rPr>
          <w:rFonts w:ascii="Work Sans" w:hAnsi="Work Sans"/>
          <w:iCs/>
          <w:sz w:val="20"/>
          <w:szCs w:val="20"/>
        </w:rPr>
        <w:t>án para el año 2022 y 2023 de acuerdo con lo establecido en el contrato de concesión y deberán ser ajustadas a la centena más cercana.</w:t>
      </w:r>
      <w:bookmarkEnd w:id="2"/>
    </w:p>
    <w:p w:rsidR="007C5512" w:rsidRDefault="007C5512">
      <w:pPr>
        <w:jc w:val="both"/>
        <w:rPr>
          <w:rFonts w:ascii="Work Sans" w:hAnsi="Work Sans"/>
          <w:iCs/>
          <w:sz w:val="20"/>
          <w:szCs w:val="20"/>
        </w:rPr>
      </w:pPr>
    </w:p>
    <w:p w:rsidR="007C5512" w:rsidRDefault="004D2C6B">
      <w:pPr>
        <w:jc w:val="both"/>
      </w:pPr>
      <w:r>
        <w:rPr>
          <w:rFonts w:ascii="Work Sans" w:hAnsi="Work Sans" w:cs="Arial"/>
          <w:b/>
          <w:sz w:val="20"/>
          <w:szCs w:val="20"/>
        </w:rPr>
        <w:t>ARTÍCULO 5.-</w:t>
      </w:r>
      <w:r>
        <w:rPr>
          <w:rFonts w:ascii="Work Sans" w:hAnsi="Work Sans" w:cs="Times New Roman"/>
          <w:color w:val="000000"/>
          <w:sz w:val="20"/>
          <w:szCs w:val="20"/>
          <w:lang w:eastAsia="es-CO"/>
        </w:rPr>
        <w:t xml:space="preserve"> La Agencia Nacional de Infraestructura fijará los requisitos para acreditar la calidad de beneficiario, el </w:t>
      </w:r>
      <w:r>
        <w:rPr>
          <w:rFonts w:ascii="Work Sans" w:hAnsi="Work Sans" w:cs="Times New Roman"/>
          <w:color w:val="000000"/>
          <w:sz w:val="20"/>
          <w:szCs w:val="20"/>
          <w:lang w:eastAsia="es-CO"/>
        </w:rPr>
        <w:t>procedimiento para acceder al beneficio y las causales de pérdida del beneficio de las tarifas diferenciales establecidas en la presente resolución.</w:t>
      </w:r>
    </w:p>
    <w:p w:rsidR="007C5512" w:rsidRDefault="007C5512">
      <w:pPr>
        <w:jc w:val="both"/>
        <w:rPr>
          <w:rFonts w:ascii="Work Sans" w:hAnsi="Work Sans" w:cs="Arial"/>
          <w:b/>
          <w:sz w:val="20"/>
          <w:szCs w:val="20"/>
        </w:rPr>
      </w:pPr>
    </w:p>
    <w:p w:rsidR="007C5512" w:rsidRDefault="004D2C6B">
      <w:pPr>
        <w:jc w:val="both"/>
      </w:pPr>
      <w:r>
        <w:rPr>
          <w:rFonts w:ascii="Work Sans" w:hAnsi="Work Sans" w:cs="Arial"/>
          <w:b/>
          <w:sz w:val="20"/>
          <w:szCs w:val="20"/>
        </w:rPr>
        <w:t>ARTÍCULO 6.-</w:t>
      </w:r>
      <w:r>
        <w:rPr>
          <w:rFonts w:ascii="Work Sans" w:hAnsi="Work Sans" w:cs="Arial"/>
          <w:sz w:val="20"/>
          <w:szCs w:val="20"/>
        </w:rPr>
        <w:t xml:space="preserve">  </w:t>
      </w:r>
      <w:r>
        <w:rPr>
          <w:rFonts w:ascii="Work Sans" w:hAnsi="Work Sans" w:cs="Arial"/>
          <w:sz w:val="20"/>
          <w:szCs w:val="20"/>
          <w:lang w:eastAsia="es-CO"/>
        </w:rPr>
        <w:t>La presente resolución rige a partir de la fecha de su publicación y modifica en lo pertinen</w:t>
      </w:r>
      <w:r>
        <w:rPr>
          <w:rFonts w:ascii="Work Sans" w:hAnsi="Work Sans" w:cs="Arial"/>
          <w:sz w:val="20"/>
          <w:szCs w:val="20"/>
          <w:lang w:eastAsia="es-CO"/>
        </w:rPr>
        <w:t xml:space="preserve">te el artículo  2° y 3° de la Resolución 0001378 del 2014 y deroga la Resolución </w:t>
      </w:r>
      <w:r>
        <w:rPr>
          <w:rFonts w:ascii="Work Sans" w:hAnsi="Work Sans" w:cs="Times New Roman"/>
          <w:bCs/>
          <w:color w:val="000000"/>
          <w:sz w:val="20"/>
          <w:szCs w:val="20"/>
          <w:lang w:eastAsia="es-CO"/>
        </w:rPr>
        <w:t>20213040003285 del 28 de enero de 2021, del Ministerio de Transporte.</w:t>
      </w:r>
      <w:r>
        <w:rPr>
          <w:rFonts w:ascii="Work Sans" w:hAnsi="Work Sans" w:cs="Arial"/>
          <w:sz w:val="20"/>
          <w:szCs w:val="20"/>
          <w:lang w:eastAsia="es-CO"/>
        </w:rPr>
        <w:t xml:space="preserve"> </w:t>
      </w:r>
    </w:p>
    <w:p w:rsidR="007C5512" w:rsidRDefault="007C5512">
      <w:pPr>
        <w:jc w:val="both"/>
        <w:rPr>
          <w:rFonts w:ascii="Work Sans" w:hAnsi="Work Sans" w:cs="Arial"/>
          <w:sz w:val="20"/>
          <w:szCs w:val="20"/>
          <w:lang w:eastAsia="es-CO"/>
        </w:rPr>
      </w:pPr>
    </w:p>
    <w:p w:rsidR="007C5512" w:rsidRDefault="007C5512">
      <w:pPr>
        <w:jc w:val="both"/>
        <w:rPr>
          <w:rFonts w:ascii="Work Sans" w:hAnsi="Work Sans"/>
          <w:sz w:val="20"/>
          <w:szCs w:val="20"/>
        </w:rPr>
      </w:pPr>
    </w:p>
    <w:p w:rsidR="007C5512" w:rsidRDefault="004D2C6B">
      <w:pPr>
        <w:widowControl/>
        <w:jc w:val="center"/>
        <w:textAlignment w:val="auto"/>
        <w:rPr>
          <w:rFonts w:ascii="Work Sans" w:hAnsi="Work Sans" w:cs="Arial"/>
          <w:b/>
          <w:kern w:val="0"/>
          <w:sz w:val="20"/>
          <w:szCs w:val="20"/>
          <w:lang w:val="es-CO" w:eastAsia="en-US" w:bidi="ar-SA"/>
        </w:rPr>
      </w:pPr>
      <w:r>
        <w:rPr>
          <w:rFonts w:ascii="Work Sans" w:hAnsi="Work Sans" w:cs="Arial"/>
          <w:b/>
          <w:kern w:val="0"/>
          <w:sz w:val="20"/>
          <w:szCs w:val="20"/>
          <w:lang w:val="es-CO" w:eastAsia="en-US" w:bidi="ar-SA"/>
        </w:rPr>
        <w:t>PUBLIQUESE Y CUMPLASE</w:t>
      </w:r>
    </w:p>
    <w:p w:rsidR="007C5512" w:rsidRDefault="007C5512">
      <w:pPr>
        <w:widowControl/>
        <w:jc w:val="center"/>
        <w:textAlignment w:val="auto"/>
        <w:rPr>
          <w:rFonts w:ascii="Work Sans" w:hAnsi="Work Sans" w:cs="Arial"/>
          <w:kern w:val="0"/>
          <w:sz w:val="20"/>
          <w:szCs w:val="20"/>
          <w:lang w:val="es-CO" w:eastAsia="en-US" w:bidi="ar-SA"/>
        </w:rPr>
      </w:pPr>
    </w:p>
    <w:p w:rsidR="007C5512" w:rsidRDefault="007C5512">
      <w:pPr>
        <w:widowControl/>
        <w:jc w:val="center"/>
        <w:textAlignment w:val="auto"/>
        <w:rPr>
          <w:rFonts w:ascii="Work Sans" w:hAnsi="Work Sans" w:cs="Arial"/>
          <w:kern w:val="0"/>
          <w:sz w:val="20"/>
          <w:szCs w:val="20"/>
          <w:lang w:val="es-CO" w:eastAsia="en-US" w:bidi="ar-SA"/>
        </w:rPr>
      </w:pPr>
    </w:p>
    <w:p w:rsidR="007C5512" w:rsidRDefault="007C5512">
      <w:pPr>
        <w:widowControl/>
        <w:jc w:val="center"/>
        <w:textAlignment w:val="auto"/>
        <w:rPr>
          <w:rFonts w:ascii="Work Sans" w:hAnsi="Work Sans" w:cs="Arial"/>
          <w:kern w:val="0"/>
          <w:sz w:val="20"/>
          <w:szCs w:val="20"/>
          <w:lang w:val="es-CO" w:eastAsia="en-US" w:bidi="ar-SA"/>
        </w:rPr>
      </w:pPr>
    </w:p>
    <w:p w:rsidR="007C5512" w:rsidRDefault="007C5512">
      <w:pPr>
        <w:widowControl/>
        <w:jc w:val="center"/>
        <w:textAlignment w:val="auto"/>
        <w:rPr>
          <w:rFonts w:ascii="Work Sans" w:hAnsi="Work Sans" w:cs="Arial"/>
          <w:kern w:val="0"/>
          <w:sz w:val="20"/>
          <w:szCs w:val="20"/>
          <w:lang w:val="es-CO" w:eastAsia="en-US" w:bidi="ar-SA"/>
        </w:rPr>
      </w:pPr>
    </w:p>
    <w:p w:rsidR="007C5512" w:rsidRDefault="007C5512">
      <w:pPr>
        <w:widowControl/>
        <w:jc w:val="center"/>
        <w:textAlignment w:val="auto"/>
        <w:rPr>
          <w:rFonts w:ascii="Work Sans" w:hAnsi="Work Sans" w:cs="Arial"/>
          <w:kern w:val="0"/>
          <w:sz w:val="20"/>
          <w:szCs w:val="20"/>
          <w:lang w:val="es-CO" w:eastAsia="en-US" w:bidi="ar-SA"/>
        </w:rPr>
      </w:pPr>
    </w:p>
    <w:p w:rsidR="007C5512" w:rsidRDefault="007C5512">
      <w:pPr>
        <w:widowControl/>
        <w:jc w:val="center"/>
        <w:textAlignment w:val="auto"/>
        <w:rPr>
          <w:rFonts w:ascii="Work Sans" w:hAnsi="Work Sans" w:cs="Arial"/>
          <w:kern w:val="0"/>
          <w:sz w:val="20"/>
          <w:szCs w:val="20"/>
          <w:lang w:val="es-CO" w:eastAsia="en-US" w:bidi="ar-SA"/>
        </w:rPr>
      </w:pPr>
    </w:p>
    <w:p w:rsidR="007C5512" w:rsidRDefault="004D2C6B">
      <w:pPr>
        <w:widowControl/>
        <w:jc w:val="center"/>
        <w:textAlignment w:val="auto"/>
        <w:rPr>
          <w:rFonts w:ascii="Work Sans" w:hAnsi="Work Sans" w:cs="Arial"/>
          <w:sz w:val="21"/>
          <w:szCs w:val="21"/>
          <w:lang w:val="es-CO"/>
        </w:rPr>
      </w:pPr>
      <w:r>
        <w:rPr>
          <w:rFonts w:ascii="Work Sans" w:hAnsi="Work Sans" w:cs="Arial"/>
          <w:sz w:val="21"/>
          <w:szCs w:val="21"/>
          <w:lang w:val="es-CO"/>
        </w:rPr>
        <w:t>${firma}</w:t>
      </w:r>
    </w:p>
    <w:p w:rsidR="007C5512" w:rsidRDefault="007C5512">
      <w:pPr>
        <w:widowControl/>
        <w:jc w:val="center"/>
        <w:textAlignment w:val="auto"/>
        <w:rPr>
          <w:rFonts w:ascii="Work Sans" w:hAnsi="Work Sans" w:cs="Arial"/>
          <w:kern w:val="0"/>
          <w:sz w:val="20"/>
          <w:szCs w:val="20"/>
          <w:lang w:val="es-CO" w:eastAsia="en-US" w:bidi="ar-SA"/>
        </w:rPr>
      </w:pPr>
    </w:p>
    <w:p w:rsidR="007C5512" w:rsidRDefault="004D2C6B">
      <w:pPr>
        <w:pStyle w:val="Ttulo1"/>
        <w:ind w:right="-1"/>
        <w:rPr>
          <w:rFonts w:ascii="Work Sans" w:hAnsi="Work Sans"/>
          <w:sz w:val="20"/>
        </w:rPr>
      </w:pPr>
      <w:r>
        <w:rPr>
          <w:rFonts w:ascii="Work Sans" w:hAnsi="Work Sans"/>
          <w:sz w:val="20"/>
        </w:rPr>
        <w:t>ANGELA MARÍA OROZCO GÓMEZ</w:t>
      </w:r>
    </w:p>
    <w:p w:rsidR="007C5512" w:rsidRDefault="007C5512">
      <w:pPr>
        <w:pStyle w:val="Standard"/>
        <w:rPr>
          <w:rFonts w:ascii="Work Sans" w:hAnsi="Work Sans"/>
        </w:rPr>
      </w:pPr>
    </w:p>
    <w:p w:rsidR="007C5512" w:rsidRDefault="007C5512">
      <w:pPr>
        <w:pStyle w:val="Standard"/>
        <w:rPr>
          <w:rFonts w:ascii="Work Sans" w:hAnsi="Work Sans"/>
          <w:sz w:val="12"/>
          <w:szCs w:val="12"/>
        </w:rPr>
      </w:pPr>
    </w:p>
    <w:p w:rsidR="007C5512" w:rsidRDefault="004D2C6B">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w:t>
      </w:r>
      <w:r>
        <w:rPr>
          <w:rFonts w:ascii="Work Sans" w:hAnsi="Work Sans" w:cs="Arial"/>
          <w:sz w:val="12"/>
          <w:szCs w:val="12"/>
          <w:lang w:eastAsia="es-CO"/>
        </w:rPr>
        <w:t>Presidente Agencia Nacional de Infraestructura</w:t>
      </w:r>
    </w:p>
    <w:p w:rsidR="007C5512" w:rsidRDefault="004D2C6B">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de Transporte</w:t>
      </w:r>
    </w:p>
    <w:p w:rsidR="007C5512" w:rsidRDefault="004D2C6B">
      <w:pPr>
        <w:jc w:val="both"/>
        <w:rPr>
          <w:rFonts w:ascii="Work Sans" w:hAnsi="Work Sans" w:cs="Arial"/>
          <w:sz w:val="12"/>
          <w:szCs w:val="12"/>
          <w:lang w:eastAsia="es-CO"/>
        </w:rPr>
      </w:pPr>
      <w:bookmarkStart w:id="4" w:name="_Hlk512429908"/>
      <w:r>
        <w:rPr>
          <w:rFonts w:ascii="Work Sans" w:hAnsi="Work Sans" w:cs="Arial"/>
          <w:sz w:val="12"/>
          <w:szCs w:val="12"/>
          <w:lang w:eastAsia="es-CO"/>
        </w:rPr>
        <w:t xml:space="preserve">Fernando Ramírez Laguado- Vicepresidente Jurídico, Agencia Nacional de Infraestructura </w:t>
      </w:r>
    </w:p>
    <w:bookmarkEnd w:id="4"/>
    <w:p w:rsidR="007C5512" w:rsidRDefault="004D2C6B">
      <w:pPr>
        <w:rPr>
          <w:rFonts w:ascii="Work Sans" w:hAnsi="Work Sans" w:cs="Arial"/>
          <w:sz w:val="12"/>
          <w:szCs w:val="12"/>
          <w:lang w:eastAsia="es-CO"/>
        </w:rPr>
      </w:pPr>
      <w:r>
        <w:rPr>
          <w:rFonts w:ascii="Work Sans" w:hAnsi="Work Sans" w:cs="Arial"/>
          <w:sz w:val="12"/>
          <w:szCs w:val="12"/>
          <w:lang w:eastAsia="es-CO"/>
        </w:rPr>
        <w:t>Beatriz Helena García Guzmán – Jefe Oficina Asesora</w:t>
      </w:r>
      <w:r>
        <w:rPr>
          <w:rFonts w:ascii="Work Sans" w:hAnsi="Work Sans" w:cs="Arial"/>
          <w:sz w:val="12"/>
          <w:szCs w:val="12"/>
          <w:lang w:eastAsia="es-CO"/>
        </w:rPr>
        <w:t xml:space="preserve"> de Jurídica, Ministerio de Transporte</w:t>
      </w:r>
    </w:p>
    <w:p w:rsidR="007C5512" w:rsidRDefault="004D2C6B">
      <w:pPr>
        <w:widowControl/>
        <w:rPr>
          <w:rFonts w:ascii="Work Sans" w:hAnsi="Work Sans" w:cs="Arial"/>
          <w:sz w:val="12"/>
          <w:szCs w:val="12"/>
          <w:lang w:eastAsia="es-CO"/>
        </w:rPr>
      </w:pPr>
      <w:r>
        <w:rPr>
          <w:rFonts w:ascii="Work Sans" w:hAnsi="Work Sans" w:cs="Arial"/>
          <w:sz w:val="12"/>
          <w:szCs w:val="12"/>
          <w:lang w:eastAsia="es-CO"/>
        </w:rPr>
        <w:t>Ángela María Acosta – Jefe de Oficina de Regulación Económica, Ministerio de Transporte</w:t>
      </w:r>
    </w:p>
    <w:p w:rsidR="007C5512" w:rsidRDefault="004D2C6B">
      <w:pPr>
        <w:widowControl/>
      </w:pPr>
      <w:r>
        <w:rPr>
          <w:rFonts w:ascii="Work Sans" w:hAnsi="Work Sans" w:cs="Arial"/>
          <w:sz w:val="12"/>
          <w:szCs w:val="12"/>
          <w:lang w:val="es-MX" w:bidi="ar-SA"/>
        </w:rPr>
        <w:t xml:space="preserve">Claudia Patricia Roa Orjuela- Asesora </w:t>
      </w:r>
      <w:r>
        <w:rPr>
          <w:rFonts w:ascii="Work Sans" w:hAnsi="Work Sans" w:cs="Arial"/>
          <w:sz w:val="12"/>
          <w:szCs w:val="12"/>
          <w:lang w:eastAsia="es-CO"/>
        </w:rPr>
        <w:t>Oficina Asesora de Jurídica, Ministerio de Transporte</w:t>
      </w:r>
    </w:p>
    <w:p w:rsidR="007C5512" w:rsidRDefault="004D2C6B">
      <w:pPr>
        <w:widowControl/>
        <w:ind w:left="709" w:hanging="709"/>
        <w:textAlignment w:val="auto"/>
      </w:pPr>
      <w:r>
        <w:rPr>
          <w:rFonts w:ascii="Work Sans" w:hAnsi="Work Sans" w:cs="Arial"/>
          <w:sz w:val="12"/>
          <w:szCs w:val="12"/>
          <w:lang w:eastAsia="es-CO"/>
        </w:rPr>
        <w:t>Magda Paola Suárez Alejo – Abogada Gr</w:t>
      </w:r>
      <w:r>
        <w:rPr>
          <w:rFonts w:ascii="Work Sans" w:hAnsi="Work Sans" w:cs="Arial"/>
          <w:sz w:val="12"/>
          <w:szCs w:val="12"/>
          <w:lang w:eastAsia="es-CO"/>
        </w:rPr>
        <w:t>upo de Conceptos, Ministerio de Transporte</w:t>
      </w:r>
    </w:p>
    <w:p w:rsidR="007C5512" w:rsidRDefault="007C5512">
      <w:pPr>
        <w:pStyle w:val="Standard"/>
        <w:jc w:val="center"/>
        <w:rPr>
          <w:rFonts w:ascii="Work Sans" w:hAnsi="Work Sans"/>
          <w:sz w:val="22"/>
          <w:szCs w:val="22"/>
        </w:rPr>
      </w:pPr>
    </w:p>
    <w:sectPr w:rsidR="007C5512">
      <w:headerReference w:type="default" r:id="rId10"/>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6B" w:rsidRDefault="004D2C6B">
      <w:r>
        <w:separator/>
      </w:r>
    </w:p>
  </w:endnote>
  <w:endnote w:type="continuationSeparator" w:id="0">
    <w:p w:rsidR="004D2C6B" w:rsidRDefault="004D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3" w:usb1="00000000" w:usb2="00000000" w:usb3="00000000" w:csb0="00000001" w:csb1="00000000"/>
  </w:font>
  <w:font w:name="Lohit Devanagari">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ork Sans">
    <w:altName w:val="Calibri"/>
    <w:panose1 w:val="00000500000000000000"/>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jaVuSans">
    <w:charset w:val="00"/>
    <w:family w:val="auto"/>
    <w:pitch w:val="default"/>
    <w:sig w:usb0="00000003" w:usb1="00000000" w:usb2="00000000" w:usb3="00000000" w:csb0="00000001" w:csb1="00000000"/>
  </w:font>
  <w:font w:name="Code3of9">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6B" w:rsidRDefault="004D2C6B">
      <w:r>
        <w:rPr>
          <w:color w:val="000000"/>
        </w:rPr>
        <w:separator/>
      </w:r>
    </w:p>
  </w:footnote>
  <w:footnote w:type="continuationSeparator" w:id="0">
    <w:p w:rsidR="004D2C6B" w:rsidRDefault="004D2C6B">
      <w:r>
        <w:continuationSeparator/>
      </w:r>
    </w:p>
  </w:footnote>
  <w:footnote w:id="1">
    <w:p w:rsidR="007C5512" w:rsidRDefault="004D2C6B">
      <w:pPr>
        <w:pStyle w:val="Textonotapie"/>
      </w:pPr>
      <w:r>
        <w:rPr>
          <w:rStyle w:val="Refdenotaalpie"/>
        </w:rPr>
        <w:footnoteRef/>
      </w:r>
      <w:r>
        <w:t xml:space="preserve"> </w:t>
      </w:r>
      <w:r>
        <w:rPr>
          <w:rFonts w:ascii="Arial Narrow" w:hAnsi="Arial Narrow" w:cs="Arial"/>
        </w:rPr>
        <w:t xml:space="preserve">De conformidad con lo dispuesto en la Sección 4.2 (a) (i) de la Parte Especial del Contrato de Concesión No. 004 de 2014. </w:t>
      </w:r>
    </w:p>
  </w:footnote>
  <w:footnote w:id="2">
    <w:p w:rsidR="007C5512" w:rsidRDefault="004D2C6B">
      <w:pPr>
        <w:pStyle w:val="Textonotapie"/>
      </w:pPr>
      <w:r>
        <w:rPr>
          <w:rStyle w:val="Refdenotaalpie"/>
        </w:rPr>
        <w:footnoteRef/>
      </w:r>
      <w:r>
        <w:t xml:space="preserve"> </w:t>
      </w:r>
      <w:r>
        <w:rPr>
          <w:rFonts w:ascii="Arial Narrow" w:hAnsi="Arial Narrow" w:cs="Arial"/>
        </w:rPr>
        <w:t>Estadística de Tráfico y Recaudo reportado en Aniscopio mediante formato SIAC-7 avalado por la inter</w:t>
      </w:r>
      <w:r>
        <w:rPr>
          <w:rFonts w:ascii="Arial Narrow" w:hAnsi="Arial Narrow" w:cs="Arial"/>
        </w:rPr>
        <w:t>ventoría, https://anionline- my.sharepoint.com/:x:/r/personal/cdatosani01_ani_gov_co/_layouts/15/Doc.aspx?sourcedoc=%7BD41ACF3C-4223-462A-A663-806516D7C62C%7D&amp;file=Resumen%20Mensual%20por%20estaci%C3%B3n%20de%20Peaje%20de%20Tr%C3%A1fico%2C%20TPD%20y%20Reca</w:t>
      </w:r>
      <w:r>
        <w:rPr>
          <w:rFonts w:ascii="Arial Narrow" w:hAnsi="Arial Narrow" w:cs="Arial"/>
        </w:rPr>
        <w:t xml:space="preserve">udo%202014%20a%20agosto%202021.xlsx&amp;action=default&amp;mobileredirect=true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4" w:rsidRDefault="004D2C6B">
    <w:r>
      <w:rPr>
        <w:noProof/>
        <w:lang w:val="es-CO" w:eastAsia="es-CO" w:bidi="ar-SA"/>
      </w:rPr>
      <w:drawing>
        <wp:inline distT="0" distB="0" distL="0" distR="0">
          <wp:extent cx="2164083" cy="320040"/>
          <wp:effectExtent l="0" t="0" r="7617" b="381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rsidR="003714D4" w:rsidRDefault="004D2C6B">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3714D4" w:rsidRDefault="004D2C6B">
    <w:pPr>
      <w:pStyle w:val="Encabezado"/>
      <w:jc w:val="center"/>
    </w:pPr>
    <w:proofErr w:type="gramStart"/>
    <w:r>
      <w:rPr>
        <w:rFonts w:ascii="Work Sans" w:hAnsi="Work Sans"/>
        <w:sz w:val="20"/>
      </w:rPr>
      <w:t>de</w:t>
    </w:r>
    <w:proofErr w:type="gramEnd"/>
    <w:r>
      <w:rPr>
        <w:rFonts w:ascii="Work Sans" w:hAnsi="Work Sans"/>
        <w:sz w:val="20"/>
      </w:rPr>
      <w:t xml:space="preserve"> </w:t>
    </w:r>
    <w:r>
      <w:rPr>
        <w:rFonts w:ascii="Work Sans" w:hAnsi="Work Sans" w:cs="Arial"/>
        <w:sz w:val="20"/>
        <w:lang w:val="es-CO"/>
      </w:rPr>
      <w:t>*F_RAD_S*</w:t>
    </w:r>
  </w:p>
  <w:p w:rsidR="003714D4" w:rsidRDefault="004D2C6B">
    <w:pPr>
      <w:pStyle w:val="Encabezado"/>
      <w:jc w:val="center"/>
      <w:rPr>
        <w:rFonts w:ascii="Code3of9" w:hAnsi="Code3of9" w:cs="Tahoma"/>
        <w:sz w:val="36"/>
        <w:szCs w:val="40"/>
      </w:rPr>
    </w:pPr>
    <w:r>
      <w:rPr>
        <w:rFonts w:ascii="Code3of9" w:hAnsi="Code3of9" w:cs="Tahoma"/>
        <w:sz w:val="36"/>
        <w:szCs w:val="40"/>
      </w:rPr>
      <w:t>**RAD_S**</w:t>
    </w:r>
  </w:p>
  <w:p w:rsidR="003714D4" w:rsidRDefault="004D2C6B">
    <w:pPr>
      <w:pStyle w:val="Encabezado"/>
      <w:jc w:val="center"/>
      <w:rPr>
        <w:rFonts w:ascii="Code3of9" w:hAnsi="Code3of9" w:cs="Tahoma"/>
        <w:sz w:val="36"/>
        <w:szCs w:val="40"/>
      </w:rPr>
    </w:pPr>
  </w:p>
  <w:p w:rsidR="003714D4" w:rsidRDefault="004D2C6B">
    <w:pPr>
      <w:jc w:val="center"/>
    </w:pPr>
    <w:r>
      <w:rPr>
        <w:rFonts w:ascii="Work Sans" w:hAnsi="Work Sans" w:cs="Arial"/>
        <w:sz w:val="20"/>
        <w:szCs w:val="20"/>
      </w:rPr>
      <w:t>“</w:t>
    </w:r>
    <w:r>
      <w:rPr>
        <w:rFonts w:ascii="Work Sans" w:hAnsi="Work Sans" w:cs="Arial"/>
        <w:i/>
        <w:sz w:val="20"/>
        <w:szCs w:val="20"/>
      </w:rPr>
      <w:t xml:space="preserve">Por la cual se modifica la Resolución 1378 de 2014 del </w:t>
    </w:r>
    <w:r>
      <w:rPr>
        <w:rFonts w:ascii="Work Sans" w:hAnsi="Work Sans" w:cs="Arial"/>
        <w:i/>
        <w:sz w:val="20"/>
        <w:szCs w:val="20"/>
      </w:rPr>
      <w:t>Ministerio de Transporte y se establecen tarifas diferenciales en la estación de peaje Puerto Colombia, del  Proyecto Cartagena - Barranquilla y Circunvalar de la Prosperidad</w:t>
    </w:r>
    <w:r>
      <w:rPr>
        <w:rFonts w:ascii="Work Sans" w:hAnsi="Work Sans" w:cs="Arial"/>
        <w:sz w:val="20"/>
        <w:szCs w:val="20"/>
      </w:rPr>
      <w:t>”</w:t>
    </w:r>
  </w:p>
  <w:p w:rsidR="003714D4" w:rsidRDefault="004D2C6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7021"/>
    <w:multiLevelType w:val="multilevel"/>
    <w:tmpl w:val="FCCCE3A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D14770D"/>
    <w:multiLevelType w:val="multilevel"/>
    <w:tmpl w:val="FC0ACCB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E9350BE"/>
    <w:multiLevelType w:val="multilevel"/>
    <w:tmpl w:val="AB820AE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BEF6153"/>
    <w:multiLevelType w:val="multilevel"/>
    <w:tmpl w:val="CC3C967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22DA4EF0"/>
    <w:multiLevelType w:val="multilevel"/>
    <w:tmpl w:val="3E247D26"/>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28852258"/>
    <w:multiLevelType w:val="multilevel"/>
    <w:tmpl w:val="9DF2B6C4"/>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2B0E7E30"/>
    <w:multiLevelType w:val="multilevel"/>
    <w:tmpl w:val="A5ECD2E8"/>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AFF79EC"/>
    <w:multiLevelType w:val="multilevel"/>
    <w:tmpl w:val="3A9E077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452158C1"/>
    <w:multiLevelType w:val="multilevel"/>
    <w:tmpl w:val="59962BE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48D839AE"/>
    <w:multiLevelType w:val="multilevel"/>
    <w:tmpl w:val="0A20D85A"/>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49201062"/>
    <w:multiLevelType w:val="multilevel"/>
    <w:tmpl w:val="725CCE1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4AC53D62"/>
    <w:multiLevelType w:val="multilevel"/>
    <w:tmpl w:val="562C321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F106900"/>
    <w:multiLevelType w:val="multilevel"/>
    <w:tmpl w:val="CDEEC4C8"/>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57547EF6"/>
    <w:multiLevelType w:val="multilevel"/>
    <w:tmpl w:val="0A4E913E"/>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590560C4"/>
    <w:multiLevelType w:val="multilevel"/>
    <w:tmpl w:val="FEBADCD8"/>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BE51F88"/>
    <w:multiLevelType w:val="multilevel"/>
    <w:tmpl w:val="BE8EFB54"/>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5E193514"/>
    <w:multiLevelType w:val="multilevel"/>
    <w:tmpl w:val="137A9FA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B7E17C3"/>
    <w:multiLevelType w:val="multilevel"/>
    <w:tmpl w:val="921E1FF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2FD1934"/>
    <w:multiLevelType w:val="multilevel"/>
    <w:tmpl w:val="1DC6956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5"/>
  </w:num>
  <w:num w:numId="2">
    <w:abstractNumId w:val="10"/>
  </w:num>
  <w:num w:numId="3">
    <w:abstractNumId w:val="0"/>
  </w:num>
  <w:num w:numId="4">
    <w:abstractNumId w:val="1"/>
  </w:num>
  <w:num w:numId="5">
    <w:abstractNumId w:val="2"/>
  </w:num>
  <w:num w:numId="6">
    <w:abstractNumId w:val="7"/>
  </w:num>
  <w:num w:numId="7">
    <w:abstractNumId w:val="6"/>
  </w:num>
  <w:num w:numId="8">
    <w:abstractNumId w:val="14"/>
  </w:num>
  <w:num w:numId="9">
    <w:abstractNumId w:val="17"/>
  </w:num>
  <w:num w:numId="10">
    <w:abstractNumId w:val="16"/>
  </w:num>
  <w:num w:numId="11">
    <w:abstractNumId w:val="4"/>
  </w:num>
  <w:num w:numId="12">
    <w:abstractNumId w:val="8"/>
  </w:num>
  <w:num w:numId="13">
    <w:abstractNumId w:val="9"/>
  </w:num>
  <w:num w:numId="14">
    <w:abstractNumId w:val="11"/>
  </w:num>
  <w:num w:numId="15">
    <w:abstractNumId w:val="13"/>
  </w:num>
  <w:num w:numId="16">
    <w:abstractNumId w:val="12"/>
  </w:num>
  <w:num w:numId="17">
    <w:abstractNumId w:val="1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C5512"/>
    <w:rsid w:val="00396E04"/>
    <w:rsid w:val="004D2C6B"/>
    <w:rsid w:val="007C5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4635F-A20C-4B1D-A1E9-379759D2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Lohit Devanagari"/>
      <w:kern w:val="3"/>
      <w:sz w:val="24"/>
      <w:szCs w:val="24"/>
      <w:lang w:val="es-ES" w:eastAsia="zh-CN" w:bidi="hi-IN"/>
    </w:r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Epgrafe0">
    <w:name w:val="Epígrafe"/>
    <w:basedOn w:val="Standard"/>
    <w:pPr>
      <w:suppressLineNumbers/>
      <w:spacing w:before="120" w:after="120"/>
    </w:pPr>
    <w:rPr>
      <w:rFonts w:cs="Lohit Devanagari"/>
      <w:i/>
      <w:iCs/>
      <w:szCs w:val="24"/>
    </w:rPr>
  </w:style>
  <w:style w:type="paragraph" w:customStyle="1" w:styleId="Normal1">
    <w:name w:val="Normal 1"/>
    <w:basedOn w:val="Normal"/>
    <w:pPr>
      <w:widowControl/>
      <w:ind w:left="708"/>
      <w:jc w:val="both"/>
      <w:textAlignment w:val="auto"/>
    </w:pPr>
    <w:rPr>
      <w:rFonts w:ascii="Times New Roman" w:eastAsia="Calibri" w:hAnsi="Times New Roman" w:cs="Times New Roman"/>
      <w:kern w:val="0"/>
      <w:lang w:val="es-CO" w:eastAsia="es-ES" w:bidi="ar-SA"/>
    </w:rPr>
  </w:style>
  <w:style w:type="paragraph" w:customStyle="1" w:styleId="xgmail-msolistparagraph">
    <w:name w:val="x_gmail-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PrrafodelistaCar">
    <w:name w:val="Párrafo de lista Car"/>
    <w:basedOn w:val="Fuentedeprrafopredeter"/>
    <w:rPr>
      <w:rFonts w:ascii="Courier New" w:hAnsi="Courier New" w:cs="Courier New"/>
      <w:kern w:val="3"/>
      <w:sz w:val="24"/>
      <w:lang w:val="es-ES" w:eastAsia="zh-CN"/>
    </w:rPr>
  </w:style>
  <w:style w:type="paragraph" w:customStyle="1" w:styleId="xxgmail-msolistparagraph">
    <w:name w:val="x_xgmail-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paragraph" w:customStyle="1" w:styleId="xmsolistparagraph">
    <w:name w:val="x_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Mencinsinresolver1">
    <w:name w:val="Mención sin resolver1"/>
    <w:rPr>
      <w:color w:val="808080"/>
      <w:shd w:val="clear" w:color="auto" w:fill="E6E6E6"/>
    </w:rPr>
  </w:style>
  <w:style w:type="character" w:customStyle="1" w:styleId="leidos">
    <w:name w:val="leidos"/>
    <w:basedOn w:val="Fuentedeprrafopredeter"/>
  </w:style>
  <w:style w:type="character" w:customStyle="1" w:styleId="noleidos">
    <w:name w:val="no_leidos"/>
    <w:basedOn w:val="Fuentedeprrafopredeter"/>
  </w:style>
  <w:style w:type="paragraph" w:customStyle="1" w:styleId="paragraph">
    <w:name w:val="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findhit">
    <w:name w:val="findhit"/>
    <w:basedOn w:val="Fuentedeprrafopredeter"/>
  </w:style>
  <w:style w:type="character" w:customStyle="1" w:styleId="spellingerror">
    <w:name w:val="spellingerror"/>
    <w:basedOn w:val="Fuentedeprrafopredeter"/>
  </w:style>
  <w:style w:type="character" w:customStyle="1" w:styleId="CuerpodeltextoNegrita">
    <w:name w:val="Cuerpo del texto + Negrita"/>
    <w:rPr>
      <w:rFonts w:ascii="Arial" w:eastAsia="Arial" w:hAnsi="Arial" w:cs="Arial"/>
      <w:b/>
      <w:bCs/>
      <w:sz w:val="17"/>
      <w:szCs w:val="17"/>
      <w:shd w:val="clear" w:color="auto" w:fill="FFFFFF"/>
    </w:rPr>
  </w:style>
  <w:style w:type="paragraph" w:customStyle="1" w:styleId="xmsonormal">
    <w:name w:val="x_msonormal"/>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Mencinsinresolver">
    <w:name w:val="Mención sin resolver"/>
    <w:basedOn w:val="Fuentedeprrafopredeter"/>
    <w:rPr>
      <w:color w:val="605E5C"/>
      <w:shd w:val="clear" w:color="auto" w:fill="E1DFDD"/>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ellin.gov.co/normograma/docs/astrea/docs/decreto_1081_2015.htm#In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6605</Words>
  <Characters>36333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Claudia Patricia Roa Orjuela</cp:lastModifiedBy>
  <cp:revision>2</cp:revision>
  <cp:lastPrinted>2020-04-03T23:17:00Z</cp:lastPrinted>
  <dcterms:created xsi:type="dcterms:W3CDTF">2021-11-12T03:49:00Z</dcterms:created>
  <dcterms:modified xsi:type="dcterms:W3CDTF">2021-11-12T03:49:00Z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