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2" w:rsidRDefault="00D44972">
      <w:pPr>
        <w:widowControl/>
        <w:autoSpaceDE w:val="0"/>
        <w:jc w:val="center"/>
        <w:rPr>
          <w:rFonts w:ascii="Work Sans" w:eastAsia="Arial Narrow" w:hAnsi="Work Sans" w:cs="Calibri"/>
          <w:b/>
          <w:sz w:val="20"/>
          <w:szCs w:val="20"/>
          <w:lang w:val="es-CO"/>
        </w:rPr>
      </w:pPr>
      <w:bookmarkStart w:id="0" w:name="_GoBack"/>
      <w:bookmarkEnd w:id="0"/>
      <w:r>
        <w:rPr>
          <w:rFonts w:ascii="Work Sans" w:eastAsia="Arial Narrow" w:hAnsi="Work Sans" w:cs="Calibri"/>
          <w:b/>
          <w:sz w:val="20"/>
          <w:szCs w:val="20"/>
          <w:lang w:val="es-CO"/>
        </w:rPr>
        <w:t>EL MINISTRO DE TRANSPORTE</w:t>
      </w:r>
    </w:p>
    <w:p w:rsidR="00092772" w:rsidRDefault="00D44972">
      <w:pPr>
        <w:widowControl/>
        <w:jc w:val="both"/>
        <w:rPr>
          <w:rFonts w:ascii="Work Sans" w:eastAsia="Arial Narrow" w:hAnsi="Work Sans" w:cs="Calibri"/>
          <w:sz w:val="20"/>
          <w:szCs w:val="20"/>
          <w:lang w:val="es-CO"/>
        </w:rPr>
      </w:pPr>
      <w:r>
        <w:rPr>
          <w:rFonts w:ascii="Work Sans" w:eastAsia="Arial Narrow" w:hAnsi="Work Sans" w:cs="Calibri"/>
          <w:sz w:val="20"/>
          <w:szCs w:val="20"/>
          <w:lang w:val="es-CO"/>
        </w:rPr>
        <w:t xml:space="preserve"> </w:t>
      </w:r>
    </w:p>
    <w:p w:rsidR="00092772" w:rsidRDefault="00D44972">
      <w:pPr>
        <w:widowControl/>
        <w:autoSpaceDE w:val="0"/>
        <w:jc w:val="both"/>
        <w:rPr>
          <w:rFonts w:ascii="Work Sans" w:eastAsia="Arial Narrow" w:hAnsi="Work Sans" w:cs="Calibri"/>
          <w:sz w:val="20"/>
          <w:szCs w:val="20"/>
          <w:lang w:val="es-CO"/>
        </w:rPr>
      </w:pPr>
      <w:r>
        <w:rPr>
          <w:rFonts w:ascii="Work Sans" w:eastAsia="Arial Narrow" w:hAnsi="Work Sans" w:cs="Calibri"/>
          <w:sz w:val="20"/>
          <w:szCs w:val="20"/>
          <w:lang w:val="es-CO"/>
        </w:rPr>
        <w:t xml:space="preserve">En ejercicio de las facultades legales y en especial las conferidas por el artículo 21 de la Ley número 105 de 1993 modificado parcialmente por el artículo </w:t>
      </w:r>
      <w:r>
        <w:rPr>
          <w:rFonts w:ascii="Work Sans" w:eastAsia="Arial Narrow" w:hAnsi="Work Sans" w:cs="Calibri"/>
          <w:sz w:val="20"/>
          <w:szCs w:val="20"/>
          <w:lang w:val="es-CO"/>
        </w:rPr>
        <w:t>1 de la Ley 787 de 2002 y el numeral 6.15 del artículo 6° del Decreto 087 de 2011, y</w:t>
      </w:r>
    </w:p>
    <w:p w:rsidR="00092772" w:rsidRDefault="00092772">
      <w:pPr>
        <w:widowControl/>
        <w:autoSpaceDE w:val="0"/>
        <w:jc w:val="both"/>
        <w:rPr>
          <w:rFonts w:ascii="Work Sans" w:eastAsia="Arial Narrow" w:hAnsi="Work Sans" w:cs="Calibri"/>
          <w:sz w:val="20"/>
          <w:szCs w:val="20"/>
          <w:lang w:val="es-CO"/>
        </w:rPr>
      </w:pPr>
    </w:p>
    <w:p w:rsidR="00092772" w:rsidRDefault="00D44972">
      <w:pPr>
        <w:widowControl/>
        <w:autoSpaceDE w:val="0"/>
        <w:jc w:val="center"/>
        <w:rPr>
          <w:rFonts w:ascii="Work Sans" w:eastAsia="Arial Narrow" w:hAnsi="Work Sans" w:cs="Calibri"/>
          <w:b/>
          <w:sz w:val="20"/>
          <w:szCs w:val="20"/>
          <w:lang w:val="es-CO"/>
        </w:rPr>
      </w:pPr>
      <w:r>
        <w:rPr>
          <w:rFonts w:ascii="Work Sans" w:eastAsia="Arial Narrow" w:hAnsi="Work Sans" w:cs="Calibri"/>
          <w:b/>
          <w:sz w:val="20"/>
          <w:szCs w:val="20"/>
          <w:lang w:val="es-CO"/>
        </w:rPr>
        <w:t>CONSIDERANDO</w:t>
      </w:r>
    </w:p>
    <w:p w:rsidR="00092772" w:rsidRDefault="00092772">
      <w:pPr>
        <w:widowControl/>
        <w:autoSpaceDE w:val="0"/>
        <w:jc w:val="both"/>
        <w:rPr>
          <w:rFonts w:ascii="Work Sans" w:eastAsia="Arial Narrow" w:hAnsi="Work Sans" w:cs="Calibri"/>
          <w:sz w:val="20"/>
          <w:szCs w:val="20"/>
          <w:lang w:val="es-CO"/>
        </w:rPr>
      </w:pPr>
    </w:p>
    <w:p w:rsidR="00092772" w:rsidRDefault="00D44972">
      <w:pPr>
        <w:widowControl/>
        <w:tabs>
          <w:tab w:val="left" w:pos="0"/>
        </w:tabs>
        <w:jc w:val="both"/>
        <w:textAlignment w:val="auto"/>
      </w:pPr>
      <w:r>
        <w:rPr>
          <w:rStyle w:val="Fuentedeprrafopredeter"/>
          <w:rFonts w:ascii="Work Sans" w:eastAsia="DengXian Light" w:hAnsi="Work Sans" w:cs="Arial"/>
          <w:color w:val="000000"/>
          <w:kern w:val="0"/>
          <w:sz w:val="20"/>
          <w:szCs w:val="20"/>
          <w:lang w:val="es" w:eastAsia="es-ES" w:bidi="ar-SA"/>
        </w:rPr>
        <w:t xml:space="preserve">Que la Ley 105 de 1993: </w:t>
      </w:r>
      <w:r>
        <w:rPr>
          <w:rStyle w:val="Fuentedeprrafopredeter"/>
          <w:rFonts w:ascii="Work Sans" w:eastAsia="DengXian Light" w:hAnsi="Work Sans" w:cs="Arial"/>
          <w:i/>
          <w:color w:val="000000"/>
          <w:kern w:val="0"/>
          <w:sz w:val="20"/>
          <w:szCs w:val="20"/>
          <w:lang w:val="es" w:eastAsia="es-ES" w:bidi="ar-SA"/>
        </w:rPr>
        <w:t>"Por la cual se dictan disposiciones básicas sobre el transporte, se redistribuyen competencias y recursos entre la Nación y las Ent</w:t>
      </w:r>
      <w:r>
        <w:rPr>
          <w:rStyle w:val="Fuentedeprrafopredeter"/>
          <w:rFonts w:ascii="Work Sans" w:eastAsia="DengXian Light" w:hAnsi="Work Sans" w:cs="Arial"/>
          <w:i/>
          <w:color w:val="000000"/>
          <w:kern w:val="0"/>
          <w:sz w:val="20"/>
          <w:szCs w:val="20"/>
          <w:lang w:val="es" w:eastAsia="es-ES" w:bidi="ar-SA"/>
        </w:rPr>
        <w:t>idades Territoriales, se reglamenta la planeación en el sector transporte y se dictan otras disposiciones"</w:t>
      </w:r>
      <w:r>
        <w:rPr>
          <w:rStyle w:val="Fuentedeprrafopredeter"/>
          <w:rFonts w:ascii="Work Sans" w:eastAsia="DengXian Light" w:hAnsi="Work Sans" w:cs="Arial"/>
          <w:color w:val="000000"/>
          <w:kern w:val="0"/>
          <w:sz w:val="20"/>
          <w:szCs w:val="20"/>
          <w:lang w:val="es" w:eastAsia="es-ES" w:bidi="ar-SA"/>
        </w:rPr>
        <w:t xml:space="preserve"> en su artículo 21 </w:t>
      </w:r>
      <w:r>
        <w:rPr>
          <w:rStyle w:val="Fuentedeprrafopredeter"/>
          <w:rFonts w:ascii="Work Sans" w:hAnsi="Work Sans" w:cs="Arial"/>
          <w:color w:val="000000"/>
          <w:sz w:val="20"/>
          <w:szCs w:val="20"/>
          <w:lang w:bidi="ar-SA"/>
        </w:rPr>
        <w:t xml:space="preserve">modificado por el artículo 1° de la </w:t>
      </w:r>
      <w:hyperlink r:id="rId7" w:tooltip="Haga clic para abrir TODA la Ley 787 de 2002" w:history="1">
        <w:r>
          <w:rPr>
            <w:rStyle w:val="Fuentedeprrafopredeter"/>
            <w:rFonts w:ascii="Work Sans" w:hAnsi="Work Sans" w:cs="Arial"/>
            <w:color w:val="000000"/>
            <w:sz w:val="20"/>
            <w:szCs w:val="20"/>
            <w:lang w:bidi="ar-SA"/>
          </w:rPr>
          <w:t>Ley 787 de 2002</w:t>
        </w:r>
      </w:hyperlink>
      <w:r>
        <w:rPr>
          <w:rStyle w:val="Fuentedeprrafopredeter"/>
          <w:rFonts w:ascii="Work Sans" w:hAnsi="Work Sans" w:cs="Arial"/>
          <w:color w:val="000000"/>
          <w:sz w:val="20"/>
          <w:szCs w:val="20"/>
          <w:lang w:bidi="ar-SA"/>
        </w:rPr>
        <w:t xml:space="preserve">, </w:t>
      </w:r>
      <w:r>
        <w:rPr>
          <w:rStyle w:val="Fuentedeprrafopredeter"/>
          <w:rFonts w:ascii="Work Sans" w:eastAsia="DengXian Light" w:hAnsi="Work Sans" w:cs="Arial"/>
          <w:color w:val="000000"/>
          <w:kern w:val="0"/>
          <w:sz w:val="20"/>
          <w:szCs w:val="20"/>
          <w:lang w:val="es" w:eastAsia="es-ES" w:bidi="ar-SA"/>
        </w:rPr>
        <w:t>establece en cuanto a tasas, tarifas y peajes</w:t>
      </w:r>
      <w:r>
        <w:rPr>
          <w:rStyle w:val="Fuentedeprrafopredeter"/>
          <w:rFonts w:ascii="Work Sans" w:eastAsia="DengXian Light" w:hAnsi="Work Sans" w:cs="Arial"/>
          <w:iCs/>
          <w:color w:val="000000"/>
          <w:sz w:val="20"/>
          <w:szCs w:val="20"/>
        </w:rPr>
        <w:t xml:space="preserve"> en la infraestructura de transporte a cargo de la Nación, lo siguiente</w:t>
      </w:r>
      <w:r>
        <w:rPr>
          <w:rStyle w:val="Fuentedeprrafopredeter"/>
          <w:rFonts w:ascii="Work Sans" w:eastAsia="DengXian Light" w:hAnsi="Work Sans" w:cs="Arial"/>
          <w:color w:val="000000"/>
          <w:kern w:val="0"/>
          <w:sz w:val="20"/>
          <w:szCs w:val="20"/>
          <w:lang w:val="es" w:eastAsia="es-ES" w:bidi="ar-SA"/>
        </w:rPr>
        <w:t>:</w:t>
      </w:r>
    </w:p>
    <w:p w:rsidR="00092772" w:rsidRDefault="00092772">
      <w:pPr>
        <w:widowControl/>
        <w:tabs>
          <w:tab w:val="left" w:pos="0"/>
        </w:tabs>
        <w:jc w:val="both"/>
        <w:textAlignment w:val="auto"/>
        <w:rPr>
          <w:rFonts w:ascii="Work Sans" w:eastAsia="DengXian Light" w:hAnsi="Work Sans" w:cs="Arial"/>
          <w:color w:val="000000"/>
          <w:kern w:val="0"/>
          <w:sz w:val="20"/>
          <w:szCs w:val="20"/>
          <w:lang w:val="es" w:eastAsia="es-ES" w:bidi="ar-SA"/>
        </w:rPr>
      </w:pPr>
    </w:p>
    <w:p w:rsidR="00092772" w:rsidRDefault="00D44972">
      <w:pPr>
        <w:tabs>
          <w:tab w:val="left" w:pos="8222"/>
        </w:tabs>
        <w:ind w:left="426" w:right="616"/>
        <w:jc w:val="both"/>
      </w:pPr>
      <w:r>
        <w:rPr>
          <w:rStyle w:val="Fuentedeprrafopredeter"/>
          <w:rFonts w:ascii="Work Sans" w:eastAsia="DengXian Light" w:hAnsi="Work Sans" w:cs="Arial"/>
          <w:i/>
          <w:color w:val="000000"/>
          <w:kern w:val="0"/>
          <w:sz w:val="18"/>
          <w:szCs w:val="18"/>
          <w:lang w:val="es" w:eastAsia="es-ES" w:bidi="ar-SA"/>
        </w:rPr>
        <w:t xml:space="preserve">“Artículo 21. </w:t>
      </w:r>
      <w:r>
        <w:rPr>
          <w:rStyle w:val="Fuentedeprrafopredeter"/>
          <w:rFonts w:ascii="Work Sans" w:eastAsia="DengXian Light" w:hAnsi="Work Sans" w:cs="Arial"/>
          <w:i/>
          <w:iCs/>
          <w:color w:val="000000"/>
          <w:sz w:val="18"/>
          <w:szCs w:val="18"/>
        </w:rPr>
        <w:t xml:space="preserve">Tasas, tarifas y peajes en la infraestructura de transporte a cargo </w:t>
      </w:r>
      <w:r>
        <w:rPr>
          <w:rStyle w:val="Fuentedeprrafopredeter"/>
          <w:rFonts w:ascii="Work Sans" w:eastAsia="DengXian Light" w:hAnsi="Work Sans" w:cs="Arial"/>
          <w:i/>
          <w:iCs/>
          <w:color w:val="000000"/>
          <w:sz w:val="18"/>
          <w:szCs w:val="18"/>
        </w:rPr>
        <w:t>de la Nación.</w:t>
      </w:r>
      <w:r>
        <w:rPr>
          <w:rStyle w:val="Fuentedeprrafopredeter"/>
          <w:rFonts w:ascii="Work Sans" w:eastAsia="DengXian Light" w:hAnsi="Work Sans" w:cs="Arial"/>
          <w:i/>
          <w:color w:val="000000"/>
          <w:sz w:val="18"/>
          <w:szCs w:val="18"/>
        </w:rPr>
        <w:t xml:space="preserve"> Para la construcción y conservación de la infraestructura de transporte a cargo de la Nación, esta contará con los recursos que se apropien en el Presupuesto Nacional y además cobrará el uso de las obras de infraestructura de transporte a los</w:t>
      </w:r>
      <w:r>
        <w:rPr>
          <w:rStyle w:val="Fuentedeprrafopredeter"/>
          <w:rFonts w:ascii="Work Sans" w:eastAsia="DengXian Light" w:hAnsi="Work Sans" w:cs="Arial"/>
          <w:i/>
          <w:color w:val="000000"/>
          <w:sz w:val="18"/>
          <w:szCs w:val="18"/>
        </w:rPr>
        <w:t xml:space="preserve"> usuarios, buscando garantizar su adecuado mantenimiento, operación y desarrollo.</w:t>
      </w:r>
    </w:p>
    <w:p w:rsidR="00092772" w:rsidRDefault="00092772">
      <w:pPr>
        <w:tabs>
          <w:tab w:val="left" w:pos="8222"/>
        </w:tabs>
        <w:ind w:left="426" w:right="616"/>
        <w:jc w:val="both"/>
        <w:rPr>
          <w:rFonts w:ascii="Work Sans" w:eastAsia="DengXian Light" w:hAnsi="Work Sans" w:cs="Arial"/>
          <w:i/>
          <w:color w:val="000000"/>
          <w:sz w:val="18"/>
          <w:szCs w:val="18"/>
        </w:rPr>
      </w:pP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Para estos efectos, la Nación establecerá peajes, tarifas y tasas sobre el uso de la infraestructura nacional de transporte y los recursos provenientes de su cobro se usarán</w:t>
      </w:r>
      <w:r>
        <w:rPr>
          <w:rFonts w:ascii="Work Sans" w:eastAsia="DengXian Light" w:hAnsi="Work Sans" w:cs="Arial"/>
          <w:i/>
          <w:color w:val="000000"/>
          <w:sz w:val="18"/>
          <w:szCs w:val="18"/>
        </w:rPr>
        <w:t xml:space="preserve"> exclusivamente para ese modo de transporte.</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Todos los servicios que la Nación o sus entidades descentralizadas presten a los usuarios accesoriamente a la utilización de la infraestructura Nacional de Transporte, estarán sujetos al cobro de tasas o tarif</w:t>
      </w:r>
      <w:r>
        <w:rPr>
          <w:rFonts w:ascii="Work Sans" w:eastAsia="DengXian Light" w:hAnsi="Work Sans" w:cs="Arial"/>
          <w:i/>
          <w:color w:val="000000"/>
          <w:sz w:val="18"/>
          <w:szCs w:val="18"/>
        </w:rPr>
        <w:t>as.</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Para la fijación y cobro de tasas, tarifas y peajes, se observarán los siguientes principios:</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a) Los ingresos provenientes de la utilización de la infraestructura de transporte, deberán garantizar su adecuado mantenimiento, operación y desarrollo;</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rPr>
        <w:t>b) Deberá cobrarse a todos los usuarios, con excepción de las motocicletas y bicicletas, máquinas extintoras de incendios de los Cuerpos de Bomberos Voluntarios, Cuerpo de Bomberos Oficiales, ambulancias pertenecientes a la Cruz Roja, Defensa Civil, Hosp</w:t>
      </w:r>
      <w:r>
        <w:rPr>
          <w:rStyle w:val="Fuentedeprrafopredeter"/>
          <w:rFonts w:ascii="Work Sans" w:eastAsia="DengXian Light" w:hAnsi="Work Sans" w:cs="Arial"/>
          <w:i/>
          <w:color w:val="000000"/>
          <w:sz w:val="18"/>
          <w:szCs w:val="18"/>
        </w:rPr>
        <w:t xml:space="preserve">itales Oficiales, Vehículos de las Fuerzas Militares y de la Policía Nacional, vehículos oficiales del Instituto Nacional Penitenciario y Carcelario, </w:t>
      </w:r>
      <w:r>
        <w:rPr>
          <w:rStyle w:val="Fuentedeprrafopredeter"/>
          <w:rFonts w:ascii="Work Sans" w:eastAsia="DengXian Light" w:hAnsi="Work Sans"/>
          <w:i/>
          <w:color w:val="000000"/>
          <w:sz w:val="18"/>
          <w:szCs w:val="18"/>
        </w:rPr>
        <w:t>Inpec</w:t>
      </w:r>
      <w:r>
        <w:rPr>
          <w:rStyle w:val="Fuentedeprrafopredeter"/>
          <w:rFonts w:ascii="Work Sans" w:eastAsia="DengXian Light" w:hAnsi="Work Sans" w:cs="Arial"/>
          <w:i/>
          <w:color w:val="000000"/>
          <w:sz w:val="18"/>
          <w:szCs w:val="18"/>
        </w:rPr>
        <w:t>, vehículos oficiales del (DAS) Departamento Administrativo de Seguridad y de las demás instituciones</w:t>
      </w:r>
      <w:r>
        <w:rPr>
          <w:rStyle w:val="Fuentedeprrafopredeter"/>
          <w:rFonts w:ascii="Work Sans" w:eastAsia="DengXian Light" w:hAnsi="Work Sans" w:cs="Arial"/>
          <w:i/>
          <w:color w:val="000000"/>
          <w:sz w:val="18"/>
          <w:szCs w:val="18"/>
        </w:rPr>
        <w:t xml:space="preserve"> que prestan funciones de Policía Judicial; </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c) El valor de las tasas o tarifas será determinado por la autoridad competente; su recaudo estará a cargo de las entidades públicas o privadas, responsables de la prestación del servicio;</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 xml:space="preserve">d) Las tasas de </w:t>
      </w:r>
      <w:r>
        <w:rPr>
          <w:rFonts w:ascii="Work Sans" w:eastAsia="DengXian Light" w:hAnsi="Work Sans" w:cs="Arial"/>
          <w:i/>
          <w:color w:val="000000"/>
          <w:sz w:val="18"/>
          <w:szCs w:val="18"/>
        </w:rPr>
        <w:t>peaje serán diferenciales, es decir, se fijarán en proporción a las distancias recorridas, las características vehiculares y sus respectivos costos de operación;</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e) Para la determinación del valor del peaje y de las tasas de valoración en las vías nacion</w:t>
      </w:r>
      <w:r>
        <w:rPr>
          <w:rFonts w:ascii="Work Sans" w:eastAsia="DengXian Light" w:hAnsi="Work Sans" w:cs="Arial"/>
          <w:i/>
          <w:color w:val="000000"/>
          <w:sz w:val="18"/>
          <w:szCs w:val="18"/>
        </w:rPr>
        <w:t>ales, se tendrá en cuenta un criterio de equidad fiscal.</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1°. La Nación podrá en caso de necesidad y previo concepto del Ministerio de Transporte, apropiar recursos del Presupuesto Nacional para el mantenimiento, operación y desarrollo de la inf</w:t>
      </w:r>
      <w:r>
        <w:rPr>
          <w:rFonts w:ascii="Work Sans" w:eastAsia="DengXian Light" w:hAnsi="Work Sans" w:cs="Arial"/>
          <w:i/>
          <w:color w:val="000000"/>
          <w:sz w:val="18"/>
          <w:szCs w:val="18"/>
        </w:rPr>
        <w:t>raestructura de transporte.</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lastRenderedPageBreak/>
        <w:t>Parágrafo 2°. Para tener derecho a la exención contemplada en el literal b), es de carácter obligatorio que los vehículos allí relacionados, con excepción de las bicicletas y motocicletas, estén plenamente identificados con lo</w:t>
      </w:r>
      <w:r>
        <w:rPr>
          <w:rFonts w:ascii="Work Sans" w:eastAsia="DengXian Light" w:hAnsi="Work Sans" w:cs="Arial"/>
          <w:i/>
          <w:color w:val="000000"/>
          <w:sz w:val="18"/>
          <w:szCs w:val="18"/>
        </w:rPr>
        <w:t>s emblemas, colores y distintivos institucionales de cada una de las entidades y organismos a los cuales pertenecen. Para efectos de control, el Ministerio de Transporte reglamentará lo pertinente.</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3°. Facúltese a las Entidades Territoriales pa</w:t>
      </w:r>
      <w:r>
        <w:rPr>
          <w:rFonts w:ascii="Work Sans" w:eastAsia="DengXian Light" w:hAnsi="Work Sans" w:cs="Arial"/>
          <w:i/>
          <w:color w:val="000000"/>
          <w:sz w:val="18"/>
          <w:szCs w:val="18"/>
        </w:rPr>
        <w:t>ra decretar las exenciones contempladas en el literal b), del artículo 1°.</w:t>
      </w:r>
    </w:p>
    <w:p w:rsidR="00092772" w:rsidRDefault="00D44972">
      <w:pPr>
        <w:tabs>
          <w:tab w:val="left" w:pos="8222"/>
        </w:tabs>
        <w:ind w:left="426" w:right="616"/>
        <w:jc w:val="both"/>
      </w:pPr>
      <w:r>
        <w:rPr>
          <w:rStyle w:val="Fuentedeprrafopredeter"/>
          <w:rFonts w:ascii="Work Sans" w:eastAsia="DengXian Light" w:hAnsi="Work Sans" w:cs="Arial"/>
          <w:i/>
          <w:color w:val="000000"/>
          <w:sz w:val="18"/>
          <w:szCs w:val="18"/>
          <w:lang w:val="es-MX"/>
        </w:rPr>
        <w:t> </w:t>
      </w:r>
    </w:p>
    <w:p w:rsidR="00092772" w:rsidRDefault="00D44972">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4°. Se entiende también las vías “Concesionadas”.</w:t>
      </w:r>
    </w:p>
    <w:p w:rsidR="00092772" w:rsidRDefault="00092772">
      <w:pPr>
        <w:widowControl/>
        <w:tabs>
          <w:tab w:val="left" w:pos="0"/>
        </w:tabs>
        <w:ind w:left="709" w:right="709"/>
        <w:jc w:val="both"/>
        <w:textAlignment w:val="auto"/>
        <w:rPr>
          <w:rFonts w:ascii="Work Sans" w:eastAsia="DengXian Light" w:hAnsi="Work Sans" w:cs="Arial"/>
          <w:i/>
          <w:color w:val="000000"/>
          <w:kern w:val="0"/>
          <w:sz w:val="20"/>
          <w:szCs w:val="20"/>
          <w:lang w:eastAsia="es-ES" w:bidi="ar-SA"/>
        </w:rPr>
      </w:pPr>
    </w:p>
    <w:p w:rsidR="00092772" w:rsidRDefault="00D44972">
      <w:pPr>
        <w:widowControl/>
        <w:tabs>
          <w:tab w:val="left" w:pos="0"/>
        </w:tabs>
        <w:ind w:right="49"/>
        <w:jc w:val="both"/>
        <w:textAlignment w:val="auto"/>
      </w:pPr>
      <w:r>
        <w:rPr>
          <w:rStyle w:val="Fuentedeprrafopredeter"/>
          <w:rFonts w:ascii="Work Sans" w:eastAsia="DengXian Light" w:hAnsi="Work Sans" w:cs="Arial"/>
          <w:color w:val="000000"/>
          <w:kern w:val="0"/>
          <w:sz w:val="20"/>
          <w:szCs w:val="20"/>
          <w:lang w:val="es" w:eastAsia="es-ES" w:bidi="ar-SA"/>
        </w:rPr>
        <w:t>Que el Decreto 087 de 2011: “</w:t>
      </w:r>
      <w:r>
        <w:rPr>
          <w:rStyle w:val="Fuentedeprrafopredeter"/>
          <w:rFonts w:ascii="Work Sans" w:eastAsia="DengXian Light" w:hAnsi="Work Sans" w:cs="Arial"/>
          <w:i/>
          <w:color w:val="000000"/>
          <w:kern w:val="0"/>
          <w:sz w:val="20"/>
          <w:szCs w:val="20"/>
          <w:lang w:val="es" w:eastAsia="es-ES" w:bidi="ar-SA"/>
        </w:rPr>
        <w:t>Por el cual se modifica la estructura del Ministerio de Transporte, y se determinan las f</w:t>
      </w:r>
      <w:r>
        <w:rPr>
          <w:rStyle w:val="Fuentedeprrafopredeter"/>
          <w:rFonts w:ascii="Work Sans" w:eastAsia="DengXian Light" w:hAnsi="Work Sans" w:cs="Arial"/>
          <w:i/>
          <w:color w:val="000000"/>
          <w:kern w:val="0"/>
          <w:sz w:val="20"/>
          <w:szCs w:val="20"/>
          <w:lang w:val="es" w:eastAsia="es-ES" w:bidi="ar-SA"/>
        </w:rPr>
        <w:t>unciones de sus dependencias</w:t>
      </w:r>
      <w:r>
        <w:rPr>
          <w:rStyle w:val="Fuentedeprrafopredeter"/>
          <w:rFonts w:ascii="Work Sans" w:eastAsia="DengXian Light" w:hAnsi="Work Sans" w:cs="Arial"/>
          <w:color w:val="000000"/>
          <w:kern w:val="0"/>
          <w:sz w:val="20"/>
          <w:szCs w:val="20"/>
          <w:lang w:val="es" w:eastAsia="es-ES" w:bidi="ar-SA"/>
        </w:rPr>
        <w:t>” establece que son funciones del Despacho del Ministro, las siguientes:</w:t>
      </w:r>
    </w:p>
    <w:p w:rsidR="00092772" w:rsidRDefault="00092772">
      <w:pPr>
        <w:widowControl/>
        <w:tabs>
          <w:tab w:val="left" w:pos="0"/>
        </w:tabs>
        <w:ind w:left="709" w:right="709"/>
        <w:jc w:val="both"/>
        <w:textAlignment w:val="auto"/>
        <w:rPr>
          <w:rFonts w:ascii="Work Sans" w:eastAsia="DengXian Light" w:hAnsi="Work Sans" w:cs="Arial"/>
          <w:i/>
          <w:color w:val="000000"/>
          <w:kern w:val="0"/>
          <w:sz w:val="18"/>
          <w:szCs w:val="18"/>
          <w:lang w:val="es" w:eastAsia="es-ES" w:bidi="ar-SA"/>
        </w:rPr>
      </w:pPr>
    </w:p>
    <w:p w:rsidR="00092772" w:rsidRDefault="00D44972">
      <w:pPr>
        <w:ind w:left="426" w:right="474"/>
        <w:jc w:val="both"/>
        <w:rPr>
          <w:rFonts w:ascii="Work Sans" w:eastAsia="DengXian Light" w:hAnsi="Work Sans" w:cs="Arial"/>
          <w:i/>
          <w:color w:val="000000"/>
          <w:kern w:val="0"/>
          <w:sz w:val="18"/>
          <w:szCs w:val="18"/>
          <w:lang w:val="es" w:eastAsia="es-ES" w:bidi="ar-SA"/>
        </w:rPr>
      </w:pPr>
      <w:r>
        <w:rPr>
          <w:rFonts w:ascii="Work Sans" w:eastAsia="DengXian Light" w:hAnsi="Work Sans" w:cs="Arial"/>
          <w:i/>
          <w:color w:val="000000"/>
          <w:kern w:val="0"/>
          <w:sz w:val="18"/>
          <w:szCs w:val="18"/>
          <w:lang w:val="es" w:eastAsia="es-ES" w:bidi="ar-SA"/>
        </w:rPr>
        <w:t xml:space="preserve">“Artículo 6°. Funciones del Despacho del Ministro de Transporte. Son funciones del Despacho del Ministro de Transporte, además de las señaladas por la </w:t>
      </w:r>
      <w:r>
        <w:rPr>
          <w:rFonts w:ascii="Work Sans" w:eastAsia="DengXian Light" w:hAnsi="Work Sans" w:cs="Arial"/>
          <w:i/>
          <w:color w:val="000000"/>
          <w:kern w:val="0"/>
          <w:sz w:val="18"/>
          <w:szCs w:val="18"/>
          <w:lang w:val="es" w:eastAsia="es-ES" w:bidi="ar-SA"/>
        </w:rPr>
        <w:t>Constitución Política y la ley, las siguientes:</w:t>
      </w:r>
    </w:p>
    <w:p w:rsidR="00092772" w:rsidRDefault="00D44972">
      <w:pPr>
        <w:widowControl/>
        <w:tabs>
          <w:tab w:val="left" w:pos="0"/>
        </w:tabs>
        <w:ind w:left="709" w:right="709"/>
        <w:jc w:val="both"/>
        <w:textAlignment w:val="auto"/>
        <w:rPr>
          <w:rFonts w:ascii="Work Sans" w:eastAsia="DengXian Light" w:hAnsi="Work Sans" w:cs="Arial"/>
          <w:i/>
          <w:color w:val="000000"/>
          <w:kern w:val="0"/>
          <w:sz w:val="18"/>
          <w:szCs w:val="18"/>
          <w:lang w:val="es" w:eastAsia="es-ES" w:bidi="ar-SA"/>
        </w:rPr>
      </w:pPr>
      <w:r>
        <w:rPr>
          <w:rFonts w:ascii="Work Sans" w:eastAsia="DengXian Light" w:hAnsi="Work Sans" w:cs="Arial"/>
          <w:i/>
          <w:color w:val="000000"/>
          <w:kern w:val="0"/>
          <w:sz w:val="18"/>
          <w:szCs w:val="18"/>
          <w:lang w:val="es" w:eastAsia="es-ES" w:bidi="ar-SA"/>
        </w:rPr>
        <w:t xml:space="preserve"> </w:t>
      </w:r>
    </w:p>
    <w:p w:rsidR="00092772" w:rsidRDefault="00D44972">
      <w:pPr>
        <w:widowControl/>
        <w:ind w:left="426" w:right="709"/>
        <w:jc w:val="both"/>
        <w:textAlignment w:val="auto"/>
        <w:rPr>
          <w:rFonts w:ascii="Work Sans" w:eastAsia="DengXian Light" w:hAnsi="Work Sans" w:cs="Arial"/>
          <w:i/>
          <w:color w:val="000000"/>
          <w:kern w:val="0"/>
          <w:sz w:val="18"/>
          <w:szCs w:val="18"/>
          <w:lang w:val="es" w:eastAsia="es-ES" w:bidi="ar-SA"/>
        </w:rPr>
      </w:pPr>
      <w:r>
        <w:rPr>
          <w:rFonts w:ascii="Work Sans" w:eastAsia="DengXian Light" w:hAnsi="Work Sans" w:cs="Arial"/>
          <w:i/>
          <w:color w:val="000000"/>
          <w:kern w:val="0"/>
          <w:sz w:val="18"/>
          <w:szCs w:val="18"/>
          <w:lang w:val="es" w:eastAsia="es-ES" w:bidi="ar-SA"/>
        </w:rPr>
        <w:t>6.15. Establecer los peajes, tarifas, tasas y derechos a cobrar por el uso de la infraestructura de los modos de transporte, excepto el aéreo. (…)”</w:t>
      </w:r>
    </w:p>
    <w:p w:rsidR="00092772" w:rsidRDefault="00092772">
      <w:pPr>
        <w:tabs>
          <w:tab w:val="left" w:pos="1134"/>
        </w:tabs>
        <w:jc w:val="both"/>
        <w:rPr>
          <w:rFonts w:ascii="Work Sans" w:eastAsia="DengXian Light" w:hAnsi="Work Sans" w:cs="Arial"/>
          <w:color w:val="000000"/>
          <w:sz w:val="20"/>
          <w:szCs w:val="20"/>
          <w:lang w:val="es" w:eastAsia="es-ES"/>
        </w:rPr>
      </w:pPr>
    </w:p>
    <w:p w:rsidR="00092772" w:rsidRDefault="00D44972">
      <w:pPr>
        <w:tabs>
          <w:tab w:val="left" w:pos="1134"/>
        </w:tabs>
        <w:jc w:val="both"/>
        <w:rPr>
          <w:rFonts w:ascii="Work Sans" w:eastAsia="Work Sans" w:hAnsi="Work Sans" w:cs="Arial"/>
          <w:color w:val="000000"/>
          <w:sz w:val="20"/>
          <w:szCs w:val="20"/>
          <w:lang w:val="es"/>
        </w:rPr>
      </w:pPr>
      <w:r>
        <w:rPr>
          <w:rFonts w:ascii="Work Sans" w:eastAsia="Work Sans" w:hAnsi="Work Sans" w:cs="Arial"/>
          <w:color w:val="000000"/>
          <w:sz w:val="20"/>
          <w:szCs w:val="20"/>
          <w:lang w:val="es"/>
        </w:rPr>
        <w:t xml:space="preserve">Que el Decreto 4165 del 03 de noviembre de 2011, cambió </w:t>
      </w:r>
      <w:r>
        <w:rPr>
          <w:rFonts w:ascii="Work Sans" w:eastAsia="Work Sans" w:hAnsi="Work Sans" w:cs="Arial"/>
          <w:color w:val="000000"/>
          <w:sz w:val="20"/>
          <w:szCs w:val="20"/>
          <w:lang w:val="es"/>
        </w:rPr>
        <w:t>la naturaleza jurídica y denominación del Instituto Nacional de Concesiones (INCO) de establecimiento público a Agencia Nacional Estatal de Naturaleza Especial, del sector descentralizado de la Rama Ejecutiva del Orden Nacional, con personería jurídica, pa</w:t>
      </w:r>
      <w:r>
        <w:rPr>
          <w:rFonts w:ascii="Work Sans" w:eastAsia="Work Sans" w:hAnsi="Work Sans" w:cs="Arial"/>
          <w:color w:val="000000"/>
          <w:sz w:val="20"/>
          <w:szCs w:val="20"/>
          <w:lang w:val="es"/>
        </w:rPr>
        <w:t>trimonio propio y autonomía administrativa, financiera y técnica, que se denominará Agencia Nacional de Infraestructura, adscrita al Ministerio de Transporte.</w:t>
      </w:r>
    </w:p>
    <w:p w:rsidR="00092772" w:rsidRDefault="00092772">
      <w:pPr>
        <w:tabs>
          <w:tab w:val="left" w:pos="1134"/>
        </w:tabs>
        <w:jc w:val="both"/>
        <w:rPr>
          <w:rFonts w:ascii="Work Sans" w:eastAsia="DengXian Light" w:hAnsi="Work Sans" w:cs="Arial"/>
          <w:color w:val="000000"/>
          <w:sz w:val="20"/>
          <w:szCs w:val="20"/>
          <w:lang w:val="es" w:eastAsia="es-ES"/>
        </w:rPr>
      </w:pPr>
    </w:p>
    <w:p w:rsidR="00092772" w:rsidRDefault="00D44972">
      <w:pPr>
        <w:widowControl/>
        <w:jc w:val="both"/>
        <w:textAlignment w:val="auto"/>
        <w:rPr>
          <w:rFonts w:ascii="Work Sans" w:eastAsia="DengXian Light" w:hAnsi="Work Sans" w:cs="Arial"/>
          <w:color w:val="000000"/>
          <w:kern w:val="0"/>
          <w:sz w:val="20"/>
          <w:szCs w:val="20"/>
          <w:lang w:val="es" w:eastAsia="es-ES" w:bidi="ar-SA"/>
        </w:rPr>
      </w:pPr>
      <w:r>
        <w:rPr>
          <w:rFonts w:ascii="Work Sans" w:eastAsia="DengXian Light" w:hAnsi="Work Sans" w:cs="Arial"/>
          <w:color w:val="000000"/>
          <w:kern w:val="0"/>
          <w:sz w:val="20"/>
          <w:szCs w:val="20"/>
          <w:lang w:val="es" w:eastAsia="es-ES" w:bidi="ar-SA"/>
        </w:rPr>
        <w:t>Que los numerales 1° y 5° del artículo 4° del Decreto 4165 de 2011, establecen que le correspond</w:t>
      </w:r>
      <w:r>
        <w:rPr>
          <w:rFonts w:ascii="Work Sans" w:eastAsia="DengXian Light" w:hAnsi="Work Sans" w:cs="Arial"/>
          <w:color w:val="000000"/>
          <w:kern w:val="0"/>
          <w:sz w:val="20"/>
          <w:szCs w:val="20"/>
          <w:lang w:val="es" w:eastAsia="es-ES" w:bidi="ar-SA"/>
        </w:rPr>
        <w:t>e a la Agencia Nacional de Infraestructura, identificar, evaluar la viabilidad, y proponer iniciativas de concesión u otras formas de Asociación Público Privada para el desarrollo de la infraestructura de transporte y de los servicios conexos y relacionado</w:t>
      </w:r>
      <w:r>
        <w:rPr>
          <w:rFonts w:ascii="Work Sans" w:eastAsia="DengXian Light" w:hAnsi="Work Sans" w:cs="Arial"/>
          <w:color w:val="000000"/>
          <w:kern w:val="0"/>
          <w:sz w:val="20"/>
          <w:szCs w:val="20"/>
          <w:lang w:val="es" w:eastAsia="es-ES" w:bidi="ar-SA"/>
        </w:rPr>
        <w:t>s, así como elaborar los estudios para definir los peajes, tasas, tarifas, contribución de valorización y otras modalidades de retribución por el diseño, construcción, operación, explotación, mantenimiento o rehabilitación de la infraestructura relacionada</w:t>
      </w:r>
      <w:r>
        <w:rPr>
          <w:rFonts w:ascii="Work Sans" w:eastAsia="DengXian Light" w:hAnsi="Work Sans" w:cs="Arial"/>
          <w:color w:val="000000"/>
          <w:kern w:val="0"/>
          <w:sz w:val="20"/>
          <w:szCs w:val="20"/>
          <w:lang w:val="es" w:eastAsia="es-ES" w:bidi="ar-SA"/>
        </w:rPr>
        <w:t xml:space="preserve"> con los proyectos de concesión u otras formas de Asociación Público Privada a su cargo.</w:t>
      </w:r>
    </w:p>
    <w:p w:rsidR="00092772" w:rsidRDefault="00092772">
      <w:pPr>
        <w:widowControl/>
        <w:jc w:val="both"/>
        <w:textAlignment w:val="auto"/>
        <w:rPr>
          <w:rFonts w:ascii="Work Sans" w:eastAsia="DengXian Light" w:hAnsi="Work Sans" w:cs="Arial"/>
          <w:color w:val="000000"/>
          <w:kern w:val="0"/>
          <w:sz w:val="20"/>
          <w:szCs w:val="20"/>
          <w:lang w:val="es" w:eastAsia="es-ES" w:bidi="ar-SA"/>
        </w:rPr>
      </w:pPr>
    </w:p>
    <w:p w:rsidR="00092772" w:rsidRDefault="00D44972">
      <w:pPr>
        <w:ind w:right="49"/>
        <w:jc w:val="both"/>
      </w:pPr>
      <w:r>
        <w:rPr>
          <w:rStyle w:val="Fuentedeprrafopredeter"/>
          <w:rFonts w:ascii="Work Sans" w:eastAsia="DengXian Light" w:hAnsi="Work Sans" w:cs="Arial"/>
          <w:color w:val="000000"/>
          <w:sz w:val="20"/>
          <w:szCs w:val="20"/>
          <w:lang w:val="es" w:eastAsia="es-ES"/>
        </w:rPr>
        <w:t xml:space="preserve">Que igualmente el numeral 34 del artículo 5 del </w:t>
      </w:r>
      <w:r>
        <w:rPr>
          <w:rStyle w:val="Fuentedeprrafopredeter"/>
          <w:rFonts w:ascii="Work Sans" w:eastAsia="DengXian Light" w:hAnsi="Work Sans" w:cs="Arial"/>
          <w:sz w:val="20"/>
          <w:szCs w:val="20"/>
          <w:lang w:val="es" w:eastAsia="es-ES"/>
        </w:rPr>
        <w:t xml:space="preserve">Decreto 746 del 2022: </w:t>
      </w:r>
      <w:r>
        <w:rPr>
          <w:rStyle w:val="Fuentedeprrafopredeter"/>
          <w:rFonts w:ascii="Work Sans" w:eastAsia="DengXian Light" w:hAnsi="Work Sans" w:cs="Arial"/>
          <w:i/>
          <w:iCs/>
          <w:color w:val="000000"/>
          <w:sz w:val="20"/>
          <w:szCs w:val="20"/>
          <w:lang w:val="es" w:eastAsia="es-ES"/>
        </w:rPr>
        <w:t xml:space="preserve">Por el cual se modifica la estructura de la Agencia Nacional de Infraestructura y se determinan </w:t>
      </w:r>
      <w:r>
        <w:rPr>
          <w:rStyle w:val="Fuentedeprrafopredeter"/>
          <w:rFonts w:ascii="Work Sans" w:eastAsia="DengXian Light" w:hAnsi="Work Sans" w:cs="Arial"/>
          <w:i/>
          <w:iCs/>
          <w:color w:val="000000"/>
          <w:sz w:val="20"/>
          <w:szCs w:val="20"/>
          <w:lang w:val="es" w:eastAsia="es-ES"/>
        </w:rPr>
        <w:t>las funciones de sus dependencias”</w:t>
      </w:r>
      <w:r>
        <w:rPr>
          <w:rStyle w:val="Fuentedeprrafopredeter"/>
          <w:rFonts w:ascii="Work Sans" w:eastAsia="DengXian Light" w:hAnsi="Work Sans" w:cs="Arial"/>
          <w:i/>
          <w:color w:val="000000"/>
          <w:sz w:val="20"/>
          <w:szCs w:val="20"/>
          <w:lang w:val="es" w:eastAsia="es-ES"/>
        </w:rPr>
        <w:t xml:space="preserve"> </w:t>
      </w:r>
      <w:r>
        <w:rPr>
          <w:rStyle w:val="Fuentedeprrafopredeter"/>
          <w:rFonts w:ascii="Work Sans" w:eastAsia="DengXian Light" w:hAnsi="Work Sans" w:cs="Arial"/>
          <w:color w:val="000000"/>
          <w:sz w:val="20"/>
          <w:szCs w:val="20"/>
          <w:lang w:val="es" w:eastAsia="es-ES"/>
        </w:rPr>
        <w:t>establece como función del presidente de la Agencia Nacional de Infraestructura la siguiente:</w:t>
      </w:r>
    </w:p>
    <w:p w:rsidR="00092772" w:rsidRDefault="00092772">
      <w:pPr>
        <w:ind w:right="49"/>
        <w:jc w:val="both"/>
        <w:rPr>
          <w:rFonts w:ascii="Work Sans" w:eastAsia="DengXian Light" w:hAnsi="Work Sans" w:cs="Arial"/>
          <w:color w:val="000000"/>
          <w:sz w:val="20"/>
          <w:szCs w:val="20"/>
          <w:shd w:val="clear" w:color="auto" w:fill="FFFF00"/>
        </w:rPr>
      </w:pPr>
    </w:p>
    <w:p w:rsidR="00092772" w:rsidRDefault="00D44972">
      <w:pPr>
        <w:ind w:left="567"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 xml:space="preserve">“34. Proponer al Ministerio de Transporte o a las entidades competentes, las tarifas de peajes y tasas a cobrar por el uso de </w:t>
      </w:r>
      <w:r>
        <w:rPr>
          <w:rFonts w:ascii="Work Sans" w:eastAsia="DengXian Light" w:hAnsi="Work Sans" w:cs="Arial"/>
          <w:i/>
          <w:color w:val="000000"/>
          <w:sz w:val="18"/>
          <w:szCs w:val="18"/>
        </w:rPr>
        <w:t xml:space="preserve">las áreas e infraestructura de transporte que haga parte de proyectos a cargo de la Agencia, de acuerdo con las políticas del Ministerio de Transporte”. </w:t>
      </w:r>
    </w:p>
    <w:p w:rsidR="00092772" w:rsidRDefault="00092772">
      <w:pPr>
        <w:autoSpaceDE w:val="0"/>
        <w:ind w:right="623"/>
        <w:jc w:val="both"/>
        <w:rPr>
          <w:rFonts w:ascii="Work Sans" w:hAnsi="Work Sans" w:cs="Calibri"/>
          <w:sz w:val="18"/>
          <w:szCs w:val="18"/>
          <w:lang w:eastAsia="es-ES"/>
        </w:rPr>
      </w:pPr>
    </w:p>
    <w:p w:rsidR="00092772" w:rsidRDefault="00D44972">
      <w:pPr>
        <w:autoSpaceDE w:val="0"/>
        <w:jc w:val="both"/>
      </w:pPr>
      <w:r>
        <w:rPr>
          <w:rStyle w:val="Fuentedeprrafopredeter"/>
          <w:rFonts w:ascii="Work Sans" w:hAnsi="Work Sans" w:cs="Calibri"/>
          <w:sz w:val="20"/>
          <w:szCs w:val="20"/>
          <w:lang w:val="es-CO" w:eastAsia="es-ES"/>
        </w:rPr>
        <w:t>Que de conformidad con los artículos 1 y 5 de la Ley 1508 de 2012 “</w:t>
      </w:r>
      <w:r>
        <w:rPr>
          <w:rStyle w:val="Fuentedeprrafopredeter"/>
          <w:rFonts w:ascii="Work Sans" w:hAnsi="Work Sans" w:cs="Calibri"/>
          <w:i/>
          <w:kern w:val="0"/>
          <w:sz w:val="20"/>
          <w:szCs w:val="20"/>
          <w:lang w:val="es-CO" w:eastAsia="es-ES" w:bidi="ar-SA"/>
        </w:rPr>
        <w:t>Por la cual se establece el régime</w:t>
      </w:r>
      <w:r>
        <w:rPr>
          <w:rStyle w:val="Fuentedeprrafopredeter"/>
          <w:rFonts w:ascii="Work Sans" w:hAnsi="Work Sans" w:cs="Calibri"/>
          <w:i/>
          <w:kern w:val="0"/>
          <w:sz w:val="20"/>
          <w:szCs w:val="20"/>
          <w:lang w:val="es-CO" w:eastAsia="es-ES" w:bidi="ar-SA"/>
        </w:rPr>
        <w:t>n jurídico de las Asociaciones Público Privadas, se dictan normas orgánicas de presupuesto y se dictan otras disposiciones”,</w:t>
      </w:r>
      <w:r>
        <w:rPr>
          <w:rStyle w:val="Fuentedeprrafopredeter"/>
          <w:rFonts w:ascii="Work Sans" w:hAnsi="Work Sans" w:cs="Calibri"/>
          <w:sz w:val="20"/>
          <w:szCs w:val="20"/>
          <w:lang w:val="es-CO" w:eastAsia="es-ES"/>
        </w:rPr>
        <w:t xml:space="preserve"> las Asociaciones Público-Privadas son un instrumento de vinculación de capital privado, que se materializa en un contrato entre una</w:t>
      </w:r>
      <w:r>
        <w:rPr>
          <w:rStyle w:val="Fuentedeprrafopredeter"/>
          <w:rFonts w:ascii="Work Sans" w:hAnsi="Work Sans" w:cs="Calibri"/>
          <w:sz w:val="20"/>
          <w:szCs w:val="20"/>
          <w:lang w:val="es-CO" w:eastAsia="es-ES"/>
        </w:rPr>
        <w:t xml:space="preserve"> entidad estatal y una persona natural o jurídica, en el cual se involucran mecanismos de pago relacionados con la disponibilidad, el nivel de servicio de la infraestructura y/o servicio</w:t>
      </w:r>
      <w:r>
        <w:rPr>
          <w:rStyle w:val="Fuentedeprrafopredeter"/>
          <w:rFonts w:ascii="Work Sans" w:hAnsi="Work Sans" w:cs="Calibri"/>
          <w:color w:val="000000"/>
          <w:sz w:val="20"/>
          <w:szCs w:val="20"/>
          <w:lang w:val="es-CO"/>
        </w:rPr>
        <w:t>; igualmente se contempla el derecho al recaudo de recursos de explota</w:t>
      </w:r>
      <w:r>
        <w:rPr>
          <w:rStyle w:val="Fuentedeprrafopredeter"/>
          <w:rFonts w:ascii="Work Sans" w:hAnsi="Work Sans" w:cs="Calibri"/>
          <w:color w:val="000000"/>
          <w:sz w:val="20"/>
          <w:szCs w:val="20"/>
          <w:lang w:val="es-CO"/>
        </w:rPr>
        <w:t>ción económica del proyecto.</w:t>
      </w:r>
    </w:p>
    <w:p w:rsidR="00092772" w:rsidRDefault="00092772">
      <w:pPr>
        <w:autoSpaceDE w:val="0"/>
        <w:jc w:val="both"/>
        <w:rPr>
          <w:rFonts w:ascii="Work Sans" w:hAnsi="Work Sans" w:cs="Calibri"/>
          <w:color w:val="000000"/>
          <w:sz w:val="20"/>
          <w:szCs w:val="20"/>
          <w:lang w:val="es-CO"/>
        </w:rPr>
      </w:pPr>
    </w:p>
    <w:p w:rsidR="00092772" w:rsidRDefault="00D44972">
      <w:pPr>
        <w:widowControl/>
        <w:jc w:val="both"/>
      </w:pPr>
      <w:r>
        <w:rPr>
          <w:rStyle w:val="Fuentedeprrafopredeter"/>
          <w:rFonts w:ascii="Work Sans" w:hAnsi="Work Sans" w:cs="Calibri"/>
          <w:color w:val="000000"/>
          <w:sz w:val="20"/>
          <w:szCs w:val="20"/>
          <w:lang w:val="es-CO"/>
        </w:rPr>
        <w:t xml:space="preserve">Que mediante el artículo 2 de la Resolución 1546 de mayo 27 de 2015: </w:t>
      </w:r>
      <w:r>
        <w:rPr>
          <w:rStyle w:val="Fuentedeprrafopredeter"/>
          <w:rFonts w:ascii="Work Sans" w:hAnsi="Work Sans" w:cs="Calibri"/>
          <w:i/>
          <w:iCs/>
          <w:color w:val="000000"/>
          <w:sz w:val="20"/>
          <w:szCs w:val="20"/>
          <w:lang w:val="es-CO"/>
        </w:rPr>
        <w:t xml:space="preserve">“Por la cual se establecen las tarifas a cobrar en la estación de peaje Aburrá que incluye los puntos de recaudo San Cristóbal ubicada en el PR 44+800 y </w:t>
      </w:r>
      <w:r>
        <w:rPr>
          <w:rStyle w:val="Fuentedeprrafopredeter"/>
          <w:rFonts w:ascii="Work Sans" w:hAnsi="Work Sans" w:cs="Calibri"/>
          <w:i/>
          <w:iCs/>
          <w:color w:val="000000"/>
          <w:sz w:val="20"/>
          <w:szCs w:val="20"/>
          <w:lang w:val="es-CO"/>
        </w:rPr>
        <w:t xml:space="preserve">Palmitas ubicado en el PR 39+600, que pertenecen al proyecto de asociación público privada de iniciativa pública Autopista Mar 1" </w:t>
      </w:r>
      <w:r>
        <w:rPr>
          <w:rStyle w:val="Fuentedeprrafopredeter"/>
          <w:rFonts w:ascii="Work Sans" w:hAnsi="Work Sans" w:cs="Calibri"/>
          <w:iCs/>
          <w:color w:val="000000"/>
          <w:sz w:val="20"/>
          <w:szCs w:val="20"/>
          <w:lang w:val="es-CO"/>
        </w:rPr>
        <w:t xml:space="preserve">modificado por el artículo 1 de la Resolución 3025 de 2015, se establecieron las tarifas a cobrar </w:t>
      </w:r>
      <w:r>
        <w:rPr>
          <w:rStyle w:val="Fuentedeprrafopredeter"/>
          <w:rFonts w:ascii="Work Sans" w:hAnsi="Work Sans" w:cs="Times New Roman"/>
          <w:color w:val="0A0A0A"/>
          <w:kern w:val="0"/>
          <w:sz w:val="20"/>
          <w:szCs w:val="20"/>
          <w:lang w:val="es-CO" w:eastAsia="es-CO" w:bidi="ar-SA"/>
        </w:rPr>
        <w:t>en la Estación de Peaje Abur</w:t>
      </w:r>
      <w:r>
        <w:rPr>
          <w:rStyle w:val="Fuentedeprrafopredeter"/>
          <w:rFonts w:ascii="Work Sans" w:hAnsi="Work Sans" w:cs="Times New Roman"/>
          <w:color w:val="0A0A0A"/>
          <w:kern w:val="0"/>
          <w:sz w:val="20"/>
          <w:szCs w:val="20"/>
          <w:lang w:val="es-CO" w:eastAsia="es-CO" w:bidi="ar-SA"/>
        </w:rPr>
        <w:t>rá con sus dos puntos de recaudo San Cristóbal ubicado en el PR 44 + 800 y Palmitas ubicado en el PR 39 + 600, así:</w:t>
      </w:r>
    </w:p>
    <w:p w:rsidR="00092772" w:rsidRDefault="00092772">
      <w:pPr>
        <w:autoSpaceDE w:val="0"/>
        <w:ind w:left="426" w:right="481"/>
        <w:jc w:val="both"/>
        <w:rPr>
          <w:rFonts w:ascii="Work Sans" w:hAnsi="Work Sans" w:cs="Calibri"/>
          <w:i/>
          <w:iCs/>
          <w:color w:val="000000"/>
          <w:sz w:val="20"/>
          <w:szCs w:val="20"/>
          <w:lang w:val="es-CO"/>
        </w:rPr>
      </w:pPr>
    </w:p>
    <w:p w:rsidR="00092772" w:rsidRDefault="00D44972">
      <w:pPr>
        <w:widowControl/>
        <w:ind w:left="426" w:right="481"/>
        <w:jc w:val="both"/>
      </w:pPr>
      <w:r>
        <w:rPr>
          <w:rStyle w:val="Fuentedeprrafopredeter"/>
          <w:rFonts w:ascii="Work Sans" w:hAnsi="Work Sans" w:cs="Times New Roman"/>
          <w:i/>
          <w:kern w:val="0"/>
          <w:sz w:val="18"/>
          <w:szCs w:val="18"/>
          <w:lang w:val="es-CO" w:eastAsia="es-CO" w:bidi="ar-SA"/>
        </w:rPr>
        <w:t>“Artículo 2°. </w:t>
      </w:r>
      <w:r>
        <w:rPr>
          <w:rStyle w:val="Fuentedeprrafopredeter"/>
          <w:rFonts w:ascii="Work Sans" w:hAnsi="Work Sans" w:cs="Times New Roman"/>
          <w:b/>
          <w:bCs/>
          <w:i/>
          <w:kern w:val="0"/>
          <w:sz w:val="18"/>
          <w:szCs w:val="18"/>
          <w:lang w:val="es-CO" w:eastAsia="es-CO" w:bidi="ar-SA"/>
        </w:rPr>
        <w:t>Corregido por la </w:t>
      </w:r>
      <w:hyperlink r:id="rId8" w:tooltip="Haga clic para abrir TODO el Resolución 3025 de 2015" w:history="1">
        <w:r>
          <w:rPr>
            <w:rStyle w:val="Fuentedeprrafopredeter"/>
            <w:rFonts w:ascii="Work Sans" w:hAnsi="Work Sans" w:cs="Times New Roman"/>
            <w:b/>
            <w:bCs/>
            <w:i/>
            <w:kern w:val="0"/>
            <w:sz w:val="18"/>
            <w:szCs w:val="18"/>
            <w:lang w:val="es-CO" w:eastAsia="es-CO" w:bidi="ar-SA"/>
          </w:rPr>
          <w:t>Resolución 3025 de 2015</w:t>
        </w:r>
      </w:hyperlink>
      <w:r>
        <w:rPr>
          <w:rStyle w:val="Fuentedeprrafopredeter"/>
          <w:rFonts w:ascii="Work Sans" w:hAnsi="Work Sans" w:cs="Times New Roman"/>
          <w:b/>
          <w:bCs/>
          <w:i/>
          <w:kern w:val="0"/>
          <w:sz w:val="18"/>
          <w:szCs w:val="18"/>
          <w:lang w:val="es-CO" w:eastAsia="es-CO" w:bidi="ar-SA"/>
        </w:rPr>
        <w:t>, artículo 1º.</w:t>
      </w:r>
      <w:r>
        <w:rPr>
          <w:rStyle w:val="Fuentedeprrafopredeter"/>
          <w:rFonts w:ascii="Work Sans" w:hAnsi="Work Sans" w:cs="Times New Roman"/>
          <w:i/>
          <w:kern w:val="0"/>
          <w:sz w:val="18"/>
          <w:szCs w:val="18"/>
          <w:lang w:val="es-CO" w:eastAsia="es-CO" w:bidi="ar-SA"/>
        </w:rPr>
        <w:t> Establecer las siguientes categorías y tarifas de peaje qu</w:t>
      </w:r>
      <w:r>
        <w:rPr>
          <w:rStyle w:val="Fuentedeprrafopredeter"/>
          <w:rFonts w:ascii="Work Sans" w:hAnsi="Work Sans" w:cs="Times New Roman"/>
          <w:i/>
          <w:kern w:val="0"/>
          <w:sz w:val="18"/>
          <w:szCs w:val="18"/>
          <w:lang w:val="es-CO" w:eastAsia="es-CO" w:bidi="ar-SA"/>
        </w:rPr>
        <w:t xml:space="preserve">e podrá cobrar el Concesionario en la Estación de Peaje Aburrá con sus dos puntos de recaudo San Cristóbal ubicado en el </w:t>
      </w:r>
      <w:r>
        <w:rPr>
          <w:rStyle w:val="Fuentedeprrafopredeter"/>
          <w:rFonts w:ascii="Work Sans" w:hAnsi="Work Sans" w:cs="Times New Roman"/>
          <w:i/>
          <w:color w:val="0A0A0A"/>
          <w:kern w:val="0"/>
          <w:sz w:val="18"/>
          <w:szCs w:val="18"/>
          <w:lang w:val="es-CO" w:eastAsia="es-CO" w:bidi="ar-SA"/>
        </w:rPr>
        <w:t>PR 44 + 800 y Palmitas ubicado en el PR 39 + 600:</w:t>
      </w:r>
    </w:p>
    <w:p w:rsidR="00092772" w:rsidRDefault="00D44972">
      <w:pPr>
        <w:widowControl/>
        <w:ind w:left="426" w:right="481"/>
        <w:jc w:val="both"/>
      </w:pPr>
      <w:r>
        <w:rPr>
          <w:rStyle w:val="Fuentedeprrafopredeter"/>
          <w:rFonts w:ascii="Work Sans" w:hAnsi="Work Sans" w:cs="Times New Roman"/>
          <w:i/>
          <w:color w:val="0A0A0A"/>
          <w:kern w:val="0"/>
          <w:sz w:val="18"/>
          <w:szCs w:val="18"/>
          <w:lang w:val="es-CO" w:eastAsia="es-CO" w:bidi="ar-SA"/>
        </w:rPr>
        <w:t> </w:t>
      </w:r>
    </w:p>
    <w:tbl>
      <w:tblPr>
        <w:tblW w:w="6797" w:type="dxa"/>
        <w:jc w:val="center"/>
        <w:tblCellMar>
          <w:left w:w="10" w:type="dxa"/>
          <w:right w:w="10" w:type="dxa"/>
        </w:tblCellMar>
        <w:tblLook w:val="0000" w:firstRow="0" w:lastRow="0" w:firstColumn="0" w:lastColumn="0" w:noHBand="0" w:noVBand="0"/>
      </w:tblPr>
      <w:tblGrid>
        <w:gridCol w:w="1704"/>
        <w:gridCol w:w="3389"/>
        <w:gridCol w:w="1704"/>
      </w:tblGrid>
      <w:tr w:rsidR="00092772">
        <w:tblPrEx>
          <w:tblCellMar>
            <w:top w:w="0" w:type="dxa"/>
            <w:bottom w:w="0" w:type="dxa"/>
          </w:tblCellMar>
        </w:tblPrEx>
        <w:trPr>
          <w:trHeight w:val="408"/>
          <w:jc w:val="center"/>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jc w:val="right"/>
            </w:pPr>
            <w:r>
              <w:rPr>
                <w:rStyle w:val="Fuentedeprrafopredeter"/>
                <w:rFonts w:ascii="Work Sans" w:hAnsi="Work Sans" w:cs="Times New Roman"/>
                <w:color w:val="0A0A0A"/>
                <w:kern w:val="0"/>
                <w:sz w:val="18"/>
                <w:szCs w:val="18"/>
                <w:lang w:val="es-CO" w:eastAsia="es-CO" w:bidi="ar-SA"/>
              </w:rPr>
              <w:t>CATEGORÍA</w:t>
            </w:r>
          </w:p>
        </w:tc>
        <w:tc>
          <w:tcPr>
            <w:tcW w:w="3389"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jc w:val="right"/>
            </w:pPr>
            <w:r>
              <w:rPr>
                <w:rStyle w:val="Fuentedeprrafopredeter"/>
                <w:rFonts w:ascii="Work Sans" w:hAnsi="Work Sans" w:cs="Times New Roman"/>
                <w:color w:val="0A0A0A"/>
                <w:kern w:val="0"/>
                <w:sz w:val="18"/>
                <w:szCs w:val="18"/>
                <w:lang w:val="es-CO" w:eastAsia="es-CO" w:bidi="ar-SA"/>
              </w:rPr>
              <w:t>DESCRIPCIÓN</w:t>
            </w:r>
          </w:p>
        </w:tc>
        <w:tc>
          <w:tcPr>
            <w:tcW w:w="1704"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92772" w:rsidRDefault="00D44972">
            <w:pPr>
              <w:widowControl/>
              <w:jc w:val="center"/>
            </w:pPr>
            <w:r>
              <w:rPr>
                <w:rStyle w:val="Fuentedeprrafopredeter"/>
                <w:rFonts w:ascii="Work Sans" w:hAnsi="Work Sans" w:cs="Times New Roman"/>
                <w:color w:val="0A0A0A"/>
                <w:kern w:val="0"/>
                <w:sz w:val="18"/>
                <w:szCs w:val="18"/>
                <w:lang w:val="es-CO" w:eastAsia="es-CO" w:bidi="ar-SA"/>
              </w:rPr>
              <w:t>Tarifas (pesos de 2012)</w:t>
            </w:r>
            <w:r>
              <w:rPr>
                <w:rStyle w:val="Fuentedeprrafopredeter"/>
                <w:rFonts w:ascii="Work Sans" w:hAnsi="Work Sans" w:cs="Times New Roman"/>
                <w:color w:val="0A0A0A"/>
                <w:kern w:val="0"/>
                <w:sz w:val="18"/>
                <w:szCs w:val="18"/>
                <w:lang w:val="es-CO" w:eastAsia="es-CO" w:bidi="ar-SA"/>
              </w:rPr>
              <w:br/>
            </w:r>
            <w:r>
              <w:rPr>
                <w:rStyle w:val="Fuentedeprrafopredeter"/>
                <w:rFonts w:ascii="Work Sans" w:hAnsi="Work Sans" w:cs="Times New Roman"/>
                <w:color w:val="0A0A0A"/>
                <w:kern w:val="0"/>
                <w:sz w:val="18"/>
                <w:szCs w:val="18"/>
                <w:lang w:val="es-CO" w:eastAsia="es-CO" w:bidi="ar-SA"/>
              </w:rPr>
              <w:t>No incluye FOSEVI</w:t>
            </w:r>
          </w:p>
        </w:tc>
      </w:tr>
      <w:tr w:rsidR="00092772">
        <w:tblPrEx>
          <w:tblCellMar>
            <w:top w:w="0" w:type="dxa"/>
            <w:bottom w:w="0" w:type="dxa"/>
          </w:tblCellMar>
        </w:tblPrEx>
        <w:trPr>
          <w:trHeight w:val="226"/>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pPr>
            <w:r>
              <w:rPr>
                <w:rStyle w:val="Fuentedeprrafopredeter"/>
                <w:rFonts w:ascii="Work Sans" w:hAnsi="Work Sans" w:cs="Times New Roman"/>
                <w:color w:val="0A0A0A"/>
                <w:kern w:val="0"/>
                <w:sz w:val="18"/>
                <w:szCs w:val="18"/>
                <w:lang w:val="es-CO" w:eastAsia="es-CO" w:bidi="ar-SA"/>
              </w:rPr>
              <w:t>Categoría I</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pPr>
            <w:r>
              <w:rPr>
                <w:rStyle w:val="Fuentedeprrafopredeter"/>
                <w:rFonts w:ascii="Work Sans" w:hAnsi="Work Sans" w:cs="Times New Roman"/>
                <w:color w:val="0A0A0A"/>
                <w:kern w:val="0"/>
                <w:sz w:val="18"/>
                <w:szCs w:val="18"/>
                <w:lang w:val="es-CO" w:eastAsia="es-CO" w:bidi="ar-SA"/>
              </w:rPr>
              <w:t>Automóviles, camperos, camionetas</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jc w:val="center"/>
            </w:pPr>
            <w:r>
              <w:rPr>
                <w:rStyle w:val="Fuentedeprrafopredeter"/>
                <w:rFonts w:ascii="Work Sans" w:hAnsi="Work Sans" w:cs="Times New Roman"/>
                <w:color w:val="0A0A0A"/>
                <w:kern w:val="0"/>
                <w:sz w:val="18"/>
                <w:szCs w:val="18"/>
                <w:lang w:val="es-CO" w:eastAsia="es-CO" w:bidi="ar-SA"/>
              </w:rPr>
              <w:t>$16.500</w:t>
            </w:r>
          </w:p>
        </w:tc>
      </w:tr>
      <w:tr w:rsidR="00092772">
        <w:tblPrEx>
          <w:tblCellMar>
            <w:top w:w="0" w:type="dxa"/>
            <w:bottom w:w="0" w:type="dxa"/>
          </w:tblCellMar>
        </w:tblPrEx>
        <w:trPr>
          <w:trHeight w:val="225"/>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pPr>
            <w:r>
              <w:rPr>
                <w:rStyle w:val="Fuentedeprrafopredeter"/>
                <w:rFonts w:ascii="Work Sans" w:hAnsi="Work Sans" w:cs="Times New Roman"/>
                <w:color w:val="0A0A0A"/>
                <w:kern w:val="0"/>
                <w:sz w:val="18"/>
                <w:szCs w:val="18"/>
                <w:lang w:val="es-CO" w:eastAsia="es-CO" w:bidi="ar-SA"/>
              </w:rPr>
              <w:t>Categoría II</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pPr>
            <w:r>
              <w:rPr>
                <w:rStyle w:val="Fuentedeprrafopredeter"/>
                <w:rFonts w:ascii="Work Sans" w:hAnsi="Work Sans" w:cs="Times New Roman"/>
                <w:color w:val="0A0A0A"/>
                <w:kern w:val="0"/>
                <w:sz w:val="18"/>
                <w:szCs w:val="18"/>
                <w:lang w:val="es-CO" w:eastAsia="es-CO" w:bidi="ar-SA"/>
              </w:rPr>
              <w:t>Buses, busetas, microbuses con eje trasero de doble llanta</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jc w:val="center"/>
            </w:pPr>
            <w:r>
              <w:rPr>
                <w:rStyle w:val="Fuentedeprrafopredeter"/>
                <w:rFonts w:ascii="Work Sans" w:hAnsi="Work Sans" w:cs="Times New Roman"/>
                <w:color w:val="0A0A0A"/>
                <w:kern w:val="0"/>
                <w:sz w:val="18"/>
                <w:szCs w:val="18"/>
                <w:lang w:val="es-CO" w:eastAsia="es-CO" w:bidi="ar-SA"/>
              </w:rPr>
              <w:t>$20.400</w:t>
            </w:r>
          </w:p>
        </w:tc>
      </w:tr>
      <w:tr w:rsidR="00092772">
        <w:tblPrEx>
          <w:tblCellMar>
            <w:top w:w="0" w:type="dxa"/>
            <w:bottom w:w="0" w:type="dxa"/>
          </w:tblCellMar>
        </w:tblPrEx>
        <w:trPr>
          <w:trHeight w:val="221"/>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1" w:lineRule="atLeast"/>
            </w:pPr>
            <w:r>
              <w:rPr>
                <w:rStyle w:val="Fuentedeprrafopredeter"/>
                <w:rFonts w:ascii="Work Sans" w:hAnsi="Work Sans" w:cs="Times New Roman"/>
                <w:color w:val="0A0A0A"/>
                <w:kern w:val="0"/>
                <w:sz w:val="18"/>
                <w:szCs w:val="18"/>
                <w:lang w:val="es-CO" w:eastAsia="es-CO" w:bidi="ar-SA"/>
              </w:rPr>
              <w:t>Categoría III</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1" w:lineRule="atLeast"/>
            </w:pPr>
            <w:r>
              <w:rPr>
                <w:rStyle w:val="Fuentedeprrafopredeter"/>
                <w:rFonts w:ascii="Work Sans" w:hAnsi="Work Sans" w:cs="Times New Roman"/>
                <w:color w:val="0A0A0A"/>
                <w:kern w:val="0"/>
                <w:sz w:val="18"/>
                <w:szCs w:val="18"/>
                <w:lang w:val="es-CO" w:eastAsia="es-CO" w:bidi="ar-SA"/>
              </w:rPr>
              <w:t>Camiones pequeños de dos ejes</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1" w:lineRule="atLeast"/>
              <w:jc w:val="center"/>
            </w:pPr>
            <w:r>
              <w:rPr>
                <w:rStyle w:val="Fuentedeprrafopredeter"/>
                <w:rFonts w:ascii="Work Sans" w:hAnsi="Work Sans" w:cs="Times New Roman"/>
                <w:color w:val="0A0A0A"/>
                <w:kern w:val="0"/>
                <w:sz w:val="18"/>
                <w:szCs w:val="18"/>
                <w:lang w:val="es-CO" w:eastAsia="es-CO" w:bidi="ar-SA"/>
              </w:rPr>
              <w:t>$20.400</w:t>
            </w:r>
          </w:p>
        </w:tc>
      </w:tr>
      <w:tr w:rsidR="00092772">
        <w:tblPrEx>
          <w:tblCellMar>
            <w:top w:w="0" w:type="dxa"/>
            <w:bottom w:w="0" w:type="dxa"/>
          </w:tblCellMar>
        </w:tblPrEx>
        <w:trPr>
          <w:trHeight w:val="226"/>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pPr>
            <w:r>
              <w:rPr>
                <w:rStyle w:val="Fuentedeprrafopredeter"/>
                <w:rFonts w:ascii="Work Sans" w:hAnsi="Work Sans" w:cs="Times New Roman"/>
                <w:color w:val="0A0A0A"/>
                <w:kern w:val="0"/>
                <w:sz w:val="18"/>
                <w:szCs w:val="18"/>
                <w:lang w:val="es-CO" w:eastAsia="es-CO" w:bidi="ar-SA"/>
              </w:rPr>
              <w:t>Categoría IV</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pPr>
            <w:r>
              <w:rPr>
                <w:rStyle w:val="Fuentedeprrafopredeter"/>
                <w:rFonts w:ascii="Work Sans" w:hAnsi="Work Sans" w:cs="Times New Roman"/>
                <w:color w:val="0A0A0A"/>
                <w:kern w:val="0"/>
                <w:sz w:val="18"/>
                <w:szCs w:val="18"/>
                <w:lang w:val="es-CO" w:eastAsia="es-CO" w:bidi="ar-SA"/>
              </w:rPr>
              <w:t>Camiones de grandes de dos ejes</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jc w:val="center"/>
            </w:pPr>
            <w:r>
              <w:rPr>
                <w:rStyle w:val="Fuentedeprrafopredeter"/>
                <w:rFonts w:ascii="Work Sans" w:hAnsi="Work Sans" w:cs="Times New Roman"/>
                <w:color w:val="0A0A0A"/>
                <w:kern w:val="0"/>
                <w:sz w:val="18"/>
                <w:szCs w:val="18"/>
                <w:lang w:val="es-CO" w:eastAsia="es-CO" w:bidi="ar-SA"/>
              </w:rPr>
              <w:t>$20.400</w:t>
            </w:r>
          </w:p>
        </w:tc>
      </w:tr>
      <w:tr w:rsidR="00092772">
        <w:tblPrEx>
          <w:tblCellMar>
            <w:top w:w="0" w:type="dxa"/>
            <w:bottom w:w="0" w:type="dxa"/>
          </w:tblCellMar>
        </w:tblPrEx>
        <w:trPr>
          <w:trHeight w:val="225"/>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pPr>
            <w:r>
              <w:rPr>
                <w:rStyle w:val="Fuentedeprrafopredeter"/>
                <w:rFonts w:ascii="Work Sans" w:hAnsi="Work Sans" w:cs="Times New Roman"/>
                <w:color w:val="0A0A0A"/>
                <w:kern w:val="0"/>
                <w:sz w:val="18"/>
                <w:szCs w:val="18"/>
                <w:lang w:val="es-CO" w:eastAsia="es-CO" w:bidi="ar-SA"/>
              </w:rPr>
              <w:t>Categoría V</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pPr>
            <w:r>
              <w:rPr>
                <w:rStyle w:val="Fuentedeprrafopredeter"/>
                <w:rFonts w:ascii="Work Sans" w:hAnsi="Work Sans" w:cs="Times New Roman"/>
                <w:color w:val="0A0A0A"/>
                <w:kern w:val="0"/>
                <w:sz w:val="18"/>
                <w:szCs w:val="18"/>
                <w:lang w:val="es-CO" w:eastAsia="es-CO" w:bidi="ar-SA"/>
              </w:rPr>
              <w:t xml:space="preserve">Camiones de </w:t>
            </w:r>
            <w:r>
              <w:rPr>
                <w:rStyle w:val="Fuentedeprrafopredeter"/>
                <w:rFonts w:ascii="Work Sans" w:hAnsi="Work Sans" w:cs="Times New Roman"/>
                <w:color w:val="0A0A0A"/>
                <w:kern w:val="0"/>
                <w:sz w:val="18"/>
                <w:szCs w:val="18"/>
                <w:lang w:val="es-CO" w:eastAsia="es-CO" w:bidi="ar-SA"/>
              </w:rPr>
              <w:t>tres y cuatro ejes.</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jc w:val="center"/>
            </w:pPr>
            <w:r>
              <w:rPr>
                <w:rStyle w:val="Fuentedeprrafopredeter"/>
                <w:rFonts w:ascii="Work Sans" w:hAnsi="Work Sans" w:cs="Times New Roman"/>
                <w:color w:val="0A0A0A"/>
                <w:kern w:val="0"/>
                <w:sz w:val="18"/>
                <w:szCs w:val="18"/>
                <w:lang w:val="es-CO" w:eastAsia="es-CO" w:bidi="ar-SA"/>
              </w:rPr>
              <w:t>$49.100</w:t>
            </w:r>
          </w:p>
        </w:tc>
      </w:tr>
      <w:tr w:rsidR="00092772">
        <w:tblPrEx>
          <w:tblCellMar>
            <w:top w:w="0" w:type="dxa"/>
            <w:bottom w:w="0" w:type="dxa"/>
          </w:tblCellMar>
        </w:tblPrEx>
        <w:trPr>
          <w:trHeight w:val="226"/>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pPr>
            <w:r>
              <w:rPr>
                <w:rStyle w:val="Fuentedeprrafopredeter"/>
                <w:rFonts w:ascii="Work Sans" w:hAnsi="Work Sans" w:cs="Times New Roman"/>
                <w:color w:val="0A0A0A"/>
                <w:kern w:val="0"/>
                <w:sz w:val="18"/>
                <w:szCs w:val="18"/>
                <w:lang w:val="es-CO" w:eastAsia="es-CO" w:bidi="ar-SA"/>
              </w:rPr>
              <w:t>Categoría VI</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pPr>
            <w:r>
              <w:rPr>
                <w:rStyle w:val="Fuentedeprrafopredeter"/>
                <w:rFonts w:ascii="Work Sans" w:hAnsi="Work Sans" w:cs="Times New Roman"/>
                <w:color w:val="0A0A0A"/>
                <w:kern w:val="0"/>
                <w:sz w:val="18"/>
                <w:szCs w:val="18"/>
                <w:lang w:val="es-CO" w:eastAsia="es-CO" w:bidi="ar-SA"/>
              </w:rPr>
              <w:t>Camiones de cinco ejes</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6" w:lineRule="atLeast"/>
              <w:jc w:val="center"/>
            </w:pPr>
            <w:r>
              <w:rPr>
                <w:rStyle w:val="Fuentedeprrafopredeter"/>
                <w:rFonts w:ascii="Work Sans" w:hAnsi="Work Sans" w:cs="Times New Roman"/>
                <w:color w:val="0A0A0A"/>
                <w:kern w:val="0"/>
                <w:sz w:val="18"/>
                <w:szCs w:val="18"/>
                <w:lang w:val="es-CO" w:eastAsia="es-CO" w:bidi="ar-SA"/>
              </w:rPr>
              <w:t>$61.600</w:t>
            </w:r>
          </w:p>
        </w:tc>
      </w:tr>
      <w:tr w:rsidR="00092772">
        <w:tblPrEx>
          <w:tblCellMar>
            <w:top w:w="0" w:type="dxa"/>
            <w:bottom w:w="0" w:type="dxa"/>
          </w:tblCellMar>
        </w:tblPrEx>
        <w:trPr>
          <w:trHeight w:val="225"/>
          <w:jc w:val="center"/>
        </w:trPr>
        <w:tc>
          <w:tcPr>
            <w:tcW w:w="170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pPr>
            <w:r>
              <w:rPr>
                <w:rStyle w:val="Fuentedeprrafopredeter"/>
                <w:rFonts w:ascii="Work Sans" w:hAnsi="Work Sans" w:cs="Times New Roman"/>
                <w:color w:val="0A0A0A"/>
                <w:kern w:val="0"/>
                <w:sz w:val="18"/>
                <w:szCs w:val="18"/>
                <w:lang w:val="es-CO" w:eastAsia="es-CO" w:bidi="ar-SA"/>
              </w:rPr>
              <w:t>Categoría VII</w:t>
            </w:r>
          </w:p>
        </w:tc>
        <w:tc>
          <w:tcPr>
            <w:tcW w:w="338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pPr>
            <w:r>
              <w:rPr>
                <w:rStyle w:val="Fuentedeprrafopredeter"/>
                <w:rFonts w:ascii="Work Sans" w:hAnsi="Work Sans" w:cs="Times New Roman"/>
                <w:color w:val="0A0A0A"/>
                <w:kern w:val="0"/>
                <w:sz w:val="18"/>
                <w:szCs w:val="18"/>
                <w:lang w:val="es-CO" w:eastAsia="es-CO" w:bidi="ar-SA"/>
              </w:rPr>
              <w:t>Camiones de seis ejes o más</w:t>
            </w:r>
          </w:p>
        </w:tc>
        <w:tc>
          <w:tcPr>
            <w:tcW w:w="1704"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092772" w:rsidRDefault="00D44972">
            <w:pPr>
              <w:widowControl/>
              <w:spacing w:line="225" w:lineRule="atLeast"/>
              <w:jc w:val="center"/>
            </w:pPr>
            <w:r>
              <w:rPr>
                <w:rStyle w:val="Fuentedeprrafopredeter"/>
                <w:rFonts w:ascii="Work Sans" w:hAnsi="Work Sans" w:cs="Times New Roman"/>
                <w:color w:val="0A0A0A"/>
                <w:kern w:val="0"/>
                <w:sz w:val="18"/>
                <w:szCs w:val="18"/>
                <w:lang w:val="es-CO" w:eastAsia="es-CO" w:bidi="ar-SA"/>
              </w:rPr>
              <w:t>$71.300</w:t>
            </w:r>
          </w:p>
        </w:tc>
      </w:tr>
    </w:tbl>
    <w:p w:rsidR="00092772" w:rsidRDefault="00D44972">
      <w:pPr>
        <w:widowControl/>
        <w:textAlignment w:val="auto"/>
      </w:pPr>
      <w:r>
        <w:rPr>
          <w:rStyle w:val="Fuentedeprrafopredeter"/>
          <w:rFonts w:ascii="Work Sans" w:hAnsi="Work Sans" w:cs="Times New Roman"/>
          <w:color w:val="000000"/>
          <w:kern w:val="0"/>
          <w:sz w:val="18"/>
          <w:szCs w:val="18"/>
          <w:lang w:val="en-US" w:eastAsia="es-CO" w:bidi="ar-SA"/>
        </w:rPr>
        <w:t> </w:t>
      </w:r>
    </w:p>
    <w:p w:rsidR="00092772" w:rsidRDefault="00D44972">
      <w:pPr>
        <w:widowControl/>
        <w:ind w:left="426" w:right="481"/>
        <w:jc w:val="both"/>
      </w:pPr>
      <w:r>
        <w:rPr>
          <w:rStyle w:val="Fuentedeprrafopredeter"/>
          <w:rFonts w:ascii="Work Sans" w:hAnsi="Work Sans" w:cs="Times New Roman"/>
          <w:b/>
          <w:bCs/>
          <w:i/>
          <w:color w:val="0A0A0A"/>
          <w:kern w:val="0"/>
          <w:sz w:val="18"/>
          <w:szCs w:val="18"/>
          <w:lang w:val="es-CO" w:eastAsia="es-CO" w:bidi="ar-SA"/>
        </w:rPr>
        <w:t>Parágrafo 1°. </w:t>
      </w:r>
      <w:r>
        <w:rPr>
          <w:rStyle w:val="Fuentedeprrafopredeter"/>
          <w:rFonts w:ascii="Work Sans" w:hAnsi="Work Sans" w:cs="Times New Roman"/>
          <w:i/>
          <w:color w:val="0A0A0A"/>
          <w:kern w:val="0"/>
          <w:sz w:val="18"/>
          <w:szCs w:val="18"/>
          <w:lang w:val="es-CO" w:eastAsia="es-CO" w:bidi="ar-SA"/>
        </w:rPr>
        <w:t xml:space="preserve">El derecho a percibir la retribución por recaudo de peajes, solo procederá una vez se cumplan los presupuestos </w:t>
      </w:r>
      <w:r>
        <w:rPr>
          <w:rStyle w:val="Fuentedeprrafopredeter"/>
          <w:rFonts w:ascii="Work Sans" w:hAnsi="Work Sans" w:cs="Times New Roman"/>
          <w:i/>
          <w:color w:val="0A0A0A"/>
          <w:kern w:val="0"/>
          <w:sz w:val="18"/>
          <w:szCs w:val="18"/>
          <w:lang w:val="es-CO" w:eastAsia="es-CO" w:bidi="ar-SA"/>
        </w:rPr>
        <w:t>establecidos en el Contrato de Concesión que se suscriba de conformidad con el Proceso Licitatorio número VJ-VE-IP-LP-022-2013.</w:t>
      </w:r>
    </w:p>
    <w:p w:rsidR="00092772" w:rsidRDefault="00D44972">
      <w:pPr>
        <w:widowControl/>
        <w:ind w:left="426" w:right="481"/>
        <w:jc w:val="both"/>
      </w:pPr>
      <w:r>
        <w:rPr>
          <w:rStyle w:val="Fuentedeprrafopredeter"/>
          <w:rFonts w:ascii="Work Sans" w:hAnsi="Work Sans" w:cs="Times New Roman"/>
          <w:b/>
          <w:bCs/>
          <w:i/>
          <w:color w:val="0A0A0A"/>
          <w:kern w:val="0"/>
          <w:sz w:val="18"/>
          <w:szCs w:val="18"/>
          <w:lang w:val="es-CO" w:eastAsia="es-CO" w:bidi="ar-SA"/>
        </w:rPr>
        <w:t> </w:t>
      </w:r>
    </w:p>
    <w:p w:rsidR="00092772" w:rsidRDefault="00D44972">
      <w:pPr>
        <w:widowControl/>
        <w:ind w:left="426" w:right="481"/>
        <w:jc w:val="both"/>
        <w:textAlignment w:val="auto"/>
      </w:pPr>
      <w:r>
        <w:rPr>
          <w:rStyle w:val="Fuentedeprrafopredeter"/>
          <w:rFonts w:ascii="Work Sans" w:hAnsi="Work Sans" w:cs="Times New Roman"/>
          <w:b/>
          <w:bCs/>
          <w:i/>
          <w:color w:val="0A0A0A"/>
          <w:kern w:val="0"/>
          <w:sz w:val="18"/>
          <w:szCs w:val="18"/>
          <w:lang w:val="es-CO" w:eastAsia="es-CO" w:bidi="ar-SA"/>
        </w:rPr>
        <w:t>Parágrafo 2°. </w:t>
      </w:r>
      <w:r>
        <w:rPr>
          <w:rStyle w:val="Fuentedeprrafopredeter"/>
          <w:rFonts w:ascii="Work Sans" w:hAnsi="Work Sans" w:cs="Times New Roman"/>
          <w:i/>
          <w:color w:val="0A0A0A"/>
          <w:kern w:val="0"/>
          <w:sz w:val="18"/>
          <w:szCs w:val="18"/>
          <w:lang w:val="es-CO" w:eastAsia="es-CO" w:bidi="ar-SA"/>
        </w:rPr>
        <w:t>Las tarifas establecidas en el presente artículo serán cobradas a partir de la suscripción del Acta de Terminaci</w:t>
      </w:r>
      <w:r>
        <w:rPr>
          <w:rStyle w:val="Fuentedeprrafopredeter"/>
          <w:rFonts w:ascii="Work Sans" w:hAnsi="Work Sans" w:cs="Times New Roman"/>
          <w:i/>
          <w:color w:val="0A0A0A"/>
          <w:kern w:val="0"/>
          <w:sz w:val="18"/>
          <w:szCs w:val="18"/>
          <w:lang w:val="es-CO" w:eastAsia="es-CO" w:bidi="ar-SA"/>
        </w:rPr>
        <w:t>ón de la Unidad Funcional o del Acta de Terminación Parcial de la Unidad Funcional en la que se encuentra ubicada cada punto de recaudo de conformidad con los establecidos en el contrato de concesión que se suscriba del Proceso Licitatorio número VJ-VE-IP-</w:t>
      </w:r>
      <w:r>
        <w:rPr>
          <w:rStyle w:val="Fuentedeprrafopredeter"/>
          <w:rFonts w:ascii="Work Sans" w:hAnsi="Work Sans" w:cs="Times New Roman"/>
          <w:i/>
          <w:color w:val="0A0A0A"/>
          <w:kern w:val="0"/>
          <w:sz w:val="18"/>
          <w:szCs w:val="18"/>
          <w:lang w:val="es-CO" w:eastAsia="es-CO" w:bidi="ar-SA"/>
        </w:rPr>
        <w:t>LP-022-2013”.</w:t>
      </w:r>
    </w:p>
    <w:p w:rsidR="00092772" w:rsidRDefault="00092772">
      <w:pPr>
        <w:autoSpaceDE w:val="0"/>
        <w:jc w:val="both"/>
        <w:rPr>
          <w:rFonts w:ascii="Work Sans" w:hAnsi="Work Sans" w:cs="Calibri"/>
          <w:color w:val="000000"/>
          <w:sz w:val="20"/>
          <w:szCs w:val="20"/>
          <w:lang w:val="es-CO"/>
        </w:rPr>
      </w:pPr>
    </w:p>
    <w:p w:rsidR="00092772" w:rsidRDefault="00D44972">
      <w:pPr>
        <w:autoSpaceDE w:val="0"/>
        <w:jc w:val="both"/>
      </w:pPr>
      <w:r>
        <w:rPr>
          <w:rStyle w:val="Fuentedeprrafopredeter"/>
          <w:rFonts w:ascii="Work Sans" w:hAnsi="Work Sans" w:cs="Calibri"/>
          <w:color w:val="000000"/>
          <w:sz w:val="20"/>
          <w:szCs w:val="20"/>
          <w:lang w:val="es-CO"/>
        </w:rPr>
        <w:t xml:space="preserve">Que mediante el artículo 2 de la Resolución 3025 de agosto 27 de agosto de 2015 </w:t>
      </w:r>
      <w:r>
        <w:rPr>
          <w:rStyle w:val="Fuentedeprrafopredeter"/>
          <w:rFonts w:ascii="Work Sans" w:hAnsi="Work Sans" w:cs="Calibri"/>
          <w:i/>
          <w:iCs/>
          <w:color w:val="000000"/>
          <w:sz w:val="20"/>
          <w:szCs w:val="20"/>
          <w:lang w:val="es-CO"/>
        </w:rPr>
        <w:t>“Por la cual se corrige un yerro en el artículo 2 de la Resolución 1546 de 2015”</w:t>
      </w:r>
      <w:r>
        <w:rPr>
          <w:rStyle w:val="Fuentedeprrafopredeter"/>
          <w:rFonts w:ascii="Work Sans" w:hAnsi="Work Sans" w:cs="Calibri"/>
          <w:iCs/>
          <w:color w:val="000000"/>
          <w:sz w:val="20"/>
          <w:szCs w:val="20"/>
          <w:lang w:val="es-CO"/>
        </w:rPr>
        <w:t xml:space="preserve"> se corrigió un yerro de la resolución 1546 de 2015, en el siguiente sentido:</w:t>
      </w:r>
    </w:p>
    <w:p w:rsidR="00092772" w:rsidRDefault="00092772">
      <w:pPr>
        <w:autoSpaceDE w:val="0"/>
        <w:jc w:val="both"/>
        <w:rPr>
          <w:rFonts w:ascii="Work Sans" w:hAnsi="Work Sans" w:cs="Calibri"/>
          <w:iCs/>
          <w:color w:val="000000"/>
          <w:sz w:val="20"/>
          <w:szCs w:val="20"/>
          <w:lang w:val="es-CO"/>
        </w:rPr>
      </w:pPr>
    </w:p>
    <w:p w:rsidR="00092772" w:rsidRDefault="00D44972">
      <w:pPr>
        <w:autoSpaceDE w:val="0"/>
        <w:ind w:left="426" w:right="481"/>
        <w:jc w:val="both"/>
      </w:pPr>
      <w:r>
        <w:rPr>
          <w:rStyle w:val="Fuentedeprrafopredeter"/>
          <w:rFonts w:ascii="Work Sans" w:hAnsi="Work Sans"/>
          <w:i/>
          <w:sz w:val="18"/>
          <w:szCs w:val="18"/>
        </w:rPr>
        <w:t>“</w:t>
      </w:r>
      <w:r>
        <w:rPr>
          <w:rStyle w:val="Fuentedeprrafopredeter"/>
          <w:rFonts w:ascii="Work Sans" w:hAnsi="Work Sans"/>
          <w:i/>
          <w:sz w:val="18"/>
          <w:szCs w:val="18"/>
        </w:rPr>
        <w:t>Que por error involuntario se digitó en el encabezado de la tercera columna del artículo 2° de la </w:t>
      </w:r>
      <w:hyperlink r:id="rId9" w:tooltip="Haga clic para abrir TODO el Resolución número 1546 de 2015" w:history="1">
        <w:r>
          <w:rPr>
            <w:rStyle w:val="Fuentedeprrafopredeter"/>
            <w:rFonts w:ascii="Work Sans" w:hAnsi="Work Sans"/>
            <w:i/>
            <w:sz w:val="18"/>
            <w:szCs w:val="18"/>
          </w:rPr>
          <w:t>Resolución número 1546 de 2015</w:t>
        </w:r>
      </w:hyperlink>
      <w:r>
        <w:rPr>
          <w:rStyle w:val="Fuentedeprrafopredeter"/>
          <w:rFonts w:ascii="Work Sans" w:hAnsi="Work Sans"/>
          <w:i/>
          <w:sz w:val="18"/>
          <w:szCs w:val="18"/>
        </w:rPr>
        <w:t>, “TARIFAS (Precios de 2013) No incluye FOSE-VI”, debiéndose citar “TARIFAS (Pesos de 2012) No incluye FOSEVI” y se establecieron descripciones vehiculares en la tabla de tarifas del artículo 2° del citado acto admi</w:t>
      </w:r>
      <w:r>
        <w:rPr>
          <w:rStyle w:val="Fuentedeprrafopredeter"/>
          <w:rFonts w:ascii="Work Sans" w:hAnsi="Work Sans"/>
          <w:i/>
          <w:sz w:val="18"/>
          <w:szCs w:val="18"/>
        </w:rPr>
        <w:t>nistrativo que no corresponden a las establecidas en las demás resoluciones expedidas para los proyectos de Autopistas para la Prosperidad”.</w:t>
      </w:r>
    </w:p>
    <w:p w:rsidR="00092772" w:rsidRDefault="00092772">
      <w:pPr>
        <w:autoSpaceDE w:val="0"/>
        <w:jc w:val="both"/>
        <w:rPr>
          <w:rFonts w:ascii="Work Sans" w:hAnsi="Work Sans" w:cs="Calibri"/>
          <w:color w:val="000000"/>
          <w:sz w:val="20"/>
          <w:szCs w:val="20"/>
          <w:lang w:val="es-CO"/>
        </w:rPr>
      </w:pPr>
    </w:p>
    <w:p w:rsidR="00092772" w:rsidRDefault="00D44972">
      <w:pPr>
        <w:tabs>
          <w:tab w:val="left" w:pos="4320"/>
        </w:tabs>
        <w:jc w:val="both"/>
      </w:pPr>
      <w:r>
        <w:rPr>
          <w:rStyle w:val="Fuentedeprrafopredeter"/>
          <w:rFonts w:ascii="Work Sans" w:eastAsia="DengXian Light" w:hAnsi="Work Sans" w:cs="Times New Roman"/>
          <w:sz w:val="20"/>
          <w:szCs w:val="20"/>
          <w:lang w:val="es-CO"/>
        </w:rPr>
        <w:t xml:space="preserve">Que mediante oficio con número de radicado 20225000430701 de diciembre 28 de 2022, la Agencia Nacional de </w:t>
      </w:r>
      <w:r>
        <w:rPr>
          <w:rStyle w:val="Fuentedeprrafopredeter"/>
          <w:rFonts w:ascii="Work Sans" w:eastAsia="DengXian Light" w:hAnsi="Work Sans" w:cs="Times New Roman"/>
          <w:sz w:val="20"/>
          <w:szCs w:val="20"/>
          <w:lang w:val="es-CO"/>
        </w:rPr>
        <w:t xml:space="preserve">Infraestructura solicitó a esta entidad, un incremento progresivo de la estructura tarifaria de la estación de peaje Aburrá para el Proyecto de Concesión Vial bajo </w:t>
      </w:r>
      <w:r>
        <w:rPr>
          <w:rStyle w:val="Fuentedeprrafopredeter"/>
          <w:rFonts w:ascii="Work Sans" w:eastAsia="Arial Narrow" w:hAnsi="Work Sans" w:cs="Times New Roman"/>
          <w:sz w:val="20"/>
          <w:szCs w:val="20"/>
          <w:lang w:val="es-CO"/>
        </w:rPr>
        <w:t xml:space="preserve">el esquema de APP “Autopista al Mar 1” Contrato No. 014 de 2015, </w:t>
      </w:r>
      <w:r>
        <w:rPr>
          <w:rStyle w:val="Fuentedeprrafopredeter"/>
          <w:rFonts w:ascii="Work Sans" w:hAnsi="Work Sans" w:cs="Times New Roman"/>
          <w:sz w:val="20"/>
          <w:szCs w:val="20"/>
          <w:lang w:val="es-CO"/>
        </w:rPr>
        <w:t>con fundamento en lo siguie</w:t>
      </w:r>
      <w:r>
        <w:rPr>
          <w:rStyle w:val="Fuentedeprrafopredeter"/>
          <w:rFonts w:ascii="Work Sans" w:hAnsi="Work Sans" w:cs="Times New Roman"/>
          <w:sz w:val="20"/>
          <w:szCs w:val="20"/>
          <w:lang w:val="es-CO"/>
        </w:rPr>
        <w:t>nte:</w:t>
      </w:r>
    </w:p>
    <w:p w:rsidR="00092772" w:rsidRDefault="00092772">
      <w:pPr>
        <w:ind w:left="567"/>
        <w:jc w:val="both"/>
        <w:rPr>
          <w:rFonts w:ascii="Work Sans" w:eastAsia="Arial Narrow" w:hAnsi="Work Sans" w:cs="Calibri"/>
          <w:i/>
          <w:iCs/>
          <w:sz w:val="20"/>
          <w:szCs w:val="20"/>
          <w:shd w:val="clear" w:color="auto" w:fill="00FF00"/>
          <w:lang w:val="es-CO"/>
        </w:rPr>
      </w:pPr>
    </w:p>
    <w:p w:rsidR="00092772" w:rsidRDefault="00D44972">
      <w:pPr>
        <w:widowControl/>
        <w:numPr>
          <w:ilvl w:val="0"/>
          <w:numId w:val="20"/>
        </w:numPr>
        <w:ind w:left="426" w:right="481" w:hanging="11"/>
        <w:jc w:val="both"/>
        <w:textAlignment w:val="auto"/>
        <w:rPr>
          <w:rFonts w:ascii="Work Sans" w:eastAsia="DengXian Light" w:hAnsi="Work Sans" w:cs="Calibri"/>
          <w:b/>
          <w:bCs/>
          <w:i/>
          <w:iCs/>
          <w:sz w:val="18"/>
          <w:szCs w:val="18"/>
          <w:u w:val="single"/>
          <w:lang w:bidi="ar-SA"/>
        </w:rPr>
      </w:pPr>
      <w:r>
        <w:rPr>
          <w:rFonts w:ascii="Work Sans" w:eastAsia="DengXian Light" w:hAnsi="Work Sans" w:cs="Calibri"/>
          <w:b/>
          <w:bCs/>
          <w:i/>
          <w:iCs/>
          <w:sz w:val="18"/>
          <w:szCs w:val="18"/>
          <w:u w:val="single"/>
          <w:lang w:bidi="ar-SA"/>
        </w:rPr>
        <w:t>ANTECEDENTES DEL PROYECTO AUTOPISTA AL MAR 1</w:t>
      </w:r>
    </w:p>
    <w:p w:rsidR="00092772" w:rsidRDefault="00092772">
      <w:pPr>
        <w:ind w:left="426" w:right="481" w:hanging="11"/>
        <w:jc w:val="both"/>
        <w:rPr>
          <w:rFonts w:ascii="Work Sans" w:hAnsi="Work Sans" w:cs="Calibri"/>
          <w:b/>
          <w:i/>
          <w:iCs/>
          <w:sz w:val="18"/>
          <w:szCs w:val="18"/>
          <w:lang w:val="es-CO"/>
        </w:rPr>
      </w:pPr>
    </w:p>
    <w:p w:rsidR="00092772" w:rsidRDefault="00D44972">
      <w:pPr>
        <w:ind w:left="426" w:right="481" w:hanging="11"/>
        <w:jc w:val="both"/>
      </w:pPr>
      <w:bookmarkStart w:id="1" w:name="_Hlk100222654"/>
      <w:r>
        <w:rPr>
          <w:rStyle w:val="Fuentedeprrafopredeter"/>
          <w:rFonts w:ascii="Work Sans" w:hAnsi="Work Sans" w:cs="Calibri"/>
          <w:i/>
          <w:iCs/>
          <w:sz w:val="18"/>
          <w:szCs w:val="18"/>
          <w:lang w:val="es"/>
        </w:rPr>
        <w:t xml:space="preserve">En cumplimiento de las competencias asignadas a la Agencia Nacional de Infraestructura - ANI, se adelantó el proceso de selección para la adjudicación del contrato correspondiente al proyecto “Autopista </w:t>
      </w:r>
      <w:r>
        <w:rPr>
          <w:rStyle w:val="Fuentedeprrafopredeter"/>
          <w:rFonts w:ascii="Work Sans" w:hAnsi="Work Sans" w:cs="Calibri"/>
          <w:i/>
          <w:iCs/>
          <w:sz w:val="18"/>
          <w:szCs w:val="18"/>
          <w:lang w:val="es"/>
        </w:rPr>
        <w:t xml:space="preserve">al Mar 1” culminando con la suscripción del Contrato de Concesión No. 014 de 2015, con la sociedad DESARROLLO VIAL AL MAR S.A.S.-DEVIMAR S.A.S., el cual, de acuerdo con la Sección 2.1 de su Parte General, contempla como objeto “(…) </w:t>
      </w:r>
      <w:r>
        <w:rPr>
          <w:rStyle w:val="Fuentedeprrafopredeter"/>
          <w:rFonts w:ascii="Work Sans" w:hAnsi="Work Sans" w:cs="Calibri"/>
          <w:i/>
          <w:iCs/>
          <w:sz w:val="18"/>
          <w:szCs w:val="18"/>
          <w:lang w:val="es-CO"/>
        </w:rPr>
        <w:t>el otorgamiento de una c</w:t>
      </w:r>
      <w:r>
        <w:rPr>
          <w:rStyle w:val="Fuentedeprrafopredeter"/>
          <w:rFonts w:ascii="Work Sans" w:hAnsi="Work Sans" w:cs="Calibri"/>
          <w:i/>
          <w:iCs/>
          <w:sz w:val="18"/>
          <w:szCs w:val="18"/>
          <w:lang w:val="es-CO"/>
        </w:rPr>
        <w:t xml:space="preserve">oncesión para que, de conformidad con lo previsto en este Contrato, el Concesionario, por su cuenta y riesgo, lleve a cabo el Proyecto. El alcance físico del proyecto se describe en la Parte Especial y en el Apéndice Técnico 1”, y cuyo alcance, conforme a </w:t>
      </w:r>
      <w:r>
        <w:rPr>
          <w:rStyle w:val="Fuentedeprrafopredeter"/>
          <w:rFonts w:ascii="Work Sans" w:hAnsi="Work Sans" w:cs="Calibri"/>
          <w:i/>
          <w:iCs/>
          <w:sz w:val="18"/>
          <w:szCs w:val="18"/>
          <w:lang w:val="es-CO"/>
        </w:rPr>
        <w:t>la Sección 3.2 de su Parte Especial es: “(…) Los estudios y diseños definitivos, financiación, gestión ambiental, predial y social, construcción, mejoramiento, rehabilitación, operación, mantenimiento y reversión de la Concesión Autopista al Mar 1, del Pro</w:t>
      </w:r>
      <w:r>
        <w:rPr>
          <w:rStyle w:val="Fuentedeprrafopredeter"/>
          <w:rFonts w:ascii="Work Sans" w:hAnsi="Work Sans" w:cs="Calibri"/>
          <w:i/>
          <w:iCs/>
          <w:sz w:val="18"/>
          <w:szCs w:val="18"/>
          <w:lang w:val="es-CO"/>
        </w:rPr>
        <w:t>yecto “Autopistas para la Prosperidad, de acuerdo con el Apéndice Técnico 1 y demás Apéndices del Contrato”.</w:t>
      </w:r>
    </w:p>
    <w:p w:rsidR="00092772" w:rsidRDefault="00092772">
      <w:pPr>
        <w:ind w:left="426" w:right="481" w:hanging="11"/>
        <w:jc w:val="both"/>
        <w:rPr>
          <w:rFonts w:ascii="Work Sans" w:hAnsi="Work Sans" w:cs="Calibri"/>
          <w:i/>
          <w:iCs/>
          <w:sz w:val="18"/>
          <w:szCs w:val="18"/>
          <w:lang w:val="es-CO"/>
        </w:rPr>
      </w:pPr>
    </w:p>
    <w:p w:rsidR="00092772" w:rsidRDefault="00D44972">
      <w:pPr>
        <w:shd w:val="clear" w:color="auto" w:fill="FFFFFF"/>
        <w:ind w:left="426" w:right="481" w:hanging="11"/>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El literal (b) de la Sección 3.5 “Entrega de la Infraestructura”, señala:</w:t>
      </w:r>
    </w:p>
    <w:p w:rsidR="00092772" w:rsidRDefault="00092772">
      <w:pPr>
        <w:shd w:val="clear" w:color="auto" w:fill="FFFFFF"/>
        <w:ind w:left="426" w:right="481" w:hanging="11"/>
        <w:jc w:val="both"/>
        <w:rPr>
          <w:rFonts w:ascii="Work Sans" w:hAnsi="Work Sans" w:cs="Calibri"/>
          <w:i/>
          <w:iCs/>
          <w:color w:val="000000"/>
          <w:sz w:val="18"/>
          <w:szCs w:val="18"/>
          <w:lang w:val="es-CO" w:eastAsia="es-CO"/>
        </w:rPr>
      </w:pPr>
    </w:p>
    <w:p w:rsidR="00092772" w:rsidRDefault="00D44972">
      <w:pPr>
        <w:shd w:val="clear" w:color="auto" w:fill="FFFFFF"/>
        <w:ind w:left="426" w:right="481" w:hanging="11"/>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w:t>
      </w:r>
    </w:p>
    <w:p w:rsidR="00092772" w:rsidRDefault="00092772">
      <w:pPr>
        <w:shd w:val="clear" w:color="auto" w:fill="FFFFFF"/>
        <w:ind w:left="426" w:right="481" w:hanging="11"/>
        <w:jc w:val="both"/>
        <w:rPr>
          <w:rFonts w:ascii="Work Sans" w:hAnsi="Work Sans" w:cs="Calibri"/>
          <w:i/>
          <w:iCs/>
          <w:color w:val="000000"/>
          <w:sz w:val="18"/>
          <w:szCs w:val="18"/>
          <w:lang w:val="es-CO" w:eastAsia="es-CO"/>
        </w:rPr>
      </w:pPr>
    </w:p>
    <w:p w:rsidR="00092772" w:rsidRDefault="00D44972">
      <w:pPr>
        <w:shd w:val="clear" w:color="auto" w:fill="FFFFFF"/>
        <w:ind w:left="426" w:right="481" w:hanging="11"/>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(b) Dentro de la infraestructura programada para ser recibida por</w:t>
      </w:r>
      <w:r>
        <w:rPr>
          <w:rFonts w:ascii="Work Sans" w:hAnsi="Work Sans" w:cs="Calibri"/>
          <w:i/>
          <w:iCs/>
          <w:color w:val="000000"/>
          <w:sz w:val="18"/>
          <w:szCs w:val="18"/>
          <w:lang w:val="es-CO" w:eastAsia="es-CO"/>
        </w:rPr>
        <w:t xml:space="preserve"> el Concesionario al inicio del Contrato se encuentran las siguientes vías:</w:t>
      </w:r>
    </w:p>
    <w:p w:rsidR="00092772" w:rsidRDefault="00092772">
      <w:pPr>
        <w:shd w:val="clear" w:color="auto" w:fill="FFFFFF"/>
        <w:ind w:left="708" w:right="333"/>
        <w:jc w:val="both"/>
        <w:rPr>
          <w:rFonts w:ascii="Work Sans" w:hAnsi="Work Sans" w:cs="Calibri"/>
          <w:i/>
          <w:iCs/>
          <w:color w:val="000000"/>
          <w:sz w:val="18"/>
          <w:szCs w:val="18"/>
          <w:lang w:val="es-CO" w:eastAsia="es-CO"/>
        </w:rPr>
      </w:pPr>
    </w:p>
    <w:tbl>
      <w:tblPr>
        <w:tblW w:w="7509" w:type="dxa"/>
        <w:tblInd w:w="708" w:type="dxa"/>
        <w:tblCellMar>
          <w:left w:w="10" w:type="dxa"/>
          <w:right w:w="10" w:type="dxa"/>
        </w:tblCellMar>
        <w:tblLook w:val="0000" w:firstRow="0" w:lastRow="0" w:firstColumn="0" w:lastColumn="0" w:noHBand="0" w:noVBand="0"/>
      </w:tblPr>
      <w:tblGrid>
        <w:gridCol w:w="2320"/>
        <w:gridCol w:w="2611"/>
        <w:gridCol w:w="2578"/>
      </w:tblGrid>
      <w:tr w:rsidR="00092772">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No. de Contrato</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Objeto</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Fecha estimada de terminación</w:t>
            </w:r>
          </w:p>
        </w:tc>
      </w:tr>
      <w:tr w:rsidR="00092772">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Convenio 0583-1996</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Construcción De 4.1. Km.</w:t>
            </w:r>
          </w:p>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Tramo San Cristóbal - Carrera</w:t>
            </w:r>
          </w:p>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80 (Medellín)</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jc w:val="center"/>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30 de junio de 2016</w:t>
            </w:r>
          </w:p>
        </w:tc>
      </w:tr>
    </w:tbl>
    <w:p w:rsidR="00092772" w:rsidRDefault="00D44972">
      <w:pPr>
        <w:shd w:val="clear" w:color="auto" w:fill="FFFFFF"/>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ab/>
      </w:r>
    </w:p>
    <w:p w:rsidR="00092772" w:rsidRDefault="00D44972">
      <w:pPr>
        <w:shd w:val="clear" w:color="auto" w:fill="FFFFFF"/>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ab/>
        <w:t>(…)”.</w:t>
      </w:r>
    </w:p>
    <w:p w:rsidR="00092772" w:rsidRDefault="00092772">
      <w:pPr>
        <w:shd w:val="clear" w:color="auto" w:fill="FFFFFF"/>
        <w:ind w:right="49"/>
        <w:jc w:val="both"/>
        <w:rPr>
          <w:rFonts w:ascii="Work Sans" w:hAnsi="Work Sans" w:cs="Calibri"/>
          <w:i/>
          <w:iCs/>
          <w:color w:val="000000"/>
          <w:sz w:val="18"/>
          <w:szCs w:val="18"/>
          <w:lang w:val="es-CO" w:eastAsia="es-CO"/>
        </w:rPr>
      </w:pPr>
    </w:p>
    <w:p w:rsidR="00092772" w:rsidRDefault="00D44972">
      <w:pPr>
        <w:shd w:val="clear" w:color="auto" w:fill="FFFFFF"/>
        <w:ind w:left="426" w:right="481"/>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 xml:space="preserve">Sobre </w:t>
      </w:r>
      <w:r>
        <w:rPr>
          <w:rFonts w:ascii="Work Sans" w:hAnsi="Work Sans" w:cs="Calibri"/>
          <w:i/>
          <w:iCs/>
          <w:color w:val="000000"/>
          <w:sz w:val="18"/>
          <w:szCs w:val="18"/>
          <w:lang w:val="es-CO" w:eastAsia="es-CO"/>
        </w:rPr>
        <w:t>el particular, literal (a) de la Sección 3.6 “Estaciones de Peaje” de la Parte Especial del Contrato 014 de 2015, establece:</w:t>
      </w:r>
    </w:p>
    <w:p w:rsidR="00092772" w:rsidRDefault="00092772">
      <w:pPr>
        <w:shd w:val="clear" w:color="auto" w:fill="FFFFFF"/>
        <w:jc w:val="both"/>
        <w:rPr>
          <w:rFonts w:ascii="Work Sans" w:hAnsi="Work Sans" w:cs="Calibri"/>
          <w:i/>
          <w:iCs/>
          <w:color w:val="000000"/>
          <w:sz w:val="18"/>
          <w:szCs w:val="18"/>
          <w:lang w:val="es-CO" w:eastAsia="es-CO"/>
        </w:rPr>
      </w:pPr>
    </w:p>
    <w:p w:rsidR="00092772" w:rsidRDefault="00D44972">
      <w:pPr>
        <w:shd w:val="clear" w:color="auto" w:fill="FFFFFF"/>
        <w:ind w:left="708" w:right="333"/>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 xml:space="preserve">“(a) Este proyecto cuenta con la Estación de Peaje de Aburrá que incluye los Puntos de Recaudo San Cristóbal y Palmitas. Una vez </w:t>
      </w:r>
      <w:r>
        <w:rPr>
          <w:rFonts w:ascii="Work Sans" w:hAnsi="Work Sans" w:cs="Calibri"/>
          <w:i/>
          <w:iCs/>
          <w:color w:val="000000"/>
          <w:sz w:val="18"/>
          <w:szCs w:val="18"/>
          <w:lang w:val="es-CO" w:eastAsia="es-CO"/>
        </w:rPr>
        <w:t>vencido el plazo establecido en el Convenio 583 de 1996 mencionado en la Sección 3.5 (b) de esta Parte Especial o terminado dicho convenio por cualquier causa, se procederá a hacer entrega al Concesionario de las Estaciones de Peaje correspondientes para q</w:t>
      </w:r>
      <w:r>
        <w:rPr>
          <w:rFonts w:ascii="Work Sans" w:hAnsi="Work Sans" w:cs="Calibri"/>
          <w:i/>
          <w:iCs/>
          <w:color w:val="000000"/>
          <w:sz w:val="18"/>
          <w:szCs w:val="18"/>
          <w:lang w:val="es-CO" w:eastAsia="es-CO"/>
        </w:rPr>
        <w:t>ue el Concesionario las opere y realice directamente el recaudo de los Peajes en los términos de este Contrato, para lo cual se suscribirá el documento que corresponda.”</w:t>
      </w:r>
    </w:p>
    <w:p w:rsidR="00092772" w:rsidRDefault="00092772">
      <w:pPr>
        <w:shd w:val="clear" w:color="auto" w:fill="FFFFFF"/>
        <w:ind w:left="708" w:right="333"/>
        <w:jc w:val="both"/>
        <w:rPr>
          <w:rFonts w:ascii="Work Sans" w:hAnsi="Work Sans" w:cs="Calibri"/>
          <w:i/>
          <w:iCs/>
          <w:color w:val="000000"/>
          <w:sz w:val="18"/>
          <w:szCs w:val="18"/>
          <w:lang w:val="es-CO" w:eastAsia="es-CO"/>
        </w:rPr>
      </w:pPr>
    </w:p>
    <w:p w:rsidR="00092772" w:rsidRDefault="00D44972">
      <w:pPr>
        <w:autoSpaceDE w:val="0"/>
        <w:ind w:left="426" w:right="623"/>
        <w:jc w:val="both"/>
        <w:rPr>
          <w:rFonts w:ascii="Work Sans" w:hAnsi="Work Sans" w:cs="Calibri"/>
          <w:i/>
          <w:iCs/>
          <w:sz w:val="18"/>
          <w:szCs w:val="18"/>
          <w:lang w:val="es-CO"/>
        </w:rPr>
      </w:pPr>
      <w:r>
        <w:rPr>
          <w:rFonts w:ascii="Work Sans" w:hAnsi="Work Sans" w:cs="Calibri"/>
          <w:i/>
          <w:iCs/>
          <w:sz w:val="18"/>
          <w:szCs w:val="18"/>
          <w:lang w:val="es-CO"/>
        </w:rPr>
        <w:t>Ahora, en virtud del Convenio 0583 de 1996 y su respectivo Otrosí No. 34 de 2015, sus</w:t>
      </w:r>
      <w:r>
        <w:rPr>
          <w:rFonts w:ascii="Work Sans" w:hAnsi="Work Sans" w:cs="Calibri"/>
          <w:i/>
          <w:iCs/>
          <w:sz w:val="18"/>
          <w:szCs w:val="18"/>
          <w:lang w:val="es-CO"/>
        </w:rPr>
        <w:t>critos por el Instituto Nacional de Vías, el Departamento de Antioquia, el Área Metropolitana del Valle de Aburrá, el Municipio de Medellín, el Instituto de Estudios Ambientales, el Instituto Social de Vivienda y Hábitat de Medellín y el Ministerio de Tran</w:t>
      </w:r>
      <w:r>
        <w:rPr>
          <w:rFonts w:ascii="Work Sans" w:hAnsi="Work Sans" w:cs="Calibri"/>
          <w:i/>
          <w:iCs/>
          <w:sz w:val="18"/>
          <w:szCs w:val="18"/>
          <w:lang w:val="es-CO"/>
        </w:rPr>
        <w:t>sporte, la operación de la Estación del Peaje Aburrá estuvo en cabeza de la Gobernación de Antioquia hasta el 30 de junio de 2016, fecha en la cual los suscribientes del mencionado convenio se comprometieron a entregar la infraestructura descrita en el lit</w:t>
      </w:r>
      <w:r>
        <w:rPr>
          <w:rFonts w:ascii="Work Sans" w:hAnsi="Work Sans" w:cs="Calibri"/>
          <w:i/>
          <w:iCs/>
          <w:sz w:val="18"/>
          <w:szCs w:val="18"/>
          <w:lang w:val="es-CO"/>
        </w:rPr>
        <w:t>eral (b) de la Sección 3.5 “Entrega de la Infraestructura” de la Parte Especial del Contrato 014 de 2015 a la Agencia Nacional de Infraestructura.</w:t>
      </w:r>
    </w:p>
    <w:p w:rsidR="00092772" w:rsidRDefault="00092772">
      <w:pPr>
        <w:autoSpaceDE w:val="0"/>
        <w:ind w:left="426" w:right="623"/>
        <w:jc w:val="both"/>
        <w:rPr>
          <w:rFonts w:ascii="Work Sans" w:hAnsi="Work Sans" w:cs="Calibri"/>
          <w:i/>
          <w:iCs/>
          <w:sz w:val="18"/>
          <w:szCs w:val="18"/>
          <w:lang w:val="es-CO"/>
        </w:rPr>
      </w:pPr>
    </w:p>
    <w:p w:rsidR="00092772" w:rsidRDefault="00D44972">
      <w:pPr>
        <w:autoSpaceDE w:val="0"/>
        <w:ind w:left="426" w:right="623"/>
        <w:jc w:val="both"/>
        <w:rPr>
          <w:rFonts w:ascii="Work Sans" w:hAnsi="Work Sans" w:cs="Calibri"/>
          <w:i/>
          <w:iCs/>
          <w:sz w:val="18"/>
          <w:szCs w:val="18"/>
          <w:lang w:val="es-CO"/>
        </w:rPr>
      </w:pPr>
      <w:r>
        <w:rPr>
          <w:rFonts w:ascii="Work Sans" w:hAnsi="Work Sans" w:cs="Calibri"/>
          <w:i/>
          <w:iCs/>
          <w:sz w:val="18"/>
          <w:szCs w:val="18"/>
          <w:lang w:val="es-CO"/>
        </w:rPr>
        <w:t>De otra parte, mediante Resolución No. 228 del 1 de febrero de 2013, expedida por el Ministerio de Transport</w:t>
      </w:r>
      <w:r>
        <w:rPr>
          <w:rFonts w:ascii="Work Sans" w:hAnsi="Work Sans" w:cs="Calibri"/>
          <w:i/>
          <w:iCs/>
          <w:sz w:val="18"/>
          <w:szCs w:val="18"/>
          <w:lang w:val="es-CO"/>
        </w:rPr>
        <w:t>e, se fijaron las tarifas para las estaciones a cargo del Instituto Nacional de Vías (en adelante el “INVÍAS”). Específicamente para la Estación de Peaje Aburrá se estableció:</w:t>
      </w:r>
    </w:p>
    <w:p w:rsidR="00092772" w:rsidRDefault="00092772">
      <w:pPr>
        <w:autoSpaceDE w:val="0"/>
        <w:ind w:left="426" w:right="623"/>
        <w:jc w:val="both"/>
        <w:rPr>
          <w:rFonts w:ascii="Work Sans" w:hAnsi="Work Sans" w:cs="Calibri"/>
          <w:i/>
          <w:iCs/>
          <w:sz w:val="18"/>
          <w:szCs w:val="18"/>
          <w:lang w:val="es-CO"/>
        </w:rPr>
      </w:pPr>
    </w:p>
    <w:p w:rsidR="00092772" w:rsidRDefault="00D44972">
      <w:pPr>
        <w:tabs>
          <w:tab w:val="left" w:pos="0"/>
        </w:tabs>
        <w:ind w:left="426" w:right="623"/>
        <w:jc w:val="both"/>
      </w:pPr>
      <w:r>
        <w:rPr>
          <w:rStyle w:val="Fuentedeprrafopredeter"/>
          <w:rFonts w:ascii="Work Sans" w:hAnsi="Work Sans" w:cs="Calibri"/>
          <w:i/>
          <w:iCs/>
          <w:sz w:val="18"/>
          <w:szCs w:val="18"/>
          <w:lang w:val="es-CO"/>
        </w:rPr>
        <w:t>“</w:t>
      </w:r>
      <w:r>
        <w:rPr>
          <w:rStyle w:val="Fuentedeprrafopredeter"/>
          <w:rFonts w:ascii="Work Sans" w:hAnsi="Work Sans" w:cs="Calibri"/>
          <w:b/>
          <w:bCs/>
          <w:i/>
          <w:iCs/>
          <w:sz w:val="18"/>
          <w:szCs w:val="18"/>
          <w:lang w:val="es-CO"/>
        </w:rPr>
        <w:t xml:space="preserve">ARTICULO 15.- </w:t>
      </w:r>
      <w:r>
        <w:rPr>
          <w:rStyle w:val="Fuentedeprrafopredeter"/>
          <w:rFonts w:ascii="Work Sans" w:hAnsi="Work Sans" w:cs="Calibri"/>
          <w:i/>
          <w:iCs/>
          <w:sz w:val="18"/>
          <w:szCs w:val="18"/>
          <w:lang w:val="es-CO"/>
        </w:rPr>
        <w:t>Los usuarios de las estaciones de peaje</w:t>
      </w:r>
      <w:r>
        <w:rPr>
          <w:rStyle w:val="Fuentedeprrafopredeter"/>
          <w:rFonts w:ascii="Work Sans" w:hAnsi="Work Sans" w:cs="Calibri"/>
          <w:b/>
          <w:bCs/>
          <w:i/>
          <w:iCs/>
          <w:sz w:val="18"/>
          <w:szCs w:val="18"/>
          <w:lang w:val="es-CO"/>
        </w:rPr>
        <w:t xml:space="preserve"> EBÉJICO, ABURRÁ Y PANDEQ</w:t>
      </w:r>
      <w:r>
        <w:rPr>
          <w:rStyle w:val="Fuentedeprrafopredeter"/>
          <w:rFonts w:ascii="Work Sans" w:hAnsi="Work Sans" w:cs="Calibri"/>
          <w:b/>
          <w:bCs/>
          <w:i/>
          <w:iCs/>
          <w:sz w:val="18"/>
          <w:szCs w:val="18"/>
          <w:lang w:val="es-CO"/>
        </w:rPr>
        <w:t>UESO</w:t>
      </w:r>
      <w:r>
        <w:rPr>
          <w:rStyle w:val="Fuentedeprrafopredeter"/>
          <w:rFonts w:ascii="Work Sans" w:hAnsi="Work Sans" w:cs="Calibri"/>
          <w:i/>
          <w:iCs/>
          <w:sz w:val="18"/>
          <w:szCs w:val="18"/>
          <w:lang w:val="es-CO"/>
        </w:rPr>
        <w:t xml:space="preserve"> en el Departamento de Antioquia, pagarán las siguientes tarifas:</w:t>
      </w:r>
    </w:p>
    <w:p w:rsidR="00092772" w:rsidRDefault="00092772">
      <w:pPr>
        <w:tabs>
          <w:tab w:val="left" w:pos="0"/>
        </w:tabs>
        <w:ind w:left="426" w:right="623"/>
        <w:jc w:val="both"/>
        <w:rPr>
          <w:rFonts w:ascii="Work Sans" w:hAnsi="Work Sans" w:cs="Calibri"/>
          <w:i/>
          <w:iCs/>
          <w:sz w:val="18"/>
          <w:szCs w:val="18"/>
          <w:lang w:val="es-CO"/>
        </w:rPr>
      </w:pPr>
    </w:p>
    <w:p w:rsidR="00092772" w:rsidRDefault="00D44972">
      <w:pPr>
        <w:tabs>
          <w:tab w:val="left" w:pos="0"/>
        </w:tabs>
        <w:jc w:val="center"/>
      </w:pPr>
      <w:r>
        <w:rPr>
          <w:rStyle w:val="Fuentedeprrafopredeter"/>
          <w:rFonts w:ascii="Work Sans" w:hAnsi="Work Sans" w:cs="Calibri"/>
          <w:i/>
          <w:iCs/>
          <w:noProof/>
          <w:sz w:val="18"/>
          <w:szCs w:val="18"/>
          <w:lang w:val="en-US" w:eastAsia="en-US" w:bidi="ar-SA"/>
        </w:rPr>
        <w:drawing>
          <wp:inline distT="0" distB="0" distL="0" distR="0">
            <wp:extent cx="4377360" cy="848215"/>
            <wp:effectExtent l="0" t="0" r="4140" b="9035"/>
            <wp:docPr id="2" name="Imagen 3" descr="Interfaz de usuario gráfica, Texto, Aplicación, Word&#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5771" t="54035" r="57399" b="31093"/>
                    <a:stretch>
                      <a:fillRect/>
                    </a:stretch>
                  </pic:blipFill>
                  <pic:spPr>
                    <a:xfrm>
                      <a:off x="0" y="0"/>
                      <a:ext cx="4377360" cy="848215"/>
                    </a:xfrm>
                    <a:prstGeom prst="rect">
                      <a:avLst/>
                    </a:prstGeom>
                    <a:noFill/>
                    <a:ln>
                      <a:noFill/>
                      <a:prstDash/>
                    </a:ln>
                  </pic:spPr>
                </pic:pic>
              </a:graphicData>
            </a:graphic>
          </wp:inline>
        </w:drawing>
      </w:r>
    </w:p>
    <w:p w:rsidR="00092772" w:rsidRDefault="00092772">
      <w:pPr>
        <w:tabs>
          <w:tab w:val="left" w:pos="0"/>
        </w:tabs>
        <w:jc w:val="both"/>
        <w:rPr>
          <w:rFonts w:ascii="Work Sans" w:hAnsi="Work Sans" w:cs="Calibri"/>
          <w:i/>
          <w:iCs/>
          <w:sz w:val="18"/>
          <w:szCs w:val="18"/>
          <w:lang w:val="es"/>
        </w:rPr>
      </w:pPr>
    </w:p>
    <w:p w:rsidR="00092772" w:rsidRDefault="00D44972">
      <w:pPr>
        <w:shd w:val="clear" w:color="auto" w:fill="FFFFFF"/>
        <w:ind w:left="567" w:right="481"/>
        <w:jc w:val="both"/>
        <w:rPr>
          <w:rFonts w:ascii="Work Sans" w:hAnsi="Work Sans" w:cs="Calibri"/>
          <w:i/>
          <w:iCs/>
          <w:color w:val="000000"/>
          <w:sz w:val="18"/>
          <w:szCs w:val="18"/>
          <w:lang w:val="es-CO" w:eastAsia="es-CO"/>
        </w:rPr>
      </w:pPr>
      <w:r>
        <w:rPr>
          <w:rFonts w:ascii="Work Sans" w:hAnsi="Work Sans" w:cs="Calibri"/>
          <w:i/>
          <w:iCs/>
          <w:color w:val="000000"/>
          <w:sz w:val="18"/>
          <w:szCs w:val="18"/>
          <w:lang w:val="es-CO" w:eastAsia="es-CO"/>
        </w:rPr>
        <w:t xml:space="preserve">Así, de acuerdo con lo dispuesto en el Contrato de Concesión y en el Convenio 0583 mencionado anteriormente, la infraestructura fue entregada el 1 de julio de 2016 al Concesionario </w:t>
      </w:r>
      <w:r>
        <w:rPr>
          <w:rFonts w:ascii="Work Sans" w:hAnsi="Work Sans" w:cs="Calibri"/>
          <w:i/>
          <w:iCs/>
          <w:color w:val="000000"/>
          <w:sz w:val="18"/>
          <w:szCs w:val="18"/>
          <w:lang w:val="es-CO" w:eastAsia="es-CO"/>
        </w:rPr>
        <w:t>Desarrollo Vial al Mar S.A.S., junto con la Estación de Peaje Aburrá, la cual se encontraba comprendida en los tramos de vía adscritos al Convenio 0583.</w:t>
      </w:r>
    </w:p>
    <w:p w:rsidR="00092772" w:rsidRDefault="00092772">
      <w:pPr>
        <w:tabs>
          <w:tab w:val="left" w:pos="0"/>
        </w:tabs>
        <w:ind w:left="567" w:right="481"/>
        <w:jc w:val="both"/>
        <w:rPr>
          <w:rFonts w:ascii="Work Sans" w:hAnsi="Work Sans" w:cs="Calibri"/>
          <w:i/>
          <w:iCs/>
          <w:sz w:val="18"/>
          <w:szCs w:val="18"/>
        </w:rPr>
      </w:pPr>
    </w:p>
    <w:p w:rsidR="00092772" w:rsidRDefault="00D44972">
      <w:pPr>
        <w:autoSpaceDE w:val="0"/>
        <w:ind w:left="567" w:right="481"/>
        <w:jc w:val="both"/>
        <w:rPr>
          <w:rFonts w:ascii="Work Sans" w:hAnsi="Work Sans" w:cs="Calibri"/>
          <w:i/>
          <w:iCs/>
          <w:sz w:val="18"/>
          <w:szCs w:val="18"/>
          <w:lang w:val="es-CO"/>
        </w:rPr>
      </w:pPr>
      <w:r>
        <w:rPr>
          <w:rFonts w:ascii="Work Sans" w:hAnsi="Work Sans" w:cs="Calibri"/>
          <w:i/>
          <w:iCs/>
          <w:sz w:val="18"/>
          <w:szCs w:val="18"/>
          <w:lang w:val="es-CO"/>
        </w:rPr>
        <w:t xml:space="preserve">En ese sentido, al momento de la entrega de la Estación de Peaje Aburrá al Concesionario Desarrollo </w:t>
      </w:r>
      <w:r>
        <w:rPr>
          <w:rFonts w:ascii="Work Sans" w:hAnsi="Work Sans" w:cs="Calibri"/>
          <w:i/>
          <w:iCs/>
          <w:sz w:val="18"/>
          <w:szCs w:val="18"/>
          <w:lang w:val="es-CO"/>
        </w:rPr>
        <w:t>Vial al Mar S.A.S., Concesionario del Contrato No. 014 de 2015, las tarifas cobradas por parte del proyecto denominado “Túnel de Occidente” eran las establecidas en la Resolución 228 de 2013, actualizadas, y, a su turno, aquellas diferenciales adoptadas po</w:t>
      </w:r>
      <w:r>
        <w:rPr>
          <w:rFonts w:ascii="Work Sans" w:hAnsi="Work Sans" w:cs="Calibri"/>
          <w:i/>
          <w:iCs/>
          <w:sz w:val="18"/>
          <w:szCs w:val="18"/>
          <w:lang w:val="es-CO"/>
        </w:rPr>
        <w:t>r la Junta Directiva del Proyecto Conexión Vial “Guillermo Gaviria Correa” mediante Acta del 14 de septiembre de 2009.</w:t>
      </w:r>
    </w:p>
    <w:p w:rsidR="00092772" w:rsidRDefault="00092772">
      <w:pPr>
        <w:autoSpaceDE w:val="0"/>
        <w:ind w:left="567" w:right="481"/>
        <w:jc w:val="both"/>
        <w:rPr>
          <w:rFonts w:ascii="Work Sans" w:hAnsi="Work Sans" w:cs="Calibri"/>
          <w:i/>
          <w:iCs/>
          <w:sz w:val="18"/>
          <w:szCs w:val="18"/>
          <w:lang w:val="es-CO"/>
        </w:rPr>
      </w:pPr>
    </w:p>
    <w:p w:rsidR="00092772" w:rsidRDefault="00D44972">
      <w:pPr>
        <w:autoSpaceDE w:val="0"/>
        <w:ind w:left="567" w:right="481"/>
        <w:jc w:val="both"/>
        <w:rPr>
          <w:rFonts w:ascii="Work Sans" w:hAnsi="Work Sans" w:cs="Calibri"/>
          <w:i/>
          <w:iCs/>
          <w:sz w:val="18"/>
          <w:szCs w:val="18"/>
          <w:lang w:val="es-CO"/>
        </w:rPr>
      </w:pPr>
      <w:r>
        <w:rPr>
          <w:rFonts w:ascii="Work Sans" w:hAnsi="Work Sans" w:cs="Calibri"/>
          <w:i/>
          <w:iCs/>
          <w:sz w:val="18"/>
          <w:szCs w:val="18"/>
          <w:lang w:val="es-CO"/>
        </w:rPr>
        <w:t>Vale la pena poner de presente, que el Ministerio de Transporte expidió la Resolución No. 1546 del 27 de mayo de 2015 “Por la cual se es</w:t>
      </w:r>
      <w:r>
        <w:rPr>
          <w:rFonts w:ascii="Work Sans" w:hAnsi="Work Sans" w:cs="Calibri"/>
          <w:i/>
          <w:iCs/>
          <w:sz w:val="18"/>
          <w:szCs w:val="18"/>
          <w:lang w:val="es-CO"/>
        </w:rPr>
        <w:t>tablecen las tarifas a cobrar en la estación de peaje Aburrá que incluye los puntos de recaudo San Cristóbal ubicada en el PR 44+800 y Palmitas ubicado en el PR 39+600, que pertenecen al proyecto de asociación público privada de iniciativa pública Autopist</w:t>
      </w:r>
      <w:r>
        <w:rPr>
          <w:rFonts w:ascii="Work Sans" w:hAnsi="Work Sans" w:cs="Calibri"/>
          <w:i/>
          <w:iCs/>
          <w:sz w:val="18"/>
          <w:szCs w:val="18"/>
          <w:lang w:val="es-CO"/>
        </w:rPr>
        <w:t>a Mar 1", acto administrativo que estableció, en su artículo segundo, las tarifas a cobrar en la Estación de Peaje Aburrá en los puntos de recaudo antes señalados.</w:t>
      </w:r>
    </w:p>
    <w:p w:rsidR="00092772" w:rsidRDefault="00092772">
      <w:pPr>
        <w:autoSpaceDE w:val="0"/>
        <w:ind w:left="567" w:right="481"/>
        <w:jc w:val="both"/>
        <w:rPr>
          <w:rFonts w:ascii="Work Sans" w:hAnsi="Work Sans" w:cs="Calibri"/>
          <w:i/>
          <w:iCs/>
          <w:sz w:val="18"/>
          <w:szCs w:val="18"/>
          <w:lang w:val="es-CO"/>
        </w:rPr>
      </w:pPr>
    </w:p>
    <w:p w:rsidR="00092772" w:rsidRDefault="00D44972">
      <w:pPr>
        <w:ind w:left="567" w:right="481"/>
        <w:jc w:val="both"/>
      </w:pPr>
      <w:r>
        <w:rPr>
          <w:rStyle w:val="Fuentedeprrafopredeter"/>
          <w:rFonts w:ascii="Work Sans" w:hAnsi="Work Sans" w:cs="Calibri"/>
          <w:i/>
          <w:iCs/>
          <w:sz w:val="18"/>
          <w:szCs w:val="18"/>
          <w:lang w:val="es-CO"/>
        </w:rPr>
        <w:t xml:space="preserve">A su turno, </w:t>
      </w:r>
      <w:r>
        <w:rPr>
          <w:rStyle w:val="Fuentedeprrafopredeter"/>
          <w:rFonts w:ascii="Work Sans" w:eastAsia="Segoe UI" w:hAnsi="Work Sans" w:cs="Calibri"/>
          <w:i/>
          <w:iCs/>
          <w:color w:val="000000"/>
          <w:sz w:val="18"/>
          <w:szCs w:val="18"/>
          <w:lang w:val="es-CO"/>
        </w:rPr>
        <w:t>dicha Resolución dispuso que</w:t>
      </w:r>
      <w:r>
        <w:rPr>
          <w:rStyle w:val="Fuentedeprrafopredeter"/>
          <w:rFonts w:ascii="Work Sans" w:hAnsi="Work Sans" w:cs="Calibri"/>
          <w:i/>
          <w:iCs/>
          <w:sz w:val="18"/>
          <w:szCs w:val="18"/>
          <w:lang w:val="es-CO"/>
        </w:rPr>
        <w:t xml:space="preserve"> las tarifas </w:t>
      </w:r>
      <w:r>
        <w:rPr>
          <w:rStyle w:val="Fuentedeprrafopredeter"/>
          <w:rFonts w:ascii="Work Sans" w:eastAsia="Segoe UI" w:hAnsi="Work Sans" w:cs="Calibri"/>
          <w:i/>
          <w:iCs/>
          <w:color w:val="000000"/>
          <w:sz w:val="18"/>
          <w:szCs w:val="18"/>
          <w:lang w:val="es-CO"/>
        </w:rPr>
        <w:t>de la Estación de Peaje Aburrá</w:t>
      </w:r>
      <w:r>
        <w:rPr>
          <w:rStyle w:val="Fuentedeprrafopredeter"/>
          <w:rFonts w:ascii="Work Sans" w:hAnsi="Work Sans" w:cs="Calibri"/>
          <w:i/>
          <w:iCs/>
          <w:sz w:val="18"/>
          <w:szCs w:val="18"/>
          <w:lang w:val="es-CO"/>
        </w:rPr>
        <w:t xml:space="preserve"> allí es</w:t>
      </w:r>
      <w:r>
        <w:rPr>
          <w:rStyle w:val="Fuentedeprrafopredeter"/>
          <w:rFonts w:ascii="Work Sans" w:hAnsi="Work Sans" w:cs="Calibri"/>
          <w:i/>
          <w:iCs/>
          <w:sz w:val="18"/>
          <w:szCs w:val="18"/>
          <w:lang w:val="es-CO"/>
        </w:rPr>
        <w:t xml:space="preserve">tablecidas debían empezar a ser cobradas una vez se cumpliera el requisito dispuesto en el parágrafo segundo del artículo primero, que indica: </w:t>
      </w:r>
    </w:p>
    <w:p w:rsidR="00092772" w:rsidRDefault="00092772">
      <w:pPr>
        <w:jc w:val="both"/>
        <w:rPr>
          <w:rFonts w:ascii="Work Sans" w:hAnsi="Work Sans" w:cs="Calibri"/>
          <w:i/>
          <w:iCs/>
          <w:sz w:val="18"/>
          <w:szCs w:val="18"/>
          <w:lang w:val="es-CO"/>
        </w:rPr>
      </w:pPr>
    </w:p>
    <w:p w:rsidR="00092772" w:rsidRDefault="00D44972">
      <w:pPr>
        <w:ind w:left="426" w:right="333"/>
        <w:jc w:val="both"/>
      </w:pPr>
      <w:r>
        <w:rPr>
          <w:rStyle w:val="Fuentedeprrafopredeter"/>
          <w:rFonts w:ascii="Work Sans" w:hAnsi="Work Sans" w:cs="Calibri"/>
          <w:b/>
          <w:bCs/>
          <w:i/>
          <w:iCs/>
          <w:sz w:val="18"/>
          <w:szCs w:val="18"/>
          <w:lang w:val="es-CO"/>
        </w:rPr>
        <w:t>PARÁGRAFO SEGUNDO:</w:t>
      </w:r>
      <w:r>
        <w:rPr>
          <w:rStyle w:val="Fuentedeprrafopredeter"/>
          <w:rFonts w:ascii="Work Sans" w:hAnsi="Work Sans" w:cs="Calibri"/>
          <w:i/>
          <w:iCs/>
          <w:sz w:val="18"/>
          <w:szCs w:val="18"/>
          <w:lang w:val="es-CO"/>
        </w:rPr>
        <w:t xml:space="preserve"> Las tarifas establecidas en el presente artículo serán cobradas a partir de la suscripción </w:t>
      </w:r>
      <w:r>
        <w:rPr>
          <w:rStyle w:val="Fuentedeprrafopredeter"/>
          <w:rFonts w:ascii="Work Sans" w:hAnsi="Work Sans" w:cs="Calibri"/>
          <w:i/>
          <w:iCs/>
          <w:sz w:val="18"/>
          <w:szCs w:val="18"/>
          <w:lang w:val="es-CO"/>
        </w:rPr>
        <w:t>del Acta de Terminación de la Unidad Funcional o del Acta de Terminación Parcial de la Unidad Funcional en la que se encuentre ubicada cada punto de recaudo de conformidad con lo establecido en el contrato de concesión que se suscriba del proceso licitator</w:t>
      </w:r>
      <w:r>
        <w:rPr>
          <w:rStyle w:val="Fuentedeprrafopredeter"/>
          <w:rFonts w:ascii="Work Sans" w:hAnsi="Work Sans" w:cs="Calibri"/>
          <w:i/>
          <w:iCs/>
          <w:sz w:val="18"/>
          <w:szCs w:val="18"/>
          <w:lang w:val="es-CO"/>
        </w:rPr>
        <w:t>io No. VJ-VE-IP-LP-022-2013”.</w:t>
      </w:r>
    </w:p>
    <w:p w:rsidR="00092772" w:rsidRDefault="00092772">
      <w:pPr>
        <w:autoSpaceDE w:val="0"/>
        <w:ind w:left="426" w:right="623"/>
        <w:jc w:val="both"/>
        <w:rPr>
          <w:rFonts w:ascii="Work Sans" w:eastAsia="Segoe UI" w:hAnsi="Work Sans" w:cs="Calibri"/>
          <w:i/>
          <w:iCs/>
          <w:color w:val="000000"/>
          <w:sz w:val="18"/>
          <w:szCs w:val="18"/>
          <w:lang w:val="es-CO"/>
        </w:rPr>
      </w:pPr>
    </w:p>
    <w:p w:rsidR="00092772" w:rsidRDefault="00D44972">
      <w:pPr>
        <w:tabs>
          <w:tab w:val="left" w:pos="0"/>
        </w:tabs>
        <w:ind w:left="426" w:right="623"/>
        <w:jc w:val="both"/>
      </w:pPr>
      <w:r>
        <w:rPr>
          <w:rStyle w:val="Fuentedeprrafopredeter"/>
          <w:rFonts w:ascii="Work Sans" w:hAnsi="Work Sans" w:cs="Calibri"/>
          <w:i/>
          <w:iCs/>
          <w:sz w:val="18"/>
          <w:szCs w:val="18"/>
          <w:lang w:val="es-CO"/>
        </w:rPr>
        <w:t xml:space="preserve">Posteriormente, mediante Resolución 3025 del 27 de agosto de 2015, se corrigió un yerro en el artículo segundo de la Resolución 1546 del 27 de mayo de 2015, </w:t>
      </w:r>
      <w:r>
        <w:rPr>
          <w:rStyle w:val="Fuentedeprrafopredeter"/>
          <w:rFonts w:ascii="Work Sans" w:eastAsia="Segoe UI" w:hAnsi="Work Sans" w:cs="Calibri"/>
          <w:i/>
          <w:iCs/>
          <w:color w:val="000000"/>
          <w:sz w:val="18"/>
          <w:szCs w:val="18"/>
          <w:lang w:val="es-CO"/>
        </w:rPr>
        <w:t xml:space="preserve">consistente en modificar las categorías establecidas, </w:t>
      </w:r>
      <w:r>
        <w:rPr>
          <w:rStyle w:val="Fuentedeprrafopredeter"/>
          <w:rFonts w:ascii="Work Sans" w:hAnsi="Work Sans" w:cs="Calibri"/>
          <w:i/>
          <w:iCs/>
          <w:sz w:val="18"/>
          <w:szCs w:val="18"/>
          <w:lang w:val="es-CO"/>
        </w:rPr>
        <w:t>así:</w:t>
      </w:r>
    </w:p>
    <w:p w:rsidR="00092772" w:rsidRDefault="00092772">
      <w:pPr>
        <w:tabs>
          <w:tab w:val="left" w:pos="0"/>
        </w:tabs>
        <w:ind w:left="426" w:right="623"/>
        <w:jc w:val="both"/>
        <w:rPr>
          <w:rFonts w:ascii="Work Sans" w:hAnsi="Work Sans" w:cs="Calibri"/>
          <w:i/>
          <w:iCs/>
          <w:sz w:val="18"/>
          <w:szCs w:val="18"/>
          <w:lang w:val="es-CO"/>
        </w:rPr>
      </w:pPr>
    </w:p>
    <w:p w:rsidR="00092772" w:rsidRDefault="00D44972">
      <w:pPr>
        <w:tabs>
          <w:tab w:val="left" w:pos="709"/>
        </w:tabs>
        <w:ind w:left="426" w:right="623"/>
        <w:jc w:val="both"/>
      </w:pPr>
      <w:r>
        <w:rPr>
          <w:rStyle w:val="Fuentedeprrafopredeter"/>
          <w:rFonts w:ascii="Work Sans" w:hAnsi="Work Sans" w:cs="Calibri"/>
          <w:i/>
          <w:iCs/>
          <w:sz w:val="18"/>
          <w:szCs w:val="18"/>
          <w:lang w:val="es-CO"/>
        </w:rPr>
        <w:t>“</w:t>
      </w:r>
      <w:r>
        <w:rPr>
          <w:rStyle w:val="Fuentedeprrafopredeter"/>
          <w:rFonts w:ascii="Work Sans" w:hAnsi="Work Sans" w:cs="Calibri"/>
          <w:b/>
          <w:bCs/>
          <w:i/>
          <w:iCs/>
          <w:sz w:val="18"/>
          <w:szCs w:val="18"/>
          <w:lang w:val="es-CO"/>
        </w:rPr>
        <w:t>ARTÍCUL</w:t>
      </w:r>
      <w:r>
        <w:rPr>
          <w:rStyle w:val="Fuentedeprrafopredeter"/>
          <w:rFonts w:ascii="Work Sans" w:hAnsi="Work Sans" w:cs="Calibri"/>
          <w:b/>
          <w:bCs/>
          <w:i/>
          <w:iCs/>
          <w:sz w:val="18"/>
          <w:szCs w:val="18"/>
          <w:lang w:val="es-CO"/>
        </w:rPr>
        <w:t>O PRIMERO:</w:t>
      </w:r>
      <w:r>
        <w:rPr>
          <w:rStyle w:val="Fuentedeprrafopredeter"/>
          <w:rFonts w:ascii="Work Sans" w:hAnsi="Work Sans" w:cs="Calibri"/>
          <w:i/>
          <w:iCs/>
          <w:sz w:val="18"/>
          <w:szCs w:val="18"/>
          <w:lang w:val="es-CO"/>
        </w:rPr>
        <w:t xml:space="preserve"> corríjase el artículo 2° de la Resolución 1546 de 2015, el cual quedará así:</w:t>
      </w:r>
    </w:p>
    <w:p w:rsidR="00092772" w:rsidRDefault="00092772">
      <w:pPr>
        <w:tabs>
          <w:tab w:val="left" w:pos="0"/>
        </w:tabs>
        <w:ind w:left="426" w:right="623"/>
        <w:jc w:val="both"/>
        <w:rPr>
          <w:rFonts w:ascii="Work Sans" w:hAnsi="Work Sans" w:cs="Calibri"/>
          <w:i/>
          <w:iCs/>
          <w:sz w:val="18"/>
          <w:szCs w:val="18"/>
          <w:lang w:val="es-CO"/>
        </w:rPr>
      </w:pPr>
    </w:p>
    <w:p w:rsidR="00092772" w:rsidRDefault="00D44972">
      <w:pPr>
        <w:tabs>
          <w:tab w:val="left" w:pos="0"/>
        </w:tabs>
        <w:ind w:left="426" w:right="623"/>
        <w:jc w:val="both"/>
      </w:pPr>
      <w:r>
        <w:rPr>
          <w:rStyle w:val="Fuentedeprrafopredeter"/>
          <w:rFonts w:ascii="Work Sans" w:hAnsi="Work Sans" w:cs="Calibri"/>
          <w:b/>
          <w:bCs/>
          <w:i/>
          <w:iCs/>
          <w:sz w:val="18"/>
          <w:szCs w:val="18"/>
          <w:lang w:val="es-CO"/>
        </w:rPr>
        <w:t xml:space="preserve">ARTÍCULO SEGUNDO: </w:t>
      </w:r>
      <w:r>
        <w:rPr>
          <w:rStyle w:val="Fuentedeprrafopredeter"/>
          <w:rFonts w:ascii="Work Sans" w:hAnsi="Work Sans" w:cs="Calibri"/>
          <w:i/>
          <w:iCs/>
          <w:sz w:val="18"/>
          <w:szCs w:val="18"/>
          <w:lang w:val="es-CO"/>
        </w:rPr>
        <w:t>Establecer las siguientes categorías y tarifas de peaje que podrá cobrar el Concesionario en la estación de Peaje Aburrá con sus dos puntos de recaud</w:t>
      </w:r>
      <w:r>
        <w:rPr>
          <w:rStyle w:val="Fuentedeprrafopredeter"/>
          <w:rFonts w:ascii="Work Sans" w:hAnsi="Work Sans" w:cs="Calibri"/>
          <w:i/>
          <w:iCs/>
          <w:sz w:val="18"/>
          <w:szCs w:val="18"/>
          <w:lang w:val="es-CO"/>
        </w:rPr>
        <w:t>o San Cristobal ubicado en el PR 44 + 800 y Palmitas ubicado en el PR 39 + 600:</w:t>
      </w:r>
    </w:p>
    <w:p w:rsidR="00092772" w:rsidRDefault="00092772">
      <w:pPr>
        <w:tabs>
          <w:tab w:val="left" w:pos="0"/>
        </w:tabs>
        <w:ind w:left="426" w:right="623"/>
        <w:jc w:val="both"/>
        <w:rPr>
          <w:rFonts w:ascii="Work Sans" w:hAnsi="Work Sans" w:cs="Calibri"/>
          <w:i/>
          <w:iCs/>
          <w:sz w:val="16"/>
          <w:szCs w:val="16"/>
          <w:lang w:val="es-CO"/>
        </w:rPr>
      </w:pPr>
    </w:p>
    <w:tbl>
      <w:tblPr>
        <w:tblW w:w="6516" w:type="dxa"/>
        <w:jc w:val="center"/>
        <w:tblCellMar>
          <w:left w:w="10" w:type="dxa"/>
          <w:right w:w="10" w:type="dxa"/>
        </w:tblCellMar>
        <w:tblLook w:val="0000" w:firstRow="0" w:lastRow="0" w:firstColumn="0" w:lastColumn="0" w:noHBand="0" w:noVBand="0"/>
      </w:tblPr>
      <w:tblGrid>
        <w:gridCol w:w="1515"/>
        <w:gridCol w:w="2951"/>
        <w:gridCol w:w="2050"/>
      </w:tblGrid>
      <w:tr w:rsidR="00092772">
        <w:tblPrEx>
          <w:tblCellMar>
            <w:top w:w="0" w:type="dxa"/>
            <w:bottom w:w="0" w:type="dxa"/>
          </w:tblCellMar>
        </w:tblPrEx>
        <w:trPr>
          <w:tblHeade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ind w:right="333"/>
              <w:jc w:val="center"/>
              <w:rPr>
                <w:rFonts w:ascii="Work Sans" w:eastAsia="Segoe UI" w:hAnsi="Work Sans" w:cs="Calibri"/>
                <w:i/>
                <w:iCs/>
                <w:color w:val="000000"/>
                <w:sz w:val="16"/>
                <w:szCs w:val="16"/>
                <w:lang w:val="es-CO"/>
              </w:rPr>
            </w:pPr>
            <w:bookmarkStart w:id="2" w:name="_Hlk49413817"/>
            <w:r>
              <w:rPr>
                <w:rFonts w:ascii="Work Sans" w:eastAsia="Segoe UI" w:hAnsi="Work Sans" w:cs="Calibri"/>
                <w:i/>
                <w:iCs/>
                <w:color w:val="000000"/>
                <w:sz w:val="16"/>
                <w:szCs w:val="16"/>
                <w:lang w:val="es-CO"/>
              </w:rPr>
              <w:t>CATEGORIA</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CATEGORIAS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TARIFAS (Precios 2012) No incluye FOSEVI</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I</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Automóviles, camperos y camionetas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16.500</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II</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 xml:space="preserve">Buses, busetas, microbuses con eje trasero </w:t>
            </w:r>
            <w:r>
              <w:rPr>
                <w:rFonts w:ascii="Work Sans" w:eastAsia="Segoe UI" w:hAnsi="Work Sans" w:cs="Calibri"/>
                <w:i/>
                <w:iCs/>
                <w:color w:val="000000"/>
                <w:sz w:val="16"/>
                <w:szCs w:val="16"/>
                <w:lang w:val="es-CO"/>
              </w:rPr>
              <w:t>de doble llanta</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20.400</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III</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Camiones pequeños de dos ejes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20.400</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IV</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Camiones grandes de dos ejes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20.400</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V</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Camiones de tres y cuatro ejes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49.100</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VI</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Camiones de cinco ejes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61.600</w:t>
            </w:r>
          </w:p>
        </w:tc>
      </w:tr>
      <w:tr w:rsidR="00092772">
        <w:tblPrEx>
          <w:tblCellMar>
            <w:top w:w="0" w:type="dxa"/>
            <w:bottom w:w="0" w:type="dxa"/>
          </w:tblCellMar>
        </w:tblPrEx>
        <w:trPr>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Categoría VII</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Camiones de seis ejes</w:t>
            </w:r>
            <w:r>
              <w:rPr>
                <w:rFonts w:ascii="Work Sans" w:eastAsia="Segoe UI" w:hAnsi="Work Sans" w:cs="Calibri"/>
                <w:i/>
                <w:iCs/>
                <w:color w:val="000000"/>
                <w:sz w:val="16"/>
                <w:szCs w:val="16"/>
                <w:lang w:val="es-CO"/>
              </w:rPr>
              <w:t xml:space="preserve"> o más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D44972">
            <w:pPr>
              <w:ind w:right="333"/>
              <w:jc w:val="center"/>
              <w:rPr>
                <w:rFonts w:ascii="Work Sans" w:eastAsia="Segoe UI" w:hAnsi="Work Sans" w:cs="Calibri"/>
                <w:i/>
                <w:iCs/>
                <w:color w:val="000000"/>
                <w:sz w:val="16"/>
                <w:szCs w:val="16"/>
                <w:lang w:val="es-CO"/>
              </w:rPr>
            </w:pPr>
            <w:r>
              <w:rPr>
                <w:rFonts w:ascii="Work Sans" w:eastAsia="Segoe UI" w:hAnsi="Work Sans" w:cs="Calibri"/>
                <w:i/>
                <w:iCs/>
                <w:color w:val="000000"/>
                <w:sz w:val="16"/>
                <w:szCs w:val="16"/>
                <w:lang w:val="es-CO"/>
              </w:rPr>
              <w:t>71.300</w:t>
            </w:r>
          </w:p>
        </w:tc>
      </w:tr>
      <w:bookmarkEnd w:id="2"/>
    </w:tbl>
    <w:p w:rsidR="00092772" w:rsidRDefault="00092772">
      <w:pPr>
        <w:ind w:right="333"/>
        <w:jc w:val="both"/>
        <w:rPr>
          <w:rFonts w:ascii="Work Sans" w:eastAsia="Segoe UI" w:hAnsi="Work Sans" w:cs="Calibri"/>
          <w:i/>
          <w:iCs/>
          <w:color w:val="000000"/>
          <w:sz w:val="16"/>
          <w:szCs w:val="16"/>
          <w:lang w:val="es-CO"/>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A su vez, el Contrato de Concesión No. 014 de 2015, Parte Especial, Capítulo IV “Aspectos Económicos del Contrato”, Sección 4.2 “Estructura Tarifaria”, establece:</w:t>
      </w:r>
    </w:p>
    <w:p w:rsidR="00092772" w:rsidRDefault="00092772">
      <w:pPr>
        <w:ind w:left="426" w:right="623"/>
        <w:jc w:val="both"/>
        <w:rPr>
          <w:rFonts w:ascii="Work Sans" w:hAnsi="Work Sans" w:cs="Calibri"/>
          <w:i/>
          <w:iCs/>
          <w:sz w:val="18"/>
          <w:szCs w:val="18"/>
          <w:lang w:val="es-CO"/>
        </w:rPr>
      </w:pPr>
    </w:p>
    <w:p w:rsidR="00092772" w:rsidRDefault="00D44972">
      <w:pPr>
        <w:tabs>
          <w:tab w:val="left" w:pos="0"/>
        </w:tabs>
        <w:ind w:left="426" w:right="623"/>
        <w:jc w:val="both"/>
        <w:rPr>
          <w:rFonts w:ascii="Work Sans" w:hAnsi="Work Sans" w:cs="Calibri"/>
          <w:i/>
          <w:iCs/>
          <w:sz w:val="18"/>
          <w:szCs w:val="18"/>
          <w:lang w:val="es-CO"/>
        </w:rPr>
      </w:pPr>
      <w:r>
        <w:rPr>
          <w:rFonts w:ascii="Work Sans" w:hAnsi="Work Sans" w:cs="Calibri"/>
          <w:i/>
          <w:iCs/>
          <w:sz w:val="18"/>
          <w:szCs w:val="18"/>
          <w:lang w:val="es-CO"/>
        </w:rPr>
        <w:t xml:space="preserve">“4.2 Estructura Tarifaria </w:t>
      </w:r>
    </w:p>
    <w:p w:rsidR="00092772" w:rsidRDefault="00092772">
      <w:pPr>
        <w:tabs>
          <w:tab w:val="left" w:pos="0"/>
        </w:tabs>
        <w:ind w:left="426" w:right="623"/>
        <w:jc w:val="both"/>
        <w:rPr>
          <w:rFonts w:ascii="Work Sans" w:hAnsi="Work Sans" w:cs="Calibri"/>
          <w:i/>
          <w:iCs/>
          <w:sz w:val="18"/>
          <w:szCs w:val="18"/>
          <w:lang w:val="es-CO"/>
        </w:rPr>
      </w:pPr>
    </w:p>
    <w:p w:rsidR="00092772" w:rsidRDefault="00D44972">
      <w:pPr>
        <w:widowControl/>
        <w:numPr>
          <w:ilvl w:val="0"/>
          <w:numId w:val="21"/>
        </w:numPr>
        <w:tabs>
          <w:tab w:val="left" w:pos="0"/>
        </w:tabs>
        <w:ind w:left="426" w:right="623"/>
        <w:jc w:val="both"/>
        <w:textAlignment w:val="auto"/>
        <w:rPr>
          <w:rFonts w:ascii="Work Sans" w:hAnsi="Work Sans" w:cs="Calibri"/>
          <w:i/>
          <w:iCs/>
          <w:sz w:val="18"/>
          <w:szCs w:val="18"/>
          <w:lang w:bidi="ar-SA"/>
        </w:rPr>
      </w:pPr>
      <w:r>
        <w:rPr>
          <w:rFonts w:ascii="Work Sans" w:hAnsi="Work Sans" w:cs="Calibri"/>
          <w:i/>
          <w:iCs/>
          <w:sz w:val="18"/>
          <w:szCs w:val="18"/>
          <w:lang w:bidi="ar-SA"/>
        </w:rPr>
        <w:t>Para efectos de lo dispuesto en la Sección 1.139</w:t>
      </w:r>
      <w:r>
        <w:rPr>
          <w:rFonts w:ascii="Work Sans" w:hAnsi="Work Sans" w:cs="Calibri"/>
          <w:i/>
          <w:iCs/>
          <w:sz w:val="18"/>
          <w:szCs w:val="18"/>
          <w:lang w:bidi="ar-SA"/>
        </w:rPr>
        <w:t xml:space="preserve"> de la Parte General, y de acuerdo con lo establecido por la Resolución No. 1546 del 27 de mayo de 2015 y en la Resolución No. 03025 del 27 de agosto de 2015” Por la cual se corrige un yerro en el artículo 2 de la Resolución 1546 del 27 de mayo de 2015”,  </w:t>
      </w:r>
      <w:r>
        <w:rPr>
          <w:rFonts w:ascii="Work Sans" w:hAnsi="Work Sans" w:cs="Calibri"/>
          <w:i/>
          <w:iCs/>
          <w:sz w:val="18"/>
          <w:szCs w:val="18"/>
          <w:lang w:bidi="ar-SA"/>
        </w:rPr>
        <w:t xml:space="preserve">la Estructura Tarifaria que regirá el Proyecto estará compuesta por las siguientes tarifas: </w:t>
      </w:r>
    </w:p>
    <w:p w:rsidR="00092772" w:rsidRDefault="00092772">
      <w:pPr>
        <w:tabs>
          <w:tab w:val="left" w:pos="0"/>
        </w:tabs>
        <w:ind w:left="426" w:right="623"/>
        <w:jc w:val="both"/>
        <w:rPr>
          <w:rFonts w:ascii="Work Sans" w:hAnsi="Work Sans" w:cs="Calibri"/>
          <w:i/>
          <w:iCs/>
          <w:sz w:val="18"/>
          <w:szCs w:val="18"/>
          <w:lang w:val="es-CO"/>
        </w:rPr>
      </w:pPr>
    </w:p>
    <w:p w:rsidR="00092772" w:rsidRDefault="00D44972">
      <w:pPr>
        <w:widowControl/>
        <w:numPr>
          <w:ilvl w:val="0"/>
          <w:numId w:val="21"/>
        </w:numPr>
        <w:tabs>
          <w:tab w:val="left" w:pos="0"/>
        </w:tabs>
        <w:ind w:left="426" w:right="623"/>
        <w:jc w:val="both"/>
        <w:textAlignment w:val="auto"/>
        <w:rPr>
          <w:rFonts w:ascii="Work Sans" w:hAnsi="Work Sans" w:cs="Calibri"/>
          <w:i/>
          <w:iCs/>
          <w:sz w:val="18"/>
          <w:szCs w:val="18"/>
          <w:lang w:bidi="ar-SA"/>
        </w:rPr>
      </w:pPr>
      <w:r>
        <w:rPr>
          <w:rFonts w:ascii="Work Sans" w:hAnsi="Work Sans" w:cs="Calibri"/>
          <w:i/>
          <w:iCs/>
          <w:sz w:val="18"/>
          <w:szCs w:val="18"/>
          <w:lang w:bidi="ar-SA"/>
        </w:rPr>
        <w:t xml:space="preserve">A manera de referencia, a continuación, se presentan las tarifas con incremento de las Estaciones de Peaje en este Proyecto, expresadas en pesos del Mes de </w:t>
      </w:r>
      <w:r>
        <w:rPr>
          <w:rFonts w:ascii="Work Sans" w:hAnsi="Work Sans" w:cs="Calibri"/>
          <w:i/>
          <w:iCs/>
          <w:sz w:val="18"/>
          <w:szCs w:val="18"/>
          <w:lang w:bidi="ar-SA"/>
        </w:rPr>
        <w:t>Referencia. En consecuencia, la estructura tarifaria que será tomada para los efectos de este Contrato será la definida por la Resolución de Peajes de que trata la sección 4.2 (a) las cuales regirán a partir del momento en que se haya culminado las obras p</w:t>
      </w:r>
      <w:r>
        <w:rPr>
          <w:rFonts w:ascii="Work Sans" w:hAnsi="Work Sans" w:cs="Calibri"/>
          <w:i/>
          <w:iCs/>
          <w:sz w:val="18"/>
          <w:szCs w:val="18"/>
          <w:lang w:bidi="ar-SA"/>
        </w:rPr>
        <w:t xml:space="preserve">revistas y se firme el Acta de Terminación de la Unidad Funcional en la que está ubicada la Estación de Peaje, conforme a lo definido en el numeral 3.6(a) </w:t>
      </w:r>
    </w:p>
    <w:p w:rsidR="00092772" w:rsidRDefault="00092772">
      <w:pPr>
        <w:tabs>
          <w:tab w:val="left" w:pos="0"/>
        </w:tabs>
        <w:ind w:left="426" w:right="333"/>
        <w:jc w:val="both"/>
        <w:rPr>
          <w:rFonts w:ascii="Work Sans" w:hAnsi="Work Sans" w:cs="Calibri"/>
          <w:i/>
          <w:iCs/>
          <w:sz w:val="18"/>
          <w:szCs w:val="18"/>
          <w:lang w:val="es-CO"/>
        </w:rPr>
      </w:pPr>
    </w:p>
    <w:p w:rsidR="00092772" w:rsidRDefault="00D44972">
      <w:pPr>
        <w:widowControl/>
        <w:tabs>
          <w:tab w:val="left" w:pos="0"/>
        </w:tabs>
        <w:ind w:left="1068" w:right="333"/>
        <w:jc w:val="center"/>
      </w:pPr>
      <w:r>
        <w:rPr>
          <w:rStyle w:val="Fuentedeprrafopredeter"/>
          <w:rFonts w:ascii="Work Sans" w:hAnsi="Work Sans" w:cs="Calibri"/>
          <w:i/>
          <w:iCs/>
          <w:noProof/>
          <w:sz w:val="18"/>
          <w:szCs w:val="18"/>
          <w:lang w:val="en-US" w:eastAsia="en-US" w:bidi="ar-SA"/>
        </w:rPr>
        <w:drawing>
          <wp:inline distT="0" distB="0" distL="0" distR="0">
            <wp:extent cx="4047125" cy="648775"/>
            <wp:effectExtent l="0" t="0" r="0" b="0"/>
            <wp:docPr id="3" name="Imagen 5"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7835" t="35923" r="27699" b="51398"/>
                    <a:stretch>
                      <a:fillRect/>
                    </a:stretch>
                  </pic:blipFill>
                  <pic:spPr>
                    <a:xfrm>
                      <a:off x="0" y="0"/>
                      <a:ext cx="4047125" cy="648775"/>
                    </a:xfrm>
                    <a:prstGeom prst="rect">
                      <a:avLst/>
                    </a:prstGeom>
                    <a:noFill/>
                    <a:ln>
                      <a:noFill/>
                      <a:prstDash/>
                    </a:ln>
                  </pic:spPr>
                </pic:pic>
              </a:graphicData>
            </a:graphic>
          </wp:inline>
        </w:drawing>
      </w:r>
    </w:p>
    <w:p w:rsidR="00092772" w:rsidRDefault="00092772">
      <w:pPr>
        <w:widowControl/>
        <w:tabs>
          <w:tab w:val="left" w:pos="0"/>
        </w:tabs>
        <w:ind w:left="1068" w:right="333"/>
        <w:jc w:val="both"/>
        <w:rPr>
          <w:rFonts w:ascii="Work Sans" w:hAnsi="Work Sans" w:cs="Calibri"/>
          <w:i/>
          <w:iCs/>
          <w:sz w:val="18"/>
          <w:szCs w:val="18"/>
          <w:lang w:bidi="ar-SA"/>
        </w:rPr>
      </w:pPr>
    </w:p>
    <w:p w:rsidR="00092772" w:rsidRDefault="00D44972">
      <w:pPr>
        <w:widowControl/>
        <w:numPr>
          <w:ilvl w:val="0"/>
          <w:numId w:val="22"/>
        </w:numPr>
        <w:tabs>
          <w:tab w:val="left" w:pos="0"/>
        </w:tabs>
        <w:ind w:left="1788" w:right="333"/>
        <w:jc w:val="both"/>
        <w:textAlignment w:val="auto"/>
        <w:rPr>
          <w:rFonts w:ascii="Work Sans" w:hAnsi="Work Sans" w:cs="Calibri"/>
          <w:i/>
          <w:iCs/>
          <w:sz w:val="18"/>
          <w:szCs w:val="18"/>
          <w:lang w:bidi="ar-SA"/>
        </w:rPr>
      </w:pPr>
      <w:r>
        <w:rPr>
          <w:rFonts w:ascii="Work Sans" w:hAnsi="Work Sans" w:cs="Calibri"/>
          <w:i/>
          <w:iCs/>
          <w:sz w:val="18"/>
          <w:szCs w:val="18"/>
          <w:lang w:bidi="ar-SA"/>
        </w:rPr>
        <w:t>Esta concesión cuenta con una Estación de Peaje que actualmente está en operación que es el peaj</w:t>
      </w:r>
      <w:r>
        <w:rPr>
          <w:rFonts w:ascii="Work Sans" w:hAnsi="Work Sans" w:cs="Calibri"/>
          <w:i/>
          <w:iCs/>
          <w:sz w:val="18"/>
          <w:szCs w:val="18"/>
          <w:lang w:bidi="ar-SA"/>
        </w:rPr>
        <w:t xml:space="preserve">e de Aburrá (compuesto por los Puntos de Recaudo de San Cristóbal y Palmitas), y que hace parte del Convenio 0583-1996. </w:t>
      </w:r>
    </w:p>
    <w:p w:rsidR="00092772" w:rsidRDefault="00092772">
      <w:pPr>
        <w:widowControl/>
        <w:tabs>
          <w:tab w:val="left" w:pos="0"/>
        </w:tabs>
        <w:ind w:left="1788" w:right="333"/>
        <w:jc w:val="both"/>
        <w:rPr>
          <w:rFonts w:ascii="Work Sans" w:hAnsi="Work Sans" w:cs="Calibri"/>
          <w:i/>
          <w:iCs/>
          <w:sz w:val="18"/>
          <w:szCs w:val="18"/>
          <w:lang w:bidi="ar-SA"/>
        </w:rPr>
      </w:pPr>
    </w:p>
    <w:p w:rsidR="00092772" w:rsidRDefault="00D44972">
      <w:pPr>
        <w:widowControl/>
        <w:numPr>
          <w:ilvl w:val="0"/>
          <w:numId w:val="21"/>
        </w:numPr>
        <w:tabs>
          <w:tab w:val="left" w:pos="-1068"/>
        </w:tabs>
        <w:ind w:right="333"/>
        <w:jc w:val="both"/>
        <w:textAlignment w:val="auto"/>
      </w:pPr>
      <w:r>
        <w:rPr>
          <w:rStyle w:val="Fuentedeprrafopredeter"/>
          <w:rFonts w:ascii="Work Sans" w:hAnsi="Work Sans" w:cs="Calibri"/>
          <w:i/>
          <w:iCs/>
          <w:sz w:val="18"/>
          <w:szCs w:val="18"/>
          <w:lang w:bidi="ar-SA"/>
        </w:rPr>
        <w:t xml:space="preserve">Una vez sea entregado el recaudo de esta caseta conforme a lo definido en el numeral 3.6 anterior, el concesionario tendrá el derecho </w:t>
      </w:r>
      <w:r>
        <w:rPr>
          <w:rStyle w:val="Fuentedeprrafopredeter"/>
          <w:rFonts w:ascii="Work Sans" w:hAnsi="Work Sans" w:cs="Calibri"/>
          <w:i/>
          <w:iCs/>
          <w:sz w:val="18"/>
          <w:szCs w:val="18"/>
          <w:lang w:bidi="ar-SA"/>
        </w:rPr>
        <w:t>al recaudo correspondiente de las tarifas que al momento de la entrega de la Estación de Peaje se estén cobrando al público, descontando el Fondo de Seguridad Vial(…)</w:t>
      </w:r>
    </w:p>
    <w:p w:rsidR="00092772" w:rsidRDefault="00092772">
      <w:pPr>
        <w:widowControl/>
        <w:tabs>
          <w:tab w:val="left" w:pos="0"/>
        </w:tabs>
        <w:ind w:left="1068" w:right="333"/>
        <w:jc w:val="both"/>
        <w:rPr>
          <w:rFonts w:ascii="Work Sans" w:hAnsi="Work Sans" w:cs="Calibri"/>
          <w:i/>
          <w:iCs/>
          <w:sz w:val="18"/>
          <w:szCs w:val="18"/>
          <w:lang w:bidi="ar-SA"/>
        </w:rPr>
      </w:pPr>
    </w:p>
    <w:p w:rsidR="00092772" w:rsidRDefault="00D44972">
      <w:pPr>
        <w:widowControl/>
        <w:tabs>
          <w:tab w:val="left" w:pos="0"/>
        </w:tabs>
        <w:ind w:left="993" w:right="333" w:hanging="284"/>
        <w:jc w:val="both"/>
        <w:rPr>
          <w:rFonts w:ascii="Work Sans" w:hAnsi="Work Sans" w:cs="Calibri"/>
          <w:i/>
          <w:iCs/>
          <w:sz w:val="18"/>
          <w:szCs w:val="18"/>
          <w:lang w:bidi="ar-SA"/>
        </w:rPr>
      </w:pPr>
      <w:r>
        <w:rPr>
          <w:rFonts w:ascii="Work Sans" w:hAnsi="Work Sans" w:cs="Calibri"/>
          <w:i/>
          <w:iCs/>
          <w:sz w:val="18"/>
          <w:szCs w:val="18"/>
          <w:lang w:bidi="ar-SA"/>
        </w:rPr>
        <w:t xml:space="preserve">(e) Al culminar las obras previstas, es decir cuando se firme el Acta de Terminación de </w:t>
      </w:r>
      <w:r>
        <w:rPr>
          <w:rFonts w:ascii="Work Sans" w:hAnsi="Work Sans" w:cs="Calibri"/>
          <w:i/>
          <w:iCs/>
          <w:sz w:val="18"/>
          <w:szCs w:val="18"/>
          <w:lang w:bidi="ar-SA"/>
        </w:rPr>
        <w:t xml:space="preserve">la Unidad Funcional 3, se va a llevar a cabo un incremento de tarifas como consecuencia de la intervención realizada sobre la vía. Las nuevas tarifas a cobrar expresadas en pesos del Mes de Referencia serán las establecidas en la Sección 4.2(a). </w:t>
      </w:r>
    </w:p>
    <w:p w:rsidR="00092772" w:rsidRDefault="00092772">
      <w:pPr>
        <w:widowControl/>
        <w:tabs>
          <w:tab w:val="left" w:pos="0"/>
        </w:tabs>
        <w:ind w:left="1068" w:right="333"/>
        <w:jc w:val="both"/>
        <w:rPr>
          <w:rFonts w:ascii="Work Sans" w:hAnsi="Work Sans" w:cs="Calibri"/>
          <w:i/>
          <w:iCs/>
          <w:sz w:val="18"/>
          <w:szCs w:val="18"/>
          <w:lang w:bidi="ar-SA"/>
        </w:rPr>
      </w:pPr>
    </w:p>
    <w:p w:rsidR="00092772" w:rsidRDefault="00D44972">
      <w:pPr>
        <w:widowControl/>
        <w:tabs>
          <w:tab w:val="left" w:pos="0"/>
        </w:tabs>
        <w:ind w:left="1068" w:right="333"/>
        <w:jc w:val="both"/>
        <w:rPr>
          <w:rFonts w:ascii="Work Sans" w:hAnsi="Work Sans" w:cs="Calibri"/>
          <w:i/>
          <w:iCs/>
          <w:sz w:val="18"/>
          <w:szCs w:val="18"/>
          <w:lang w:bidi="ar-SA"/>
        </w:rPr>
      </w:pPr>
      <w:r>
        <w:rPr>
          <w:rFonts w:ascii="Work Sans" w:hAnsi="Work Sans" w:cs="Calibri"/>
          <w:i/>
          <w:iCs/>
          <w:sz w:val="18"/>
          <w:szCs w:val="18"/>
          <w:lang w:bidi="ar-SA"/>
        </w:rPr>
        <w:t>(i)</w:t>
      </w:r>
      <w:r>
        <w:rPr>
          <w:rFonts w:ascii="Work Sans" w:hAnsi="Work Sans" w:cs="Calibri"/>
          <w:i/>
          <w:iCs/>
          <w:sz w:val="18"/>
          <w:szCs w:val="18"/>
          <w:lang w:bidi="ar-SA"/>
        </w:rPr>
        <w:tab/>
        <w:t>El i</w:t>
      </w:r>
      <w:r>
        <w:rPr>
          <w:rFonts w:ascii="Work Sans" w:hAnsi="Work Sans" w:cs="Calibri"/>
          <w:i/>
          <w:iCs/>
          <w:sz w:val="18"/>
          <w:szCs w:val="18"/>
          <w:lang w:bidi="ar-SA"/>
        </w:rPr>
        <w:t xml:space="preserve">nicio del cobro de esta tarifa se hará en los primeros diez (10) días del mes siguiente en el que se haya firmado el Acta de Terminación de la Unidad Funcional. La actualización de las tarifas para el inicio del cobro de esta nueva estructura tarifaria se </w:t>
      </w:r>
      <w:r>
        <w:rPr>
          <w:rFonts w:ascii="Work Sans" w:hAnsi="Work Sans" w:cs="Calibri"/>
          <w:i/>
          <w:iCs/>
          <w:sz w:val="18"/>
          <w:szCs w:val="18"/>
          <w:lang w:bidi="ar-SA"/>
        </w:rPr>
        <w:t xml:space="preserve">llevará a cabo aplicando la siguiente fórmula: </w:t>
      </w:r>
    </w:p>
    <w:p w:rsidR="00092772" w:rsidRDefault="00092772">
      <w:pPr>
        <w:widowControl/>
        <w:tabs>
          <w:tab w:val="left" w:pos="0"/>
        </w:tabs>
        <w:ind w:left="1068" w:right="333"/>
        <w:jc w:val="both"/>
        <w:rPr>
          <w:rFonts w:ascii="Work Sans" w:hAnsi="Work Sans" w:cs="Calibri"/>
          <w:i/>
          <w:iCs/>
          <w:sz w:val="18"/>
          <w:szCs w:val="18"/>
          <w:lang w:bidi="ar-SA"/>
        </w:rPr>
      </w:pPr>
    </w:p>
    <w:p w:rsidR="00092772" w:rsidRDefault="00D44972">
      <w:pPr>
        <w:widowControl/>
        <w:tabs>
          <w:tab w:val="left" w:pos="0"/>
        </w:tabs>
        <w:ind w:left="1068" w:right="333"/>
        <w:jc w:val="both"/>
        <w:rPr>
          <w:rFonts w:ascii="Work Sans" w:hAnsi="Work Sans" w:cs="Calibri"/>
          <w:i/>
          <w:iCs/>
          <w:sz w:val="18"/>
          <w:szCs w:val="18"/>
          <w:lang w:bidi="ar-SA"/>
        </w:rPr>
      </w:pPr>
      <w:r>
        <w:rPr>
          <w:rFonts w:ascii="Work Sans" w:hAnsi="Work Sans" w:cs="Calibri"/>
          <w:i/>
          <w:iCs/>
          <w:sz w:val="18"/>
          <w:szCs w:val="18"/>
          <w:lang w:bidi="ar-SA"/>
        </w:rPr>
        <w:t>(…)</w:t>
      </w:r>
    </w:p>
    <w:p w:rsidR="00092772" w:rsidRDefault="00092772">
      <w:pPr>
        <w:tabs>
          <w:tab w:val="left" w:pos="0"/>
        </w:tabs>
        <w:ind w:right="333"/>
        <w:jc w:val="both"/>
        <w:rPr>
          <w:rFonts w:ascii="Work Sans" w:hAnsi="Work Sans" w:cs="Calibri"/>
          <w:i/>
          <w:iCs/>
          <w:sz w:val="18"/>
          <w:szCs w:val="18"/>
          <w:lang w:val="es-CO"/>
        </w:rPr>
      </w:pPr>
    </w:p>
    <w:p w:rsidR="00092772" w:rsidRDefault="00D44972">
      <w:pPr>
        <w:widowControl/>
        <w:tabs>
          <w:tab w:val="left" w:pos="0"/>
        </w:tabs>
        <w:ind w:left="1068" w:right="333"/>
        <w:jc w:val="both"/>
        <w:rPr>
          <w:rFonts w:ascii="Work Sans" w:hAnsi="Work Sans" w:cs="Calibri"/>
          <w:i/>
          <w:iCs/>
          <w:sz w:val="18"/>
          <w:szCs w:val="18"/>
          <w:lang w:bidi="ar-SA"/>
        </w:rPr>
      </w:pPr>
      <w:r>
        <w:rPr>
          <w:rFonts w:ascii="Work Sans" w:hAnsi="Work Sans" w:cs="Calibri"/>
          <w:i/>
          <w:iCs/>
          <w:sz w:val="18"/>
          <w:szCs w:val="18"/>
          <w:lang w:bidi="ar-SA"/>
        </w:rPr>
        <w:t xml:space="preserve">(ii)  Para la segunda y posteriores actualizaciones, las tarifas serán ajustadas utilizando las fórmulas establecidas a continuación. Las tarifas de la Estación de Peaje regirán desde el dieciséis (16) </w:t>
      </w:r>
      <w:r>
        <w:rPr>
          <w:rFonts w:ascii="Work Sans" w:hAnsi="Work Sans" w:cs="Calibri"/>
          <w:i/>
          <w:iCs/>
          <w:sz w:val="18"/>
          <w:szCs w:val="18"/>
          <w:lang w:bidi="ar-SA"/>
        </w:rPr>
        <w:t>de enero de cada año hasta el quince (15) de enero del año siguiente. (…)”.</w:t>
      </w:r>
    </w:p>
    <w:p w:rsidR="00092772" w:rsidRDefault="00092772">
      <w:pPr>
        <w:tabs>
          <w:tab w:val="left" w:pos="0"/>
        </w:tabs>
        <w:ind w:right="333"/>
        <w:jc w:val="both"/>
        <w:rPr>
          <w:rFonts w:ascii="Work Sans" w:hAnsi="Work Sans" w:cs="Calibri"/>
          <w:i/>
          <w:iCs/>
          <w:sz w:val="18"/>
          <w:szCs w:val="18"/>
          <w:lang w:val="es-CO"/>
        </w:rPr>
      </w:pPr>
    </w:p>
    <w:p w:rsidR="00092772" w:rsidRDefault="00D44972">
      <w:pPr>
        <w:tabs>
          <w:tab w:val="left" w:pos="426"/>
        </w:tabs>
        <w:ind w:left="426" w:right="623"/>
        <w:jc w:val="both"/>
        <w:rPr>
          <w:rFonts w:ascii="Work Sans" w:eastAsia="Segoe UI" w:hAnsi="Work Sans" w:cs="Calibri"/>
          <w:i/>
          <w:iCs/>
          <w:color w:val="000000"/>
          <w:sz w:val="18"/>
          <w:szCs w:val="18"/>
          <w:lang w:val="es-CO"/>
        </w:rPr>
      </w:pPr>
      <w:r>
        <w:rPr>
          <w:rFonts w:ascii="Work Sans" w:eastAsia="Segoe UI" w:hAnsi="Work Sans" w:cs="Calibri"/>
          <w:i/>
          <w:iCs/>
          <w:color w:val="000000"/>
          <w:sz w:val="18"/>
          <w:szCs w:val="18"/>
          <w:lang w:val="es-CO"/>
        </w:rPr>
        <w:t xml:space="preserve">Ahora bien, en relación con la actualización de las tarifas, conforme la Sección 4.2 (e) (ii) de la Parte Especial del Contrato de Concesión No. 014 de 2015, las mismas deben ser </w:t>
      </w:r>
      <w:r>
        <w:rPr>
          <w:rFonts w:ascii="Work Sans" w:eastAsia="Segoe UI" w:hAnsi="Work Sans" w:cs="Calibri"/>
          <w:i/>
          <w:iCs/>
          <w:color w:val="000000"/>
          <w:sz w:val="18"/>
          <w:szCs w:val="18"/>
          <w:lang w:val="es-CO"/>
        </w:rPr>
        <w:t>actualizadas el dieciséis (16) de enero de cada año de acuerdo con la fórmula establecida en dicho acápite.</w:t>
      </w:r>
    </w:p>
    <w:p w:rsidR="00092772" w:rsidRDefault="00092772">
      <w:pPr>
        <w:tabs>
          <w:tab w:val="left" w:pos="426"/>
        </w:tabs>
        <w:ind w:left="426" w:right="623"/>
        <w:jc w:val="both"/>
        <w:rPr>
          <w:rFonts w:ascii="Work Sans" w:hAnsi="Work Sans" w:cs="Calibri"/>
          <w:i/>
          <w:iCs/>
          <w:sz w:val="18"/>
          <w:szCs w:val="18"/>
          <w:lang w:val="es-CO"/>
        </w:rPr>
      </w:pPr>
    </w:p>
    <w:p w:rsidR="00092772" w:rsidRDefault="00D44972">
      <w:pPr>
        <w:tabs>
          <w:tab w:val="left" w:pos="426"/>
        </w:tabs>
        <w:ind w:left="426" w:right="623"/>
        <w:jc w:val="both"/>
      </w:pPr>
      <w:r>
        <w:rPr>
          <w:rStyle w:val="Fuentedeprrafopredeter"/>
          <w:rFonts w:ascii="Work Sans" w:hAnsi="Work Sans" w:cs="Calibri"/>
          <w:i/>
          <w:iCs/>
          <w:sz w:val="18"/>
          <w:szCs w:val="18"/>
          <w:lang w:val="es-CO"/>
        </w:rPr>
        <w:t>Es así como a la fecha y a partir del 1</w:t>
      </w:r>
      <w:r>
        <w:rPr>
          <w:rStyle w:val="Fuentedeprrafopredeter"/>
          <w:rFonts w:ascii="Work Sans" w:hAnsi="Work Sans" w:cs="Calibri"/>
          <w:i/>
          <w:iCs/>
          <w:sz w:val="18"/>
          <w:szCs w:val="18"/>
          <w:lang w:val="es"/>
        </w:rPr>
        <w:t xml:space="preserve"> julio de 2016, día en el que se efectuó la entrega de la Estación de Peaje Aburrá al Concesionario, la cual</w:t>
      </w:r>
      <w:r>
        <w:rPr>
          <w:rStyle w:val="Fuentedeprrafopredeter"/>
          <w:rFonts w:ascii="Work Sans" w:hAnsi="Work Sans" w:cs="Calibri"/>
          <w:i/>
          <w:iCs/>
          <w:sz w:val="18"/>
          <w:szCs w:val="18"/>
          <w:lang w:val="es"/>
        </w:rPr>
        <w:t xml:space="preserve"> estaba siendo operada por la Gobernación de Antioquia en virtud del Convenio No. 0583 de 1996 (Proyecto Conexión Vial “Guillermo Gaviria Correa” - Túnel de Occidente), las tarifas a cobrar, de conformidad con lo previsto en la Sección IV, 4.2 (c) de la Pa</w:t>
      </w:r>
      <w:r>
        <w:rPr>
          <w:rStyle w:val="Fuentedeprrafopredeter"/>
          <w:rFonts w:ascii="Work Sans" w:hAnsi="Work Sans" w:cs="Calibri"/>
          <w:i/>
          <w:iCs/>
          <w:sz w:val="18"/>
          <w:szCs w:val="18"/>
          <w:lang w:val="es"/>
        </w:rPr>
        <w:t>rte Especial del Contrato de Concesión No. 014 de 2015, eran las “ (…) tarifas que al momento de la entrega de la Estación de Peaje se estén cobrando al público, descontando el Fondo de Seguridad Vial”, es decir, las establecidas en la Resolución 228 de 20</w:t>
      </w:r>
      <w:r>
        <w:rPr>
          <w:rStyle w:val="Fuentedeprrafopredeter"/>
          <w:rFonts w:ascii="Work Sans" w:hAnsi="Work Sans" w:cs="Calibri"/>
          <w:i/>
          <w:iCs/>
          <w:sz w:val="18"/>
          <w:szCs w:val="18"/>
          <w:lang w:val="es"/>
        </w:rPr>
        <w:t xml:space="preserve">13 y las diferenciales correspondientes. </w:t>
      </w:r>
    </w:p>
    <w:p w:rsidR="00092772" w:rsidRDefault="00092772">
      <w:pPr>
        <w:tabs>
          <w:tab w:val="left" w:pos="426"/>
        </w:tabs>
        <w:ind w:left="426" w:right="623"/>
        <w:jc w:val="both"/>
        <w:rPr>
          <w:rFonts w:ascii="Work Sans" w:hAnsi="Work Sans" w:cs="Calibri"/>
          <w:i/>
          <w:iCs/>
          <w:sz w:val="18"/>
          <w:szCs w:val="18"/>
          <w:lang w:val="es"/>
        </w:rPr>
      </w:pPr>
    </w:p>
    <w:p w:rsidR="00092772" w:rsidRDefault="00D44972">
      <w:pPr>
        <w:tabs>
          <w:tab w:val="left" w:pos="426"/>
        </w:tabs>
        <w:ind w:left="426" w:right="623"/>
        <w:jc w:val="both"/>
        <w:rPr>
          <w:rFonts w:ascii="Work Sans" w:hAnsi="Work Sans" w:cs="Calibri"/>
          <w:i/>
          <w:iCs/>
          <w:sz w:val="18"/>
          <w:szCs w:val="18"/>
          <w:lang w:val="es"/>
        </w:rPr>
      </w:pPr>
      <w:r>
        <w:rPr>
          <w:rFonts w:ascii="Work Sans" w:hAnsi="Work Sans" w:cs="Calibri"/>
          <w:i/>
          <w:iCs/>
          <w:sz w:val="18"/>
          <w:szCs w:val="18"/>
          <w:lang w:val="es"/>
        </w:rPr>
        <w:t xml:space="preserve">Una vez se recibió la estación de peaje a cargo del Concesionario, se mantuvieron las tarifas con las cuales se recibió la infraestructura hasta el 15 de enero del 2017, fecha a partir de la cual se actualizaron </w:t>
      </w:r>
      <w:r>
        <w:rPr>
          <w:rFonts w:ascii="Work Sans" w:hAnsi="Work Sans" w:cs="Calibri"/>
          <w:i/>
          <w:iCs/>
          <w:sz w:val="18"/>
          <w:szCs w:val="18"/>
          <w:lang w:val="es"/>
        </w:rPr>
        <w:t>de acuerdo con la fórmula y procedimiento previsto en la citada Sección.</w:t>
      </w:r>
    </w:p>
    <w:p w:rsidR="00092772" w:rsidRDefault="00092772">
      <w:pPr>
        <w:tabs>
          <w:tab w:val="left" w:pos="426"/>
        </w:tabs>
        <w:ind w:left="426" w:right="623"/>
        <w:jc w:val="both"/>
        <w:rPr>
          <w:rFonts w:ascii="Work Sans" w:hAnsi="Work Sans" w:cs="Calibri"/>
          <w:i/>
          <w:iCs/>
          <w:sz w:val="18"/>
          <w:szCs w:val="18"/>
          <w:lang w:val="es"/>
        </w:rPr>
      </w:pPr>
    </w:p>
    <w:p w:rsidR="00092772" w:rsidRDefault="00D44972">
      <w:pPr>
        <w:tabs>
          <w:tab w:val="left" w:pos="426"/>
        </w:tabs>
        <w:ind w:left="426" w:right="623"/>
        <w:jc w:val="both"/>
      </w:pPr>
      <w:r>
        <w:rPr>
          <w:rStyle w:val="Fuentedeprrafopredeter"/>
          <w:rFonts w:ascii="Work Sans" w:eastAsia="Segoe UI" w:hAnsi="Work Sans" w:cs="Calibri"/>
          <w:i/>
          <w:iCs/>
          <w:color w:val="000000"/>
          <w:sz w:val="18"/>
          <w:szCs w:val="18"/>
          <w:lang w:val="es-CO"/>
        </w:rPr>
        <w:t xml:space="preserve">Así las cosas, mediante comunicación con </w:t>
      </w:r>
      <w:r>
        <w:rPr>
          <w:rStyle w:val="Fuentedeprrafopredeter"/>
          <w:rFonts w:ascii="Work Sans" w:hAnsi="Work Sans" w:cs="Calibri"/>
          <w:i/>
          <w:iCs/>
          <w:sz w:val="18"/>
          <w:szCs w:val="18"/>
          <w:lang w:val="es-CO"/>
        </w:rPr>
        <w:t>radicado ANI No</w:t>
      </w:r>
      <w:r>
        <w:rPr>
          <w:rStyle w:val="Fuentedeprrafopredeter"/>
          <w:rFonts w:ascii="Work Sans" w:eastAsia="Segoe UI" w:hAnsi="Work Sans" w:cs="Calibri"/>
          <w:i/>
          <w:iCs/>
          <w:color w:val="000000"/>
          <w:sz w:val="18"/>
          <w:szCs w:val="18"/>
          <w:lang w:val="es-CO"/>
        </w:rPr>
        <w:t>. 20225000007531</w:t>
      </w:r>
      <w:r>
        <w:rPr>
          <w:rStyle w:val="Fuentedeprrafopredeter"/>
          <w:rFonts w:ascii="Work Sans" w:hAnsi="Work Sans" w:cs="Calibri"/>
          <w:b/>
          <w:bCs/>
          <w:i/>
          <w:iCs/>
          <w:sz w:val="18"/>
          <w:szCs w:val="18"/>
          <w:lang w:val="es-CO"/>
        </w:rPr>
        <w:t xml:space="preserve"> </w:t>
      </w:r>
      <w:r>
        <w:rPr>
          <w:rStyle w:val="Fuentedeprrafopredeter"/>
          <w:rFonts w:ascii="Work Sans" w:hAnsi="Work Sans" w:cs="Calibri"/>
          <w:i/>
          <w:iCs/>
          <w:sz w:val="18"/>
          <w:szCs w:val="18"/>
          <w:lang w:val="es-CO"/>
        </w:rPr>
        <w:t>del 14 de enero de 2022</w:t>
      </w:r>
      <w:r>
        <w:rPr>
          <w:rStyle w:val="Fuentedeprrafopredeter"/>
          <w:rFonts w:ascii="Work Sans" w:eastAsia="Segoe UI" w:hAnsi="Work Sans" w:cs="Calibri"/>
          <w:i/>
          <w:iCs/>
          <w:color w:val="000000"/>
          <w:sz w:val="18"/>
          <w:szCs w:val="18"/>
          <w:lang w:val="es-CO"/>
        </w:rPr>
        <w:t xml:space="preserve">, la ANI notificó a la Concesión Desarrollo Vial al Mar S.A.S la actualización de las </w:t>
      </w:r>
      <w:r>
        <w:rPr>
          <w:rStyle w:val="Fuentedeprrafopredeter"/>
          <w:rFonts w:ascii="Work Sans" w:eastAsia="Segoe UI" w:hAnsi="Work Sans" w:cs="Calibri"/>
          <w:i/>
          <w:iCs/>
          <w:color w:val="000000"/>
          <w:sz w:val="18"/>
          <w:szCs w:val="18"/>
          <w:lang w:val="es-CO"/>
        </w:rPr>
        <w:t>tarifas de peajes para el periodo 2022. Frente a la Estación de Peaje Aburrá, los valores, por categoría, de acuerdo con dicha actualización, quedaron así:</w:t>
      </w:r>
    </w:p>
    <w:p w:rsidR="00092772" w:rsidRDefault="00092772">
      <w:pPr>
        <w:jc w:val="both"/>
        <w:rPr>
          <w:rFonts w:ascii="Work Sans" w:eastAsia="Segoe UI" w:hAnsi="Work Sans" w:cs="Calibri"/>
          <w:i/>
          <w:iCs/>
          <w:color w:val="000000"/>
          <w:sz w:val="16"/>
          <w:szCs w:val="16"/>
          <w:lang w:val="es-CO"/>
        </w:rPr>
      </w:pPr>
    </w:p>
    <w:tbl>
      <w:tblPr>
        <w:tblW w:w="5000" w:type="pct"/>
        <w:jc w:val="center"/>
        <w:tblLayout w:type="fixed"/>
        <w:tblCellMar>
          <w:left w:w="10" w:type="dxa"/>
          <w:right w:w="10" w:type="dxa"/>
        </w:tblCellMar>
        <w:tblLook w:val="0000" w:firstRow="0" w:lastRow="0" w:firstColumn="0" w:lastColumn="0" w:noHBand="0" w:noVBand="0"/>
      </w:tblPr>
      <w:tblGrid>
        <w:gridCol w:w="895"/>
        <w:gridCol w:w="1291"/>
        <w:gridCol w:w="516"/>
        <w:gridCol w:w="445"/>
        <w:gridCol w:w="1108"/>
        <w:gridCol w:w="1271"/>
        <w:gridCol w:w="800"/>
        <w:gridCol w:w="1065"/>
        <w:gridCol w:w="1160"/>
      </w:tblGrid>
      <w:tr w:rsidR="00092772">
        <w:tblPrEx>
          <w:tblCellMar>
            <w:top w:w="0" w:type="dxa"/>
            <w:bottom w:w="0" w:type="dxa"/>
          </w:tblCellMar>
        </w:tblPrEx>
        <w:trPr>
          <w:trHeight w:val="620"/>
          <w:jc w:val="center"/>
        </w:trPr>
        <w:tc>
          <w:tcPr>
            <w:tcW w:w="89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CATEGORÍA</w:t>
            </w:r>
          </w:p>
        </w:tc>
        <w:tc>
          <w:tcPr>
            <w:tcW w:w="1291"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TARIFA PLENA 2021 ANTES DE FOSEVI</w:t>
            </w:r>
          </w:p>
        </w:tc>
        <w:tc>
          <w:tcPr>
            <w:tcW w:w="516"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IPC DIC 2020</w:t>
            </w:r>
          </w:p>
        </w:tc>
        <w:tc>
          <w:tcPr>
            <w:tcW w:w="445"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IPC DIC 2021</w:t>
            </w:r>
          </w:p>
        </w:tc>
        <w:tc>
          <w:tcPr>
            <w:tcW w:w="1108"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INDICE DE ACTUALIZACIÓN</w:t>
            </w:r>
          </w:p>
        </w:tc>
        <w:tc>
          <w:tcPr>
            <w:tcW w:w="1271"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TARIFA BASE 2022</w:t>
            </w:r>
          </w:p>
        </w:tc>
        <w:tc>
          <w:tcPr>
            <w:tcW w:w="800"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FOSEVI 2022</w:t>
            </w:r>
          </w:p>
        </w:tc>
        <w:tc>
          <w:tcPr>
            <w:tcW w:w="1065"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TARIFA BASE + FOSEVI 2022</w:t>
            </w:r>
          </w:p>
        </w:tc>
        <w:tc>
          <w:tcPr>
            <w:tcW w:w="1160"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b/>
                <w:bCs/>
                <w:color w:val="000000"/>
                <w:sz w:val="16"/>
                <w:szCs w:val="16"/>
                <w:lang w:val="es-CO" w:eastAsia="es-CO"/>
              </w:rPr>
            </w:pPr>
            <w:r>
              <w:rPr>
                <w:rFonts w:ascii="Work Sans" w:hAnsi="Work Sans" w:cs="Arial"/>
                <w:b/>
                <w:bCs/>
                <w:color w:val="000000"/>
                <w:sz w:val="16"/>
                <w:szCs w:val="16"/>
                <w:lang w:val="es-CO" w:eastAsia="es-CO"/>
              </w:rPr>
              <w:t>TARIFA 2022 AJUSTADA A LA CENTENA</w:t>
            </w:r>
          </w:p>
        </w:tc>
      </w:tr>
      <w:tr w:rsidR="00092772">
        <w:tblPrEx>
          <w:tblCellMar>
            <w:top w:w="0" w:type="dxa"/>
            <w:bottom w:w="0" w:type="dxa"/>
          </w:tblCellMar>
        </w:tblPrEx>
        <w:trPr>
          <w:trHeight w:val="206"/>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CAT I</w:t>
            </w:r>
          </w:p>
        </w:tc>
        <w:tc>
          <w:tcPr>
            <w:tcW w:w="12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$ 16.767 </w:t>
            </w:r>
          </w:p>
        </w:tc>
        <w:tc>
          <w:tcPr>
            <w:tcW w:w="51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105,48</w:t>
            </w:r>
          </w:p>
        </w:tc>
        <w:tc>
          <w:tcPr>
            <w:tcW w:w="4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111,41</w:t>
            </w:r>
          </w:p>
        </w:tc>
        <w:tc>
          <w:tcPr>
            <w:tcW w:w="11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1,0562</w:t>
            </w:r>
          </w:p>
        </w:tc>
        <w:tc>
          <w:tcPr>
            <w:tcW w:w="1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$ 17.710 </w:t>
            </w:r>
          </w:p>
        </w:tc>
        <w:tc>
          <w:tcPr>
            <w:tcW w:w="8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352 </w:t>
            </w:r>
          </w:p>
        </w:tc>
        <w:tc>
          <w:tcPr>
            <w:tcW w:w="106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18.061 </w:t>
            </w:r>
          </w:p>
        </w:tc>
        <w:tc>
          <w:tcPr>
            <w:tcW w:w="1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$ 18.100 </w:t>
            </w:r>
          </w:p>
        </w:tc>
      </w:tr>
      <w:tr w:rsidR="00092772">
        <w:tblPrEx>
          <w:tblCellMar>
            <w:top w:w="0" w:type="dxa"/>
            <w:bottom w:w="0" w:type="dxa"/>
          </w:tblCellMar>
        </w:tblPrEx>
        <w:trPr>
          <w:trHeight w:val="206"/>
          <w:jc w:val="center"/>
        </w:trPr>
        <w:tc>
          <w:tcPr>
            <w:tcW w:w="89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CAT II</w:t>
            </w:r>
          </w:p>
        </w:tc>
        <w:tc>
          <w:tcPr>
            <w:tcW w:w="12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$ 18.967 </w:t>
            </w:r>
          </w:p>
        </w:tc>
        <w:tc>
          <w:tcPr>
            <w:tcW w:w="5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105,48</w:t>
            </w:r>
          </w:p>
        </w:tc>
        <w:tc>
          <w:tcPr>
            <w:tcW w:w="44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111,41</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1,0562</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$ 20.033 </w:t>
            </w:r>
          </w:p>
        </w:tc>
        <w:tc>
          <w:tcPr>
            <w:tcW w:w="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352</w:t>
            </w:r>
          </w:p>
        </w:tc>
        <w:tc>
          <w:tcPr>
            <w:tcW w:w="10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20.385 </w:t>
            </w:r>
          </w:p>
        </w:tc>
        <w:tc>
          <w:tcPr>
            <w:tcW w:w="11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$ 20.400 </w:t>
            </w:r>
          </w:p>
        </w:tc>
      </w:tr>
      <w:tr w:rsidR="00092772">
        <w:tblPrEx>
          <w:tblCellMar>
            <w:top w:w="0" w:type="dxa"/>
            <w:bottom w:w="0" w:type="dxa"/>
          </w:tblCellMar>
        </w:tblPrEx>
        <w:trPr>
          <w:trHeight w:val="206"/>
          <w:jc w:val="center"/>
        </w:trPr>
        <w:tc>
          <w:tcPr>
            <w:tcW w:w="89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CAT III</w:t>
            </w:r>
          </w:p>
        </w:tc>
        <w:tc>
          <w:tcPr>
            <w:tcW w:w="12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$ 41.767</w:t>
            </w:r>
          </w:p>
        </w:tc>
        <w:tc>
          <w:tcPr>
            <w:tcW w:w="5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105,48</w:t>
            </w:r>
          </w:p>
        </w:tc>
        <w:tc>
          <w:tcPr>
            <w:tcW w:w="44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111,41</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1,0562</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$ 44.115 </w:t>
            </w:r>
          </w:p>
        </w:tc>
        <w:tc>
          <w:tcPr>
            <w:tcW w:w="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352</w:t>
            </w:r>
          </w:p>
        </w:tc>
        <w:tc>
          <w:tcPr>
            <w:tcW w:w="10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44.467 </w:t>
            </w:r>
          </w:p>
        </w:tc>
        <w:tc>
          <w:tcPr>
            <w:tcW w:w="11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$ 44.500 </w:t>
            </w:r>
          </w:p>
        </w:tc>
      </w:tr>
      <w:tr w:rsidR="00092772">
        <w:tblPrEx>
          <w:tblCellMar>
            <w:top w:w="0" w:type="dxa"/>
            <w:bottom w:w="0" w:type="dxa"/>
          </w:tblCellMar>
        </w:tblPrEx>
        <w:trPr>
          <w:trHeight w:val="206"/>
          <w:jc w:val="center"/>
        </w:trPr>
        <w:tc>
          <w:tcPr>
            <w:tcW w:w="89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CAT IV</w:t>
            </w:r>
          </w:p>
        </w:tc>
        <w:tc>
          <w:tcPr>
            <w:tcW w:w="12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$ 54.467 </w:t>
            </w:r>
          </w:p>
        </w:tc>
        <w:tc>
          <w:tcPr>
            <w:tcW w:w="5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105,48</w:t>
            </w:r>
          </w:p>
        </w:tc>
        <w:tc>
          <w:tcPr>
            <w:tcW w:w="44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111,41</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1,0562</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$ 57.529 </w:t>
            </w:r>
          </w:p>
        </w:tc>
        <w:tc>
          <w:tcPr>
            <w:tcW w:w="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352</w:t>
            </w:r>
          </w:p>
        </w:tc>
        <w:tc>
          <w:tcPr>
            <w:tcW w:w="10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57.881 </w:t>
            </w:r>
          </w:p>
        </w:tc>
        <w:tc>
          <w:tcPr>
            <w:tcW w:w="11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$ 57.900 </w:t>
            </w:r>
          </w:p>
        </w:tc>
      </w:tr>
      <w:tr w:rsidR="00092772">
        <w:tblPrEx>
          <w:tblCellMar>
            <w:top w:w="0" w:type="dxa"/>
            <w:bottom w:w="0" w:type="dxa"/>
          </w:tblCellMar>
        </w:tblPrEx>
        <w:trPr>
          <w:trHeight w:val="206"/>
          <w:jc w:val="center"/>
        </w:trPr>
        <w:tc>
          <w:tcPr>
            <w:tcW w:w="89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CAT V</w:t>
            </w:r>
          </w:p>
        </w:tc>
        <w:tc>
          <w:tcPr>
            <w:tcW w:w="12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$ 65.167 </w:t>
            </w:r>
          </w:p>
        </w:tc>
        <w:tc>
          <w:tcPr>
            <w:tcW w:w="5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105,48</w:t>
            </w:r>
          </w:p>
        </w:tc>
        <w:tc>
          <w:tcPr>
            <w:tcW w:w="44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111,41</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1,0562</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$ 68.831 </w:t>
            </w:r>
          </w:p>
        </w:tc>
        <w:tc>
          <w:tcPr>
            <w:tcW w:w="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352</w:t>
            </w:r>
          </w:p>
        </w:tc>
        <w:tc>
          <w:tcPr>
            <w:tcW w:w="10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69.182 </w:t>
            </w:r>
          </w:p>
        </w:tc>
        <w:tc>
          <w:tcPr>
            <w:tcW w:w="11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$ 69.200 </w:t>
            </w:r>
          </w:p>
        </w:tc>
      </w:tr>
      <w:tr w:rsidR="00092772">
        <w:tblPrEx>
          <w:tblCellMar>
            <w:top w:w="0" w:type="dxa"/>
            <w:bottom w:w="0" w:type="dxa"/>
          </w:tblCellMar>
        </w:tblPrEx>
        <w:trPr>
          <w:trHeight w:val="206"/>
          <w:jc w:val="center"/>
        </w:trPr>
        <w:tc>
          <w:tcPr>
            <w:tcW w:w="89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Eje adicional</w:t>
            </w:r>
          </w:p>
        </w:tc>
        <w:tc>
          <w:tcPr>
            <w:tcW w:w="129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6.600 </w:t>
            </w:r>
          </w:p>
        </w:tc>
        <w:tc>
          <w:tcPr>
            <w:tcW w:w="51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105,48</w:t>
            </w:r>
          </w:p>
        </w:tc>
        <w:tc>
          <w:tcPr>
            <w:tcW w:w="44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111,41</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1,0562</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right"/>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w:t>
            </w:r>
            <w:r>
              <w:rPr>
                <w:rFonts w:ascii="Work Sans" w:hAnsi="Work Sans" w:cs="Arial"/>
                <w:color w:val="000000"/>
                <w:sz w:val="16"/>
                <w:szCs w:val="16"/>
                <w:lang w:val="es-CO" w:eastAsia="es-CO"/>
              </w:rPr>
              <w:t xml:space="preserve">6.971 </w:t>
            </w:r>
          </w:p>
        </w:tc>
        <w:tc>
          <w:tcPr>
            <w:tcW w:w="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w:t>
            </w:r>
          </w:p>
        </w:tc>
        <w:tc>
          <w:tcPr>
            <w:tcW w:w="106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6.971 </w:t>
            </w:r>
          </w:p>
        </w:tc>
        <w:tc>
          <w:tcPr>
            <w:tcW w:w="11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both"/>
              <w:rPr>
                <w:rFonts w:ascii="Work Sans" w:hAnsi="Work Sans" w:cs="Arial"/>
                <w:color w:val="000000"/>
                <w:sz w:val="16"/>
                <w:szCs w:val="16"/>
                <w:lang w:val="es-CO" w:eastAsia="es-CO"/>
              </w:rPr>
            </w:pPr>
            <w:r>
              <w:rPr>
                <w:rFonts w:ascii="Work Sans" w:hAnsi="Work Sans" w:cs="Arial"/>
                <w:color w:val="000000"/>
                <w:sz w:val="16"/>
                <w:szCs w:val="16"/>
                <w:lang w:val="es-CO" w:eastAsia="es-CO"/>
              </w:rPr>
              <w:t xml:space="preserve">           $    7.000 </w:t>
            </w:r>
          </w:p>
        </w:tc>
      </w:tr>
    </w:tbl>
    <w:p w:rsidR="00092772" w:rsidRDefault="00092772">
      <w:pPr>
        <w:ind w:right="49"/>
        <w:jc w:val="both"/>
        <w:rPr>
          <w:rFonts w:ascii="Work Sans" w:hAnsi="Work Sans" w:cs="Calibri"/>
          <w:i/>
          <w:iCs/>
          <w:sz w:val="18"/>
          <w:szCs w:val="18"/>
          <w:lang w:val="es"/>
        </w:rPr>
      </w:pPr>
      <w:bookmarkStart w:id="3" w:name="_Hlk63844418"/>
    </w:p>
    <w:p w:rsidR="00092772" w:rsidRDefault="00D44972">
      <w:pPr>
        <w:tabs>
          <w:tab w:val="left" w:pos="284"/>
        </w:tabs>
        <w:ind w:left="426" w:right="623"/>
        <w:jc w:val="both"/>
      </w:pPr>
      <w:r>
        <w:rPr>
          <w:rStyle w:val="Fuentedeprrafopredeter"/>
          <w:rFonts w:ascii="Work Sans" w:hAnsi="Work Sans" w:cs="Calibri"/>
          <w:i/>
          <w:iCs/>
          <w:sz w:val="18"/>
          <w:szCs w:val="18"/>
          <w:lang w:val="es"/>
        </w:rPr>
        <w:t xml:space="preserve">Ahora bien, considerando que la Unidad Funcional 3, dentro de la cual se encuentra el Peaje Aburrá, fue recibida a satisfacción con el Acta de Terminación suscrita el 14 de </w:t>
      </w:r>
      <w:r>
        <w:rPr>
          <w:rStyle w:val="Fuentedeprrafopredeter"/>
          <w:rFonts w:ascii="Work Sans" w:hAnsi="Work Sans" w:cs="Calibri"/>
          <w:i/>
          <w:iCs/>
          <w:sz w:val="18"/>
          <w:szCs w:val="18"/>
          <w:lang w:val="es"/>
        </w:rPr>
        <w:t xml:space="preserve">octubre de 2022, el Concesionario debía empezar a cobrar, </w:t>
      </w:r>
      <w:r>
        <w:rPr>
          <w:rStyle w:val="Fuentedeprrafopredeter"/>
          <w:rFonts w:ascii="Work Sans" w:hAnsi="Work Sans" w:cs="Calibri"/>
          <w:i/>
          <w:iCs/>
          <w:sz w:val="18"/>
          <w:szCs w:val="18"/>
          <w:lang w:val="es-CO"/>
        </w:rPr>
        <w:t>dentro de los diez (10) primeros días del mes de noviembre de 2022</w:t>
      </w:r>
      <w:r>
        <w:rPr>
          <w:rStyle w:val="Fuentedeprrafopredeter"/>
          <w:rFonts w:ascii="Work Sans" w:hAnsi="Work Sans" w:cs="Calibri"/>
          <w:i/>
          <w:iCs/>
          <w:sz w:val="18"/>
          <w:szCs w:val="18"/>
          <w:lang w:val="es"/>
        </w:rPr>
        <w:t xml:space="preserve">, las tarifas establecidas </w:t>
      </w:r>
      <w:r>
        <w:rPr>
          <w:rStyle w:val="Fuentedeprrafopredeter"/>
          <w:rFonts w:ascii="Work Sans" w:eastAsia="Segoe UI" w:hAnsi="Work Sans" w:cs="Calibri"/>
          <w:i/>
          <w:iCs/>
          <w:color w:val="000000"/>
          <w:sz w:val="18"/>
          <w:szCs w:val="18"/>
          <w:lang w:val="es-CO"/>
        </w:rPr>
        <w:t xml:space="preserve">en la Resolución No. 1546 del 27 de mayo de 2015, modificada mediante </w:t>
      </w:r>
      <w:r>
        <w:rPr>
          <w:rStyle w:val="Fuentedeprrafopredeter"/>
          <w:rFonts w:ascii="Work Sans" w:hAnsi="Work Sans" w:cs="Calibri"/>
          <w:i/>
          <w:iCs/>
          <w:sz w:val="18"/>
          <w:szCs w:val="18"/>
          <w:lang w:val="es-CO"/>
        </w:rPr>
        <w:t>Resolución 3025 del 27 de agosto de</w:t>
      </w:r>
      <w:r>
        <w:rPr>
          <w:rStyle w:val="Fuentedeprrafopredeter"/>
          <w:rFonts w:ascii="Work Sans" w:hAnsi="Work Sans" w:cs="Calibri"/>
          <w:i/>
          <w:iCs/>
          <w:sz w:val="18"/>
          <w:szCs w:val="18"/>
          <w:lang w:val="es-CO"/>
        </w:rPr>
        <w:t xml:space="preserve"> 2015, con fundamento en lo establecido en la Sección 4.2 (e) (i) de la Parte Especial del Contrato de Concesión No. 014 de 2015, donde se indica:</w:t>
      </w:r>
    </w:p>
    <w:p w:rsidR="00092772" w:rsidRDefault="00092772">
      <w:pPr>
        <w:tabs>
          <w:tab w:val="left" w:pos="284"/>
        </w:tabs>
        <w:ind w:left="426" w:right="623"/>
        <w:jc w:val="both"/>
        <w:rPr>
          <w:rFonts w:ascii="Work Sans" w:hAnsi="Work Sans" w:cs="Calibri"/>
          <w:i/>
          <w:iCs/>
          <w:sz w:val="18"/>
          <w:szCs w:val="18"/>
          <w:lang w:val="es-CO"/>
        </w:rPr>
      </w:pPr>
    </w:p>
    <w:p w:rsidR="00092772" w:rsidRDefault="00D44972">
      <w:pPr>
        <w:tabs>
          <w:tab w:val="left" w:pos="284"/>
        </w:tabs>
        <w:ind w:left="426" w:right="623"/>
        <w:jc w:val="both"/>
        <w:rPr>
          <w:rFonts w:ascii="Work Sans" w:hAnsi="Work Sans" w:cs="Calibri"/>
          <w:i/>
          <w:iCs/>
          <w:sz w:val="18"/>
          <w:szCs w:val="18"/>
          <w:lang w:val="es-CO"/>
        </w:rPr>
      </w:pPr>
      <w:r>
        <w:rPr>
          <w:rFonts w:ascii="Work Sans" w:hAnsi="Work Sans" w:cs="Calibri"/>
          <w:i/>
          <w:iCs/>
          <w:sz w:val="18"/>
          <w:szCs w:val="18"/>
          <w:lang w:val="es-CO"/>
        </w:rPr>
        <w:t>“(…)</w:t>
      </w:r>
    </w:p>
    <w:p w:rsidR="00092772" w:rsidRDefault="00092772">
      <w:pPr>
        <w:tabs>
          <w:tab w:val="left" w:pos="284"/>
        </w:tabs>
        <w:ind w:left="426" w:right="623"/>
        <w:jc w:val="both"/>
        <w:rPr>
          <w:rFonts w:ascii="Work Sans" w:hAnsi="Work Sans" w:cs="Calibri"/>
          <w:i/>
          <w:iCs/>
          <w:sz w:val="18"/>
          <w:szCs w:val="18"/>
          <w:lang w:val="es-CO"/>
        </w:rPr>
      </w:pPr>
    </w:p>
    <w:p w:rsidR="00092772" w:rsidRDefault="00D44972">
      <w:pPr>
        <w:tabs>
          <w:tab w:val="left" w:pos="284"/>
        </w:tabs>
        <w:ind w:left="426" w:right="623"/>
        <w:jc w:val="center"/>
      </w:pPr>
      <w:r>
        <w:rPr>
          <w:rStyle w:val="Fuentedeprrafopredeter"/>
          <w:rFonts w:ascii="Work Sans" w:hAnsi="Work Sans" w:cs="Calibri"/>
          <w:i/>
          <w:iCs/>
          <w:noProof/>
          <w:sz w:val="18"/>
          <w:szCs w:val="18"/>
          <w:lang w:val="en-US" w:eastAsia="en-US" w:bidi="ar-SA"/>
        </w:rPr>
        <w:drawing>
          <wp:inline distT="0" distB="0" distL="0" distR="0">
            <wp:extent cx="5135883" cy="1327260"/>
            <wp:effectExtent l="0" t="0" r="7617" b="6240"/>
            <wp:docPr id="4" name="Imagen 7"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35883" cy="1327260"/>
                    </a:xfrm>
                    <a:prstGeom prst="rect">
                      <a:avLst/>
                    </a:prstGeom>
                    <a:noFill/>
                    <a:ln>
                      <a:noFill/>
                      <a:prstDash/>
                    </a:ln>
                  </pic:spPr>
                </pic:pic>
              </a:graphicData>
            </a:graphic>
          </wp:inline>
        </w:drawing>
      </w:r>
    </w:p>
    <w:p w:rsidR="00092772" w:rsidRDefault="00D44972">
      <w:pPr>
        <w:tabs>
          <w:tab w:val="left" w:pos="284"/>
        </w:tabs>
        <w:ind w:left="426" w:right="623"/>
        <w:jc w:val="both"/>
        <w:rPr>
          <w:rFonts w:ascii="Work Sans" w:hAnsi="Work Sans" w:cs="Calibri"/>
          <w:i/>
          <w:iCs/>
          <w:sz w:val="18"/>
          <w:szCs w:val="18"/>
          <w:lang w:val="es-CO"/>
        </w:rPr>
      </w:pPr>
      <w:r>
        <w:rPr>
          <w:rFonts w:ascii="Work Sans" w:hAnsi="Work Sans" w:cs="Calibri"/>
          <w:i/>
          <w:iCs/>
          <w:sz w:val="18"/>
          <w:szCs w:val="18"/>
          <w:lang w:val="es-CO"/>
        </w:rPr>
        <w:t>(…)”</w:t>
      </w:r>
    </w:p>
    <w:p w:rsidR="00092772" w:rsidRDefault="00092772">
      <w:pPr>
        <w:tabs>
          <w:tab w:val="left" w:pos="284"/>
        </w:tabs>
        <w:ind w:left="426" w:right="623"/>
        <w:jc w:val="both"/>
        <w:rPr>
          <w:rFonts w:ascii="Work Sans" w:eastAsia="DengXian Light" w:hAnsi="Work Sans" w:cs="Calibri"/>
          <w:i/>
          <w:iCs/>
          <w:sz w:val="18"/>
          <w:szCs w:val="18"/>
          <w:shd w:val="clear" w:color="auto" w:fill="FFFF00"/>
          <w:lang w:val="es-CO"/>
        </w:rPr>
      </w:pPr>
    </w:p>
    <w:p w:rsidR="00092772" w:rsidRDefault="00092772">
      <w:pPr>
        <w:tabs>
          <w:tab w:val="left" w:pos="284"/>
        </w:tabs>
        <w:ind w:left="426" w:right="623"/>
        <w:jc w:val="both"/>
        <w:rPr>
          <w:rFonts w:ascii="Work Sans" w:hAnsi="Work Sans" w:cs="Calibri"/>
          <w:i/>
          <w:iCs/>
          <w:sz w:val="18"/>
          <w:szCs w:val="18"/>
          <w:lang w:val="es"/>
        </w:rPr>
      </w:pPr>
    </w:p>
    <w:p w:rsidR="00092772" w:rsidRDefault="00D44972">
      <w:pPr>
        <w:tabs>
          <w:tab w:val="left" w:pos="284"/>
        </w:tabs>
        <w:ind w:left="426" w:right="623"/>
        <w:jc w:val="both"/>
        <w:rPr>
          <w:rFonts w:ascii="Work Sans" w:hAnsi="Work Sans" w:cs="Calibri"/>
          <w:i/>
          <w:iCs/>
          <w:sz w:val="18"/>
          <w:szCs w:val="18"/>
          <w:lang w:val="es"/>
        </w:rPr>
      </w:pPr>
      <w:r>
        <w:rPr>
          <w:rFonts w:ascii="Work Sans" w:hAnsi="Work Sans" w:cs="Calibri"/>
          <w:i/>
          <w:iCs/>
          <w:sz w:val="18"/>
          <w:szCs w:val="18"/>
          <w:lang w:val="es"/>
        </w:rPr>
        <w:t>Sin embargo, esto no fue posible teniendo en cuenta los aspectos sociales expuestos en el num</w:t>
      </w:r>
      <w:r>
        <w:rPr>
          <w:rFonts w:ascii="Work Sans" w:hAnsi="Work Sans" w:cs="Calibri"/>
          <w:i/>
          <w:iCs/>
          <w:sz w:val="18"/>
          <w:szCs w:val="18"/>
          <w:lang w:val="es"/>
        </w:rPr>
        <w:t xml:space="preserve">eral 2.1 del presente documento. </w:t>
      </w:r>
    </w:p>
    <w:p w:rsidR="00092772" w:rsidRDefault="00092772">
      <w:pPr>
        <w:tabs>
          <w:tab w:val="left" w:pos="284"/>
        </w:tabs>
        <w:ind w:left="426" w:right="623"/>
        <w:jc w:val="both"/>
        <w:rPr>
          <w:rFonts w:ascii="Work Sans" w:hAnsi="Work Sans" w:cs="Calibri"/>
          <w:i/>
          <w:iCs/>
          <w:sz w:val="18"/>
          <w:szCs w:val="18"/>
          <w:lang w:val="es"/>
        </w:rPr>
      </w:pPr>
    </w:p>
    <w:p w:rsidR="00092772" w:rsidRDefault="00D44972">
      <w:pPr>
        <w:tabs>
          <w:tab w:val="left" w:pos="284"/>
        </w:tabs>
        <w:ind w:left="426" w:right="623"/>
        <w:jc w:val="both"/>
      </w:pPr>
      <w:r>
        <w:rPr>
          <w:rStyle w:val="Fuentedeprrafopredeter"/>
          <w:rFonts w:ascii="Work Sans" w:hAnsi="Work Sans" w:cs="Calibri"/>
          <w:i/>
          <w:iCs/>
          <w:sz w:val="18"/>
          <w:szCs w:val="18"/>
          <w:lang w:val="es"/>
        </w:rPr>
        <w:t xml:space="preserve">Debe precisarse que el artículo cuarto de la </w:t>
      </w:r>
      <w:r>
        <w:rPr>
          <w:rStyle w:val="Fuentedeprrafopredeter"/>
          <w:rFonts w:ascii="Work Sans" w:hAnsi="Work Sans" w:cs="Calibri"/>
          <w:i/>
          <w:iCs/>
          <w:sz w:val="18"/>
          <w:szCs w:val="18"/>
          <w:lang w:val="es-CO"/>
        </w:rPr>
        <w:t xml:space="preserve">Resolución 1546 del 27 de mayo de 2015, modificada por la Resolución 3025 del 27 de agosto de 2015, </w:t>
      </w:r>
      <w:r>
        <w:rPr>
          <w:rStyle w:val="Fuentedeprrafopredeter"/>
          <w:rFonts w:ascii="Work Sans" w:hAnsi="Work Sans" w:cs="Calibri"/>
          <w:i/>
          <w:iCs/>
          <w:sz w:val="18"/>
          <w:szCs w:val="18"/>
          <w:lang w:val="es"/>
        </w:rPr>
        <w:t>indica que “Las tarifas de peajes de que trata la presente resolución se act</w:t>
      </w:r>
      <w:r>
        <w:rPr>
          <w:rStyle w:val="Fuentedeprrafopredeter"/>
          <w:rFonts w:ascii="Work Sans" w:hAnsi="Work Sans" w:cs="Calibri"/>
          <w:i/>
          <w:iCs/>
          <w:sz w:val="18"/>
          <w:szCs w:val="18"/>
          <w:lang w:val="es"/>
        </w:rPr>
        <w:t>ualizarán cada año, de acuerdo a lo establecido en la minuta del contrato de concesión que se suscriba del proceso licitatorio VJ-VE-IP-LP-022-2013 y deberán ser ajustadas a la centena más cercana, con el fin de facilitar el recaudo por parte del Concesion</w:t>
      </w:r>
      <w:r>
        <w:rPr>
          <w:rStyle w:val="Fuentedeprrafopredeter"/>
          <w:rFonts w:ascii="Work Sans" w:hAnsi="Work Sans" w:cs="Calibri"/>
          <w:i/>
          <w:iCs/>
          <w:sz w:val="18"/>
          <w:szCs w:val="18"/>
          <w:lang w:val="es"/>
        </w:rPr>
        <w:t>ario”.</w:t>
      </w:r>
    </w:p>
    <w:p w:rsidR="00092772" w:rsidRDefault="00092772">
      <w:pPr>
        <w:tabs>
          <w:tab w:val="left" w:pos="284"/>
        </w:tabs>
        <w:ind w:left="426" w:right="623"/>
        <w:jc w:val="both"/>
        <w:rPr>
          <w:rFonts w:ascii="Work Sans" w:eastAsia="DengXian Light" w:hAnsi="Work Sans" w:cs="Calibri"/>
          <w:i/>
          <w:iCs/>
          <w:sz w:val="18"/>
          <w:szCs w:val="18"/>
          <w:lang w:val="es-CO"/>
        </w:rPr>
      </w:pPr>
    </w:p>
    <w:p w:rsidR="00092772" w:rsidRDefault="00D44972">
      <w:pPr>
        <w:tabs>
          <w:tab w:val="left" w:pos="284"/>
        </w:tabs>
        <w:ind w:left="426" w:right="623"/>
        <w:jc w:val="both"/>
        <w:rPr>
          <w:rFonts w:ascii="Work Sans" w:eastAsia="DengXian Light" w:hAnsi="Work Sans" w:cs="Calibri"/>
          <w:i/>
          <w:iCs/>
          <w:sz w:val="18"/>
          <w:szCs w:val="18"/>
          <w:lang w:val="es-CO"/>
        </w:rPr>
      </w:pPr>
      <w:r>
        <w:rPr>
          <w:rFonts w:ascii="Work Sans" w:eastAsia="DengXian Light" w:hAnsi="Work Sans" w:cs="Calibri"/>
          <w:i/>
          <w:iCs/>
          <w:sz w:val="18"/>
          <w:szCs w:val="18"/>
          <w:lang w:val="es-CO"/>
        </w:rPr>
        <w:t xml:space="preserve">De otra es importante poner de presente que en la estación de peaje Aburrá actualmente se cobran tarifas diferenciales, las cuales fueron establecidas a través de la Resolución No. 20213040018155 del 30 de abril de 2021 “Por la cual se establecen </w:t>
      </w:r>
      <w:r>
        <w:rPr>
          <w:rFonts w:ascii="Work Sans" w:eastAsia="DengXian Light" w:hAnsi="Work Sans" w:cs="Calibri"/>
          <w:i/>
          <w:iCs/>
          <w:sz w:val="18"/>
          <w:szCs w:val="18"/>
          <w:lang w:val="es-CO"/>
        </w:rPr>
        <w:t>tarifas diferenciales de manera temporal para las categorías IE y IIE en la estación de peaje denominada Aburrá del Proyecto Autopista al Mar 1”, modificada por la Resolución No. 20223040035885 del 24 de junio de 2022 “Por la cual se modifica el artículo 2</w:t>
      </w:r>
      <w:r>
        <w:rPr>
          <w:rFonts w:ascii="Work Sans" w:eastAsia="DengXian Light" w:hAnsi="Work Sans" w:cs="Calibri"/>
          <w:i/>
          <w:iCs/>
          <w:sz w:val="18"/>
          <w:szCs w:val="18"/>
          <w:lang w:val="es-CO"/>
        </w:rPr>
        <w:t xml:space="preserve"> de la Resolución 20213040018155 del 30 de abril de 2021, “por la cual se establecen tarifas diferenciales de manera temporal para las categorías IE y IIE en la estación de peaje denominada Aburrá del proyecto Autopista al Mar 1”, acto administrativo que, </w:t>
      </w:r>
      <w:r>
        <w:rPr>
          <w:rFonts w:ascii="Work Sans" w:eastAsia="DengXian Light" w:hAnsi="Work Sans" w:cs="Calibri"/>
          <w:i/>
          <w:iCs/>
          <w:sz w:val="18"/>
          <w:szCs w:val="18"/>
          <w:lang w:val="es-CO"/>
        </w:rPr>
        <w:t>en su Artículo 1, establece las siguientes tarifas diferenciales de manera temporal hasta el 31 de diciembre de 2030, para las categorías IE y IIE:</w:t>
      </w:r>
    </w:p>
    <w:p w:rsidR="00092772" w:rsidRDefault="00092772">
      <w:pPr>
        <w:autoSpaceDE w:val="0"/>
        <w:ind w:left="284" w:right="333"/>
        <w:jc w:val="both"/>
        <w:rPr>
          <w:rFonts w:ascii="Work Sans" w:hAnsi="Work Sans" w:cs="Calibri"/>
          <w:i/>
          <w:iCs/>
          <w:sz w:val="18"/>
          <w:szCs w:val="18"/>
          <w:lang w:val="es-CO"/>
        </w:rPr>
      </w:pPr>
    </w:p>
    <w:tbl>
      <w:tblPr>
        <w:tblW w:w="7982" w:type="dxa"/>
        <w:jc w:val="center"/>
        <w:tblCellMar>
          <w:left w:w="10" w:type="dxa"/>
          <w:right w:w="10" w:type="dxa"/>
        </w:tblCellMar>
        <w:tblLook w:val="0000" w:firstRow="0" w:lastRow="0" w:firstColumn="0" w:lastColumn="0" w:noHBand="0" w:noVBand="0"/>
      </w:tblPr>
      <w:tblGrid>
        <w:gridCol w:w="1629"/>
        <w:gridCol w:w="4063"/>
        <w:gridCol w:w="1449"/>
        <w:gridCol w:w="841"/>
      </w:tblGrid>
      <w:tr w:rsidR="00092772">
        <w:tblPrEx>
          <w:tblCellMar>
            <w:top w:w="0" w:type="dxa"/>
            <w:bottom w:w="0" w:type="dxa"/>
          </w:tblCellMar>
        </w:tblPrEx>
        <w:trPr>
          <w:trHeight w:val="470"/>
          <w:jc w:val="center"/>
        </w:trPr>
        <w:tc>
          <w:tcPr>
            <w:tcW w:w="16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92772" w:rsidRDefault="00D44972">
            <w:pPr>
              <w:jc w:val="center"/>
              <w:rPr>
                <w:rFonts w:ascii="Work Sans" w:hAnsi="Work Sans" w:cs="Calibri"/>
                <w:b/>
                <w:bCs/>
                <w:i/>
                <w:iCs/>
                <w:sz w:val="18"/>
                <w:szCs w:val="18"/>
                <w:lang w:val="es-CO"/>
              </w:rPr>
            </w:pPr>
            <w:r>
              <w:rPr>
                <w:rFonts w:ascii="Work Sans" w:hAnsi="Work Sans" w:cs="Calibri"/>
                <w:b/>
                <w:bCs/>
                <w:i/>
                <w:iCs/>
                <w:sz w:val="18"/>
                <w:szCs w:val="18"/>
                <w:lang w:val="es-CO"/>
              </w:rPr>
              <w:t>CATEGORÍAS</w:t>
            </w:r>
          </w:p>
        </w:tc>
        <w:tc>
          <w:tcPr>
            <w:tcW w:w="4063" w:type="dxa"/>
            <w:tcBorders>
              <w:top w:val="single" w:sz="4" w:space="0" w:color="000000"/>
              <w:left w:val="single" w:sz="4" w:space="0" w:color="000000"/>
              <w:bottom w:val="single" w:sz="4" w:space="0" w:color="000000"/>
              <w:right w:val="single" w:sz="4" w:space="0" w:color="000000"/>
            </w:tcBorders>
            <w:shd w:val="clear" w:color="auto" w:fill="D9D9D9"/>
            <w:tcMar>
              <w:top w:w="7" w:type="dxa"/>
              <w:left w:w="106" w:type="dxa"/>
              <w:bottom w:w="0" w:type="dxa"/>
              <w:right w:w="93" w:type="dxa"/>
            </w:tcMar>
            <w:vAlign w:val="center"/>
          </w:tcPr>
          <w:p w:rsidR="00092772" w:rsidRDefault="00D44972">
            <w:pPr>
              <w:jc w:val="center"/>
              <w:rPr>
                <w:rFonts w:ascii="Work Sans" w:hAnsi="Work Sans" w:cs="Calibri"/>
                <w:b/>
                <w:bCs/>
                <w:i/>
                <w:iCs/>
                <w:sz w:val="18"/>
                <w:szCs w:val="18"/>
                <w:lang w:val="es-CO"/>
              </w:rPr>
            </w:pPr>
            <w:r>
              <w:rPr>
                <w:rFonts w:ascii="Work Sans" w:hAnsi="Work Sans" w:cs="Calibri"/>
                <w:b/>
                <w:bCs/>
                <w:i/>
                <w:iCs/>
                <w:sz w:val="18"/>
                <w:szCs w:val="18"/>
                <w:lang w:val="es-CO"/>
              </w:rPr>
              <w:t>DESCRIPCIÓN</w:t>
            </w:r>
          </w:p>
        </w:tc>
        <w:tc>
          <w:tcPr>
            <w:tcW w:w="1449" w:type="dxa"/>
            <w:tcBorders>
              <w:top w:val="single" w:sz="4" w:space="0" w:color="000000"/>
              <w:left w:val="single" w:sz="4" w:space="0" w:color="000000"/>
              <w:bottom w:val="single" w:sz="4" w:space="0" w:color="000000"/>
              <w:right w:val="single" w:sz="4" w:space="0" w:color="000000"/>
            </w:tcBorders>
            <w:shd w:val="clear" w:color="auto" w:fill="D9D9D9"/>
            <w:tcMar>
              <w:top w:w="7" w:type="dxa"/>
              <w:left w:w="106" w:type="dxa"/>
              <w:bottom w:w="0" w:type="dxa"/>
              <w:right w:w="93" w:type="dxa"/>
            </w:tcMar>
            <w:vAlign w:val="center"/>
          </w:tcPr>
          <w:p w:rsidR="00092772" w:rsidRDefault="00D44972">
            <w:pPr>
              <w:jc w:val="center"/>
              <w:rPr>
                <w:rFonts w:ascii="Work Sans" w:hAnsi="Work Sans" w:cs="Calibri"/>
                <w:b/>
                <w:bCs/>
                <w:i/>
                <w:iCs/>
                <w:sz w:val="18"/>
                <w:szCs w:val="18"/>
                <w:lang w:val="es-CO"/>
              </w:rPr>
            </w:pPr>
            <w:r>
              <w:rPr>
                <w:rFonts w:ascii="Work Sans" w:hAnsi="Work Sans" w:cs="Calibri"/>
                <w:b/>
                <w:bCs/>
                <w:i/>
                <w:iCs/>
                <w:sz w:val="18"/>
                <w:szCs w:val="18"/>
                <w:lang w:val="es-CO"/>
              </w:rPr>
              <w:t>TARIFA</w:t>
            </w:r>
          </w:p>
          <w:p w:rsidR="00092772" w:rsidRDefault="00D44972">
            <w:pPr>
              <w:jc w:val="center"/>
              <w:rPr>
                <w:rFonts w:ascii="Work Sans" w:hAnsi="Work Sans" w:cs="Calibri"/>
                <w:b/>
                <w:bCs/>
                <w:i/>
                <w:iCs/>
                <w:sz w:val="18"/>
                <w:szCs w:val="18"/>
                <w:lang w:val="es-CO"/>
              </w:rPr>
            </w:pPr>
            <w:r>
              <w:rPr>
                <w:rFonts w:ascii="Work Sans" w:hAnsi="Work Sans" w:cs="Calibri"/>
                <w:b/>
                <w:bCs/>
                <w:i/>
                <w:iCs/>
                <w:sz w:val="18"/>
                <w:szCs w:val="18"/>
                <w:lang w:val="es-CO"/>
              </w:rPr>
              <w:t>(INCLUYE FOSEVI)</w:t>
            </w:r>
          </w:p>
        </w:tc>
        <w:tc>
          <w:tcPr>
            <w:tcW w:w="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92772" w:rsidRDefault="00D44972">
            <w:pPr>
              <w:jc w:val="center"/>
              <w:rPr>
                <w:rFonts w:ascii="Work Sans" w:hAnsi="Work Sans" w:cs="Calibri"/>
                <w:b/>
                <w:bCs/>
                <w:i/>
                <w:iCs/>
                <w:sz w:val="18"/>
                <w:szCs w:val="18"/>
                <w:lang w:val="es-CO"/>
              </w:rPr>
            </w:pPr>
            <w:r>
              <w:rPr>
                <w:rFonts w:ascii="Work Sans" w:hAnsi="Work Sans" w:cs="Calibri"/>
                <w:b/>
                <w:bCs/>
                <w:i/>
                <w:iCs/>
                <w:sz w:val="18"/>
                <w:szCs w:val="18"/>
                <w:lang w:val="es-CO"/>
              </w:rPr>
              <w:t>CUPOS</w:t>
            </w:r>
          </w:p>
        </w:tc>
      </w:tr>
      <w:tr w:rsidR="00092772">
        <w:tblPrEx>
          <w:tblCellMar>
            <w:top w:w="0" w:type="dxa"/>
            <w:bottom w:w="0" w:type="dxa"/>
          </w:tblCellMar>
        </w:tblPrEx>
        <w:trPr>
          <w:trHeight w:val="240"/>
          <w:jc w:val="center"/>
        </w:trPr>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2772" w:rsidRDefault="00D44972">
            <w:pPr>
              <w:ind w:left="1440" w:hanging="1440"/>
              <w:jc w:val="center"/>
              <w:rPr>
                <w:rFonts w:ascii="Work Sans" w:hAnsi="Work Sans" w:cs="Calibri"/>
                <w:i/>
                <w:iCs/>
                <w:sz w:val="18"/>
                <w:szCs w:val="18"/>
                <w:lang w:val="es-CO"/>
              </w:rPr>
            </w:pPr>
            <w:r>
              <w:rPr>
                <w:rFonts w:ascii="Work Sans" w:hAnsi="Work Sans" w:cs="Calibri"/>
                <w:i/>
                <w:iCs/>
                <w:sz w:val="18"/>
                <w:szCs w:val="18"/>
                <w:lang w:val="es-CO"/>
              </w:rPr>
              <w:t>Categoría IE</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rsidR="00092772" w:rsidRDefault="00D44972">
            <w:pPr>
              <w:jc w:val="center"/>
            </w:pPr>
            <w:r>
              <w:rPr>
                <w:rStyle w:val="Fuentedeprrafopredeter"/>
                <w:rFonts w:ascii="Work Sans" w:hAnsi="Work Sans" w:cs="Calibri"/>
                <w:bCs/>
                <w:i/>
                <w:iCs/>
                <w:sz w:val="18"/>
                <w:szCs w:val="18"/>
                <w:lang w:val="es"/>
              </w:rPr>
              <w:t>Automóviles, camperos y camionetas</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rsidR="00092772" w:rsidRDefault="00D44972">
            <w:pPr>
              <w:ind w:right="14"/>
              <w:jc w:val="center"/>
              <w:rPr>
                <w:rFonts w:ascii="Work Sans" w:hAnsi="Work Sans" w:cs="Calibri"/>
                <w:i/>
                <w:iCs/>
                <w:sz w:val="18"/>
                <w:szCs w:val="18"/>
                <w:lang w:val="es-CO"/>
              </w:rPr>
            </w:pPr>
            <w:r>
              <w:rPr>
                <w:rFonts w:ascii="Work Sans" w:hAnsi="Work Sans" w:cs="Calibri"/>
                <w:i/>
                <w:iCs/>
                <w:sz w:val="18"/>
                <w:szCs w:val="18"/>
                <w:lang w:val="es-CO"/>
              </w:rPr>
              <w:t xml:space="preserve">$ </w:t>
            </w:r>
            <w:r>
              <w:rPr>
                <w:rFonts w:ascii="Work Sans" w:hAnsi="Work Sans" w:cs="Calibri"/>
                <w:i/>
                <w:iCs/>
                <w:sz w:val="18"/>
                <w:szCs w:val="18"/>
                <w:lang w:val="es-CO"/>
              </w:rPr>
              <w:t>2.000*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2772" w:rsidRDefault="00D44972">
            <w:pPr>
              <w:ind w:right="14"/>
              <w:jc w:val="center"/>
              <w:rPr>
                <w:rFonts w:ascii="Work Sans" w:hAnsi="Work Sans" w:cs="Calibri"/>
                <w:i/>
                <w:iCs/>
                <w:sz w:val="18"/>
                <w:szCs w:val="18"/>
                <w:lang w:val="es-CO"/>
              </w:rPr>
            </w:pPr>
            <w:r>
              <w:rPr>
                <w:rFonts w:ascii="Work Sans" w:hAnsi="Work Sans" w:cs="Calibri"/>
                <w:i/>
                <w:iCs/>
                <w:sz w:val="18"/>
                <w:szCs w:val="18"/>
                <w:lang w:val="es-CO"/>
              </w:rPr>
              <w:t>215</w:t>
            </w:r>
          </w:p>
        </w:tc>
      </w:tr>
      <w:tr w:rsidR="00092772">
        <w:tblPrEx>
          <w:tblCellMar>
            <w:top w:w="0" w:type="dxa"/>
            <w:bottom w:w="0" w:type="dxa"/>
          </w:tblCellMar>
        </w:tblPrEx>
        <w:trPr>
          <w:trHeight w:val="240"/>
          <w:jc w:val="center"/>
        </w:trPr>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2772" w:rsidRDefault="00D44972">
            <w:pPr>
              <w:jc w:val="center"/>
              <w:rPr>
                <w:rFonts w:ascii="Work Sans" w:hAnsi="Work Sans" w:cs="Calibri"/>
                <w:i/>
                <w:iCs/>
                <w:sz w:val="18"/>
                <w:szCs w:val="18"/>
                <w:lang w:val="es-CO"/>
              </w:rPr>
            </w:pPr>
            <w:r>
              <w:rPr>
                <w:rFonts w:ascii="Work Sans" w:hAnsi="Work Sans" w:cs="Calibri"/>
                <w:i/>
                <w:iCs/>
                <w:sz w:val="18"/>
                <w:szCs w:val="18"/>
                <w:lang w:val="es-CO"/>
              </w:rPr>
              <w:t>Categoría IIE</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rsidR="00092772" w:rsidRDefault="00D44972">
            <w:pPr>
              <w:jc w:val="center"/>
            </w:pPr>
            <w:r>
              <w:rPr>
                <w:rStyle w:val="Fuentedeprrafopredeter"/>
                <w:rFonts w:ascii="Work Sans" w:hAnsi="Work Sans" w:cs="Calibri"/>
                <w:bCs/>
                <w:i/>
                <w:iCs/>
                <w:sz w:val="18"/>
                <w:szCs w:val="18"/>
                <w:lang w:val="es"/>
              </w:rPr>
              <w:t>Buses, busetas, microbuses con eje trasero de doble llanta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rsidR="00092772" w:rsidRDefault="00D44972">
            <w:pPr>
              <w:ind w:right="14"/>
              <w:jc w:val="center"/>
              <w:rPr>
                <w:rFonts w:ascii="Work Sans" w:hAnsi="Work Sans" w:cs="Calibri"/>
                <w:i/>
                <w:iCs/>
                <w:sz w:val="18"/>
                <w:szCs w:val="18"/>
                <w:lang w:val="es-CO"/>
              </w:rPr>
            </w:pPr>
            <w:r>
              <w:rPr>
                <w:rFonts w:ascii="Work Sans" w:hAnsi="Work Sans" w:cs="Calibri"/>
                <w:i/>
                <w:iCs/>
                <w:sz w:val="18"/>
                <w:szCs w:val="18"/>
                <w:lang w:val="es-CO"/>
              </w:rPr>
              <w:t>$ 2.200*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2772" w:rsidRDefault="00D44972">
            <w:pPr>
              <w:ind w:right="14"/>
              <w:jc w:val="center"/>
              <w:rPr>
                <w:rFonts w:ascii="Work Sans" w:hAnsi="Work Sans" w:cs="Calibri"/>
                <w:i/>
                <w:iCs/>
                <w:sz w:val="18"/>
                <w:szCs w:val="18"/>
                <w:lang w:val="es-CO"/>
              </w:rPr>
            </w:pPr>
            <w:r>
              <w:rPr>
                <w:rFonts w:ascii="Work Sans" w:hAnsi="Work Sans" w:cs="Calibri"/>
                <w:i/>
                <w:iCs/>
                <w:sz w:val="18"/>
                <w:szCs w:val="18"/>
                <w:lang w:val="es-CO"/>
              </w:rPr>
              <w:t>10</w:t>
            </w:r>
          </w:p>
        </w:tc>
      </w:tr>
      <w:bookmarkEnd w:id="3"/>
    </w:tbl>
    <w:p w:rsidR="00092772" w:rsidRDefault="00092772">
      <w:pPr>
        <w:widowControl/>
        <w:autoSpaceDE w:val="0"/>
        <w:jc w:val="both"/>
        <w:textAlignment w:val="auto"/>
        <w:rPr>
          <w:rFonts w:ascii="Work Sans" w:eastAsia="SimSun" w:hAnsi="Work Sans" w:cs="Calibri" w:hint="eastAsia"/>
          <w:i/>
          <w:iCs/>
          <w:sz w:val="18"/>
          <w:szCs w:val="18"/>
          <w:lang w:val="es" w:eastAsia="es-ES"/>
        </w:rPr>
      </w:pPr>
    </w:p>
    <w:p w:rsidR="00092772" w:rsidRDefault="00D44972">
      <w:pPr>
        <w:widowControl/>
        <w:autoSpaceDE w:val="0"/>
        <w:ind w:left="426" w:right="481"/>
        <w:jc w:val="both"/>
        <w:textAlignment w:val="auto"/>
        <w:rPr>
          <w:rFonts w:ascii="Work Sans" w:eastAsia="SimSun" w:hAnsi="Work Sans" w:cs="Calibri" w:hint="eastAsia"/>
          <w:i/>
          <w:iCs/>
          <w:sz w:val="18"/>
          <w:szCs w:val="18"/>
          <w:lang w:val="es" w:eastAsia="es-ES"/>
        </w:rPr>
      </w:pPr>
      <w:r>
        <w:rPr>
          <w:rFonts w:ascii="Work Sans" w:eastAsia="SimSun" w:hAnsi="Work Sans" w:cs="Calibri"/>
          <w:i/>
          <w:iCs/>
          <w:sz w:val="18"/>
          <w:szCs w:val="18"/>
          <w:lang w:val="es" w:eastAsia="es-ES"/>
        </w:rPr>
        <w:t>Adicionalmente, el Artículo 2 de la mencionada Resolución dispone lo siguiente, con respecto a la actualización anual de las tarifas diferenciales:</w:t>
      </w:r>
    </w:p>
    <w:p w:rsidR="00092772" w:rsidRDefault="00092772">
      <w:pPr>
        <w:widowControl/>
        <w:autoSpaceDE w:val="0"/>
        <w:ind w:left="426" w:right="481"/>
        <w:jc w:val="both"/>
        <w:textAlignment w:val="auto"/>
        <w:rPr>
          <w:rFonts w:ascii="Work Sans" w:eastAsia="SimSun" w:hAnsi="Work Sans" w:cs="Calibri" w:hint="eastAsia"/>
          <w:i/>
          <w:iCs/>
          <w:sz w:val="18"/>
          <w:szCs w:val="18"/>
          <w:lang w:val="es" w:eastAsia="es-ES"/>
        </w:rPr>
      </w:pPr>
    </w:p>
    <w:p w:rsidR="00092772" w:rsidRDefault="00D44972">
      <w:pPr>
        <w:widowControl/>
        <w:autoSpaceDE w:val="0"/>
        <w:ind w:left="426" w:right="481"/>
        <w:jc w:val="both"/>
        <w:textAlignment w:val="auto"/>
      </w:pPr>
      <w:r>
        <w:rPr>
          <w:rStyle w:val="Fuentedeprrafopredeter"/>
          <w:rFonts w:ascii="Work Sans" w:eastAsia="SimSun" w:hAnsi="Work Sans" w:cs="Calibri"/>
          <w:i/>
          <w:iCs/>
          <w:sz w:val="18"/>
          <w:szCs w:val="18"/>
          <w:lang w:val="es" w:eastAsia="es-ES"/>
        </w:rPr>
        <w:t>“</w:t>
      </w:r>
      <w:r>
        <w:rPr>
          <w:rStyle w:val="Fuentedeprrafopredeter"/>
          <w:rFonts w:ascii="Work Sans" w:eastAsia="SimSun" w:hAnsi="Work Sans" w:cs="Calibri"/>
          <w:b/>
          <w:bCs/>
          <w:i/>
          <w:iCs/>
          <w:sz w:val="18"/>
          <w:szCs w:val="18"/>
          <w:lang w:val="es" w:eastAsia="es-ES"/>
        </w:rPr>
        <w:t>Articulo 2.</w:t>
      </w:r>
      <w:r>
        <w:rPr>
          <w:rStyle w:val="Fuentedeprrafopredeter"/>
          <w:rFonts w:ascii="Work Sans" w:eastAsia="SimSun" w:hAnsi="Work Sans" w:cs="Calibri"/>
          <w:i/>
          <w:iCs/>
          <w:sz w:val="18"/>
          <w:szCs w:val="18"/>
          <w:lang w:val="es" w:eastAsia="es-ES"/>
        </w:rPr>
        <w:t xml:space="preserve"> Las tarifas diferenciales serán actualizadas a partir del 16 de enero de cada año, de conformidad con lo dispuesto en la Sección 4.2 de la Parte Especial del Contrato de Concesión No. 014 de 2015”.</w:t>
      </w:r>
    </w:p>
    <w:p w:rsidR="00092772" w:rsidRDefault="00092772">
      <w:pPr>
        <w:widowControl/>
        <w:autoSpaceDE w:val="0"/>
        <w:ind w:left="426" w:right="481"/>
        <w:jc w:val="both"/>
        <w:textAlignment w:val="auto"/>
        <w:rPr>
          <w:rFonts w:ascii="Work Sans" w:eastAsia="SimSun" w:hAnsi="Work Sans" w:cs="Calibri" w:hint="eastAsia"/>
          <w:i/>
          <w:iCs/>
          <w:sz w:val="18"/>
          <w:szCs w:val="18"/>
          <w:lang w:val="es" w:eastAsia="es-ES"/>
        </w:rPr>
      </w:pPr>
    </w:p>
    <w:bookmarkEnd w:id="1"/>
    <w:p w:rsidR="00092772" w:rsidRDefault="00D44972">
      <w:pPr>
        <w:widowControl/>
        <w:numPr>
          <w:ilvl w:val="0"/>
          <w:numId w:val="20"/>
        </w:numPr>
        <w:ind w:left="426" w:right="481"/>
        <w:jc w:val="both"/>
        <w:textAlignment w:val="auto"/>
      </w:pPr>
      <w:r>
        <w:rPr>
          <w:rStyle w:val="Fuentedeprrafopredeter"/>
          <w:rFonts w:ascii="Work Sans" w:eastAsia="Arial Narrow" w:hAnsi="Work Sans" w:cs="Calibri"/>
          <w:b/>
          <w:bCs/>
          <w:i/>
          <w:iCs/>
          <w:sz w:val="18"/>
          <w:szCs w:val="18"/>
          <w:u w:val="single"/>
          <w:lang w:bidi="ar-SA"/>
        </w:rPr>
        <w:t xml:space="preserve">RESPECTO DE LA EXPEDICIÓN DE LA RESOLUCIÓN Y </w:t>
      </w:r>
      <w:r>
        <w:rPr>
          <w:rStyle w:val="Fuentedeprrafopredeter"/>
          <w:rFonts w:ascii="Work Sans" w:eastAsia="Arial Narrow" w:hAnsi="Work Sans" w:cs="Calibri"/>
          <w:b/>
          <w:bCs/>
          <w:i/>
          <w:iCs/>
          <w:sz w:val="18"/>
          <w:szCs w:val="18"/>
          <w:u w:val="single"/>
          <w:lang w:bidi="ar-SA"/>
        </w:rPr>
        <w:t>SU JUSTIFICACIÓN</w:t>
      </w:r>
    </w:p>
    <w:p w:rsidR="00092772" w:rsidRDefault="00092772">
      <w:pPr>
        <w:ind w:left="426" w:right="481"/>
        <w:jc w:val="both"/>
        <w:rPr>
          <w:rFonts w:ascii="Work Sans" w:hAnsi="Work Sans" w:cs="Calibri"/>
          <w:i/>
          <w:iCs/>
          <w:sz w:val="18"/>
          <w:szCs w:val="18"/>
          <w:lang w:val="es"/>
        </w:rPr>
      </w:pPr>
    </w:p>
    <w:p w:rsidR="00092772" w:rsidRDefault="00D44972">
      <w:pPr>
        <w:widowControl/>
        <w:numPr>
          <w:ilvl w:val="1"/>
          <w:numId w:val="20"/>
        </w:numPr>
        <w:ind w:left="426" w:right="481"/>
        <w:jc w:val="both"/>
        <w:textAlignment w:val="auto"/>
        <w:rPr>
          <w:rFonts w:ascii="Work Sans" w:eastAsia="Arial Narrow" w:hAnsi="Work Sans" w:cs="Calibri"/>
          <w:b/>
          <w:bCs/>
          <w:i/>
          <w:iCs/>
          <w:sz w:val="18"/>
          <w:szCs w:val="18"/>
          <w:lang w:bidi="ar-SA"/>
        </w:rPr>
      </w:pPr>
      <w:r>
        <w:rPr>
          <w:rFonts w:ascii="Work Sans" w:eastAsia="Arial Narrow" w:hAnsi="Work Sans" w:cs="Calibri"/>
          <w:b/>
          <w:bCs/>
          <w:i/>
          <w:iCs/>
          <w:sz w:val="18"/>
          <w:szCs w:val="18"/>
          <w:lang w:bidi="ar-SA"/>
        </w:rPr>
        <w:t xml:space="preserve">ASPECTOS SOCIALES </w:t>
      </w:r>
    </w:p>
    <w:p w:rsidR="00092772" w:rsidRDefault="00092772">
      <w:pPr>
        <w:ind w:left="426" w:right="481"/>
        <w:jc w:val="both"/>
        <w:rPr>
          <w:rFonts w:ascii="Work Sans" w:hAnsi="Work Sans" w:cs="Calibri"/>
          <w:i/>
          <w:iCs/>
          <w:sz w:val="18"/>
          <w:szCs w:val="18"/>
          <w:lang w:val="es"/>
        </w:rPr>
      </w:pPr>
    </w:p>
    <w:p w:rsidR="00092772" w:rsidRDefault="00D44972">
      <w:pPr>
        <w:ind w:left="426" w:right="481"/>
        <w:jc w:val="both"/>
      </w:pPr>
      <w:r>
        <w:rPr>
          <w:rStyle w:val="Fuentedeprrafopredeter"/>
          <w:rFonts w:ascii="Work Sans" w:eastAsia="Arial" w:hAnsi="Work Sans" w:cs="Calibri"/>
          <w:i/>
          <w:iCs/>
          <w:sz w:val="18"/>
          <w:szCs w:val="18"/>
          <w:lang w:val="es"/>
        </w:rPr>
        <w:t xml:space="preserve">De conformidad con lo establecido en la </w:t>
      </w:r>
      <w:r>
        <w:rPr>
          <w:rStyle w:val="Fuentedeprrafopredeter"/>
          <w:rFonts w:ascii="Work Sans" w:hAnsi="Work Sans" w:cs="Calibri"/>
          <w:i/>
          <w:iCs/>
          <w:sz w:val="18"/>
          <w:szCs w:val="18"/>
          <w:lang w:val="es-CO"/>
        </w:rPr>
        <w:t>Resolución 1546 del 27 de mayo de 2015, modificada por la Resolución 3025 del 27 de agosto de 2015</w:t>
      </w:r>
      <w:r>
        <w:rPr>
          <w:rStyle w:val="Fuentedeprrafopredeter"/>
          <w:rFonts w:ascii="Work Sans" w:eastAsia="Arial" w:hAnsi="Work Sans" w:cs="Calibri"/>
          <w:i/>
          <w:iCs/>
          <w:sz w:val="18"/>
          <w:szCs w:val="18"/>
          <w:lang w:val="es"/>
        </w:rPr>
        <w:t>, las siguientes son las categorías y tarifas que el Concesionario podía empezar</w:t>
      </w:r>
      <w:r>
        <w:rPr>
          <w:rStyle w:val="Fuentedeprrafopredeter"/>
          <w:rFonts w:ascii="Work Sans" w:eastAsia="Arial" w:hAnsi="Work Sans" w:cs="Calibri"/>
          <w:i/>
          <w:iCs/>
          <w:sz w:val="18"/>
          <w:szCs w:val="18"/>
          <w:lang w:val="es"/>
        </w:rPr>
        <w:t xml:space="preserve"> a cobrar (expresadas en pesos del 2012) en la estación de peaje Aburrá </w:t>
      </w:r>
      <w:r>
        <w:rPr>
          <w:rStyle w:val="Fuentedeprrafopredeter"/>
          <w:rFonts w:ascii="Work Sans" w:hAnsi="Work Sans" w:cs="Calibri"/>
          <w:i/>
          <w:iCs/>
          <w:sz w:val="18"/>
          <w:szCs w:val="18"/>
          <w:lang w:val="es-CO"/>
        </w:rPr>
        <w:t xml:space="preserve">dentro de los diez (10) primeros días del mes de noviembre de 2022, teniendo en cuenta que el </w:t>
      </w:r>
      <w:r>
        <w:rPr>
          <w:rStyle w:val="Fuentedeprrafopredeter"/>
          <w:rFonts w:ascii="Work Sans" w:eastAsia="Arial" w:hAnsi="Work Sans" w:cs="Calibri"/>
          <w:i/>
          <w:iCs/>
          <w:sz w:val="18"/>
          <w:szCs w:val="18"/>
          <w:lang w:val="es"/>
        </w:rPr>
        <w:t>Acta de Terminación de la Unidad Funcional 3 fue suscrita el 14 de octubre de 2022:</w:t>
      </w:r>
    </w:p>
    <w:p w:rsidR="00092772" w:rsidRDefault="00092772">
      <w:pPr>
        <w:jc w:val="both"/>
        <w:rPr>
          <w:rFonts w:ascii="Work Sans" w:eastAsia="Arial" w:hAnsi="Work Sans" w:cs="Calibri"/>
          <w:i/>
          <w:iCs/>
          <w:sz w:val="18"/>
          <w:szCs w:val="18"/>
          <w:lang w:val="es"/>
        </w:rPr>
      </w:pPr>
    </w:p>
    <w:tbl>
      <w:tblPr>
        <w:tblW w:w="7938" w:type="dxa"/>
        <w:tblInd w:w="274" w:type="dxa"/>
        <w:tblLayout w:type="fixed"/>
        <w:tblCellMar>
          <w:left w:w="10" w:type="dxa"/>
          <w:right w:w="10" w:type="dxa"/>
        </w:tblCellMar>
        <w:tblLook w:val="0000" w:firstRow="0" w:lastRow="0" w:firstColumn="0" w:lastColumn="0" w:noHBand="0" w:noVBand="0"/>
      </w:tblPr>
      <w:tblGrid>
        <w:gridCol w:w="938"/>
        <w:gridCol w:w="2037"/>
        <w:gridCol w:w="1222"/>
        <w:gridCol w:w="1358"/>
        <w:gridCol w:w="1221"/>
        <w:gridCol w:w="1162"/>
      </w:tblGrid>
      <w:tr w:rsidR="00092772">
        <w:tblPrEx>
          <w:tblCellMar>
            <w:top w:w="0" w:type="dxa"/>
            <w:bottom w:w="0" w:type="dxa"/>
          </w:tblCellMar>
        </w:tblPrEx>
        <w:trPr>
          <w:trHeight w:val="1355"/>
        </w:trPr>
        <w:tc>
          <w:tcPr>
            <w:tcW w:w="938"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092772" w:rsidRDefault="00D44972">
            <w:pPr>
              <w:jc w:val="center"/>
            </w:pPr>
            <w:r>
              <w:rPr>
                <w:rStyle w:val="Fuentedeprrafopredeter"/>
                <w:rFonts w:ascii="Work Sans" w:eastAsia="Calibri" w:hAnsi="Work Sans" w:cs="Calibri"/>
                <w:b/>
                <w:bCs/>
                <w:i/>
                <w:iCs/>
                <w:color w:val="000000"/>
                <w:sz w:val="18"/>
                <w:szCs w:val="18"/>
                <w:lang w:val="es-CO"/>
              </w:rPr>
              <w:t>CATEG</w:t>
            </w:r>
            <w:r>
              <w:rPr>
                <w:rStyle w:val="Fuentedeprrafopredeter"/>
                <w:rFonts w:ascii="Work Sans" w:eastAsia="Calibri" w:hAnsi="Work Sans" w:cs="Calibri"/>
                <w:b/>
                <w:bCs/>
                <w:i/>
                <w:iCs/>
                <w:color w:val="000000"/>
                <w:sz w:val="18"/>
                <w:szCs w:val="18"/>
                <w:lang w:val="es-CO"/>
              </w:rPr>
              <w:t>ORÍA</w:t>
            </w:r>
          </w:p>
        </w:tc>
        <w:tc>
          <w:tcPr>
            <w:tcW w:w="2037"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092772" w:rsidRDefault="00D44972">
            <w:pPr>
              <w:jc w:val="center"/>
              <w:rPr>
                <w:rFonts w:ascii="Work Sans" w:eastAsia="Calibri" w:hAnsi="Work Sans" w:cs="Calibri"/>
                <w:b/>
                <w:bCs/>
                <w:i/>
                <w:iCs/>
                <w:color w:val="000000"/>
                <w:sz w:val="18"/>
                <w:szCs w:val="18"/>
                <w:lang w:val="es-CO"/>
              </w:rPr>
            </w:pPr>
            <w:r>
              <w:rPr>
                <w:rFonts w:ascii="Work Sans" w:eastAsia="Calibri" w:hAnsi="Work Sans" w:cs="Calibri"/>
                <w:b/>
                <w:bCs/>
                <w:i/>
                <w:iCs/>
                <w:color w:val="000000"/>
                <w:sz w:val="18"/>
                <w:szCs w:val="18"/>
                <w:lang w:val="es-CO"/>
              </w:rPr>
              <w:t>DESCRIPCIÓN</w:t>
            </w:r>
          </w:p>
        </w:tc>
        <w:tc>
          <w:tcPr>
            <w:tcW w:w="1222"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092772" w:rsidRDefault="00D44972">
            <w:pPr>
              <w:jc w:val="center"/>
              <w:rPr>
                <w:rFonts w:ascii="Work Sans" w:eastAsia="Calibri" w:hAnsi="Work Sans" w:cs="Calibri"/>
                <w:b/>
                <w:bCs/>
                <w:i/>
                <w:iCs/>
                <w:color w:val="000000"/>
                <w:sz w:val="18"/>
                <w:szCs w:val="18"/>
                <w:lang w:val="es-CO"/>
              </w:rPr>
            </w:pPr>
            <w:r>
              <w:rPr>
                <w:rFonts w:ascii="Work Sans" w:eastAsia="Calibri" w:hAnsi="Work Sans" w:cs="Calibri"/>
                <w:b/>
                <w:bCs/>
                <w:i/>
                <w:iCs/>
                <w:color w:val="000000"/>
                <w:sz w:val="18"/>
                <w:szCs w:val="18"/>
                <w:lang w:val="es-CO"/>
              </w:rPr>
              <w:t>TARIFAS 2022 (pesos de Dic.2012) No incluye FOSEVI</w:t>
            </w:r>
          </w:p>
        </w:tc>
        <w:tc>
          <w:tcPr>
            <w:tcW w:w="1358"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092772" w:rsidRDefault="00D44972">
            <w:pPr>
              <w:jc w:val="center"/>
              <w:rPr>
                <w:rFonts w:ascii="Work Sans" w:eastAsia="Calibri" w:hAnsi="Work Sans" w:cs="Calibri"/>
                <w:b/>
                <w:bCs/>
                <w:i/>
                <w:iCs/>
                <w:color w:val="000000"/>
                <w:sz w:val="18"/>
                <w:szCs w:val="18"/>
                <w:lang w:val="es-CO"/>
              </w:rPr>
            </w:pPr>
            <w:r>
              <w:rPr>
                <w:rFonts w:ascii="Work Sans" w:eastAsia="Calibri" w:hAnsi="Work Sans" w:cs="Calibri"/>
                <w:b/>
                <w:bCs/>
                <w:i/>
                <w:iCs/>
                <w:color w:val="000000"/>
                <w:sz w:val="18"/>
                <w:szCs w:val="18"/>
                <w:lang w:val="es-CO"/>
              </w:rPr>
              <w:t>TARIFAS Res 3025 de 2015 (pesos de Dic.2012) No incluye FOSEVI</w:t>
            </w:r>
          </w:p>
        </w:tc>
        <w:tc>
          <w:tcPr>
            <w:tcW w:w="1221"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092772" w:rsidRDefault="00D44972">
            <w:pPr>
              <w:jc w:val="center"/>
              <w:rPr>
                <w:rFonts w:ascii="Work Sans" w:eastAsia="Calibri" w:hAnsi="Work Sans" w:cs="Calibri"/>
                <w:b/>
                <w:bCs/>
                <w:i/>
                <w:iCs/>
                <w:color w:val="000000"/>
                <w:sz w:val="18"/>
                <w:szCs w:val="18"/>
                <w:lang w:val="es-CO"/>
              </w:rPr>
            </w:pPr>
            <w:r>
              <w:rPr>
                <w:rFonts w:ascii="Work Sans" w:eastAsia="Calibri" w:hAnsi="Work Sans" w:cs="Calibri"/>
                <w:b/>
                <w:bCs/>
                <w:i/>
                <w:iCs/>
                <w:color w:val="000000"/>
                <w:sz w:val="18"/>
                <w:szCs w:val="18"/>
                <w:lang w:val="es-CO"/>
              </w:rPr>
              <w:t>% INCREMENTO</w:t>
            </w:r>
          </w:p>
        </w:tc>
        <w:tc>
          <w:tcPr>
            <w:tcW w:w="1162"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092772" w:rsidRDefault="00D44972">
            <w:pPr>
              <w:jc w:val="center"/>
              <w:rPr>
                <w:rFonts w:ascii="Work Sans" w:eastAsia="Calibri" w:hAnsi="Work Sans" w:cs="Calibri"/>
                <w:b/>
                <w:bCs/>
                <w:i/>
                <w:iCs/>
                <w:color w:val="000000"/>
                <w:sz w:val="18"/>
                <w:szCs w:val="18"/>
                <w:lang w:val="es-CO"/>
              </w:rPr>
            </w:pPr>
            <w:r>
              <w:rPr>
                <w:rFonts w:ascii="Work Sans" w:eastAsia="Calibri" w:hAnsi="Work Sans" w:cs="Calibri"/>
                <w:b/>
                <w:bCs/>
                <w:i/>
                <w:iCs/>
                <w:color w:val="000000"/>
                <w:sz w:val="18"/>
                <w:szCs w:val="18"/>
                <w:lang w:val="es-CO"/>
              </w:rPr>
              <w:t>TARIFAS Res 3025 de 2015 (pesos de Nov.2022) No incluye FOSEVI</w:t>
            </w:r>
          </w:p>
        </w:tc>
      </w:tr>
      <w:tr w:rsidR="00092772">
        <w:tblPrEx>
          <w:tblCellMar>
            <w:top w:w="0" w:type="dxa"/>
            <w:bottom w:w="0" w:type="dxa"/>
          </w:tblCellMar>
        </w:tblPrEx>
        <w:trPr>
          <w:trHeight w:val="586"/>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I</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Automóviles, camperos, camionetas</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xml:space="preserve">$ </w:t>
            </w:r>
            <w:r>
              <w:rPr>
                <w:rFonts w:ascii="Work Sans" w:eastAsia="Calibri" w:hAnsi="Work Sans" w:cs="Calibri"/>
                <w:i/>
                <w:iCs/>
                <w:color w:val="000000"/>
                <w:sz w:val="16"/>
                <w:szCs w:val="16"/>
                <w:lang w:val="es-CO"/>
              </w:rPr>
              <w:t>12.434</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$ 16.500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132,70%</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$ 26.311</w:t>
            </w:r>
          </w:p>
        </w:tc>
      </w:tr>
      <w:tr w:rsidR="00092772">
        <w:tblPrEx>
          <w:tblCellMar>
            <w:top w:w="0" w:type="dxa"/>
            <w:bottom w:w="0" w:type="dxa"/>
          </w:tblCellMar>
        </w:tblPrEx>
        <w:trPr>
          <w:trHeight w:val="1163"/>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II</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Buses, busetas, microbuses con eje trasero de doble llanta</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$ 14.045</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$ 20.400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145,25%</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$ 32.530</w:t>
            </w:r>
          </w:p>
        </w:tc>
      </w:tr>
      <w:tr w:rsidR="00092772">
        <w:tblPrEx>
          <w:tblCellMar>
            <w:top w:w="0" w:type="dxa"/>
            <w:bottom w:w="0" w:type="dxa"/>
          </w:tblCellMar>
        </w:tblPrEx>
        <w:trPr>
          <w:trHeight w:val="586"/>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III</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Camiones pequeños de dos ejes</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$ 14.045</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$ 20.400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145,25%</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$ 32.530</w:t>
            </w:r>
          </w:p>
        </w:tc>
      </w:tr>
      <w:tr w:rsidR="00092772">
        <w:tblPrEx>
          <w:tblCellMar>
            <w:top w:w="0" w:type="dxa"/>
            <w:bottom w:w="0" w:type="dxa"/>
          </w:tblCellMar>
        </w:tblPrEx>
        <w:trPr>
          <w:trHeight w:val="586"/>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IV</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xml:space="preserve">Camiones grandes de </w:t>
            </w:r>
            <w:r>
              <w:rPr>
                <w:rFonts w:ascii="Work Sans" w:eastAsia="Calibri" w:hAnsi="Work Sans" w:cs="Calibri"/>
                <w:i/>
                <w:iCs/>
                <w:color w:val="000000"/>
                <w:sz w:val="16"/>
                <w:szCs w:val="16"/>
                <w:lang w:val="es-CO"/>
              </w:rPr>
              <w:t>dos ejes</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$ 14.045</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$ 20.400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145,25%</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$ 32.530</w:t>
            </w:r>
          </w:p>
        </w:tc>
      </w:tr>
      <w:tr w:rsidR="00092772">
        <w:tblPrEx>
          <w:tblCellMar>
            <w:top w:w="0" w:type="dxa"/>
            <w:bottom w:w="0" w:type="dxa"/>
          </w:tblCellMar>
        </w:tblPrEx>
        <w:trPr>
          <w:trHeight w:val="586"/>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V</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Camiones de tres y cuatro ejes</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$ 30.929</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$ 49.100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158,75%</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$ 78.296</w:t>
            </w:r>
          </w:p>
        </w:tc>
      </w:tr>
      <w:tr w:rsidR="00092772">
        <w:tblPrEx>
          <w:tblCellMar>
            <w:top w:w="0" w:type="dxa"/>
            <w:bottom w:w="0" w:type="dxa"/>
          </w:tblCellMar>
        </w:tblPrEx>
        <w:trPr>
          <w:trHeight w:val="394"/>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VI</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Camiones de cinco ejes</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$ 40.316</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$ 61.600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152,79%</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$ 98.229</w:t>
            </w:r>
          </w:p>
        </w:tc>
      </w:tr>
      <w:tr w:rsidR="00092772">
        <w:tblPrEx>
          <w:tblCellMar>
            <w:top w:w="0" w:type="dxa"/>
            <w:bottom w:w="0" w:type="dxa"/>
          </w:tblCellMar>
        </w:tblPrEx>
        <w:trPr>
          <w:trHeight w:val="586"/>
        </w:trPr>
        <w:tc>
          <w:tcPr>
            <w:tcW w:w="9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Categoría VII</w:t>
            </w:r>
          </w:p>
        </w:tc>
        <w:tc>
          <w:tcPr>
            <w:tcW w:w="20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Camiones de seis ejes o más</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$ 48.233</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$ 71.300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147,82%</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92772" w:rsidRDefault="00D44972">
            <w:pPr>
              <w:jc w:val="center"/>
              <w:rPr>
                <w:rFonts w:ascii="Work Sans" w:eastAsia="Calibri" w:hAnsi="Work Sans" w:cs="Calibri"/>
                <w:i/>
                <w:iCs/>
                <w:color w:val="000000"/>
                <w:sz w:val="16"/>
                <w:szCs w:val="16"/>
                <w:lang w:val="es-CO"/>
              </w:rPr>
            </w:pPr>
            <w:r>
              <w:rPr>
                <w:rFonts w:ascii="Work Sans" w:eastAsia="Calibri" w:hAnsi="Work Sans" w:cs="Calibri"/>
                <w:i/>
                <w:iCs/>
                <w:color w:val="000000"/>
                <w:sz w:val="16"/>
                <w:szCs w:val="16"/>
                <w:lang w:val="es-CO"/>
              </w:rPr>
              <w:t>$ 113.696</w:t>
            </w:r>
          </w:p>
        </w:tc>
      </w:tr>
    </w:tbl>
    <w:p w:rsidR="00092772" w:rsidRDefault="00092772">
      <w:pPr>
        <w:jc w:val="both"/>
        <w:rPr>
          <w:rFonts w:ascii="Work Sans" w:eastAsia="Arial" w:hAnsi="Work Sans" w:cs="Calibri"/>
          <w:i/>
          <w:iCs/>
          <w:sz w:val="18"/>
          <w:szCs w:val="18"/>
          <w:lang w:val="es"/>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 xml:space="preserve">De conformidad con lo expuesto de manera antecedente, a continuación, se expondrán las razones que justifican la modificación del acto administrativo de cara a regular el incremento gradual, a tres (3) años, de las tarifas para la </w:t>
      </w:r>
      <w:r>
        <w:rPr>
          <w:rFonts w:ascii="Work Sans" w:hAnsi="Work Sans" w:cs="Calibri"/>
          <w:i/>
          <w:iCs/>
          <w:sz w:val="18"/>
          <w:szCs w:val="18"/>
          <w:lang w:val="es-CO"/>
        </w:rPr>
        <w:t xml:space="preserve">estación de peaje “Aburrá”. </w:t>
      </w:r>
    </w:p>
    <w:p w:rsidR="00092772" w:rsidRDefault="00092772">
      <w:pPr>
        <w:ind w:left="426" w:right="623"/>
        <w:jc w:val="both"/>
        <w:rPr>
          <w:rFonts w:ascii="Work Sans" w:hAnsi="Work Sans" w:cs="Calibri"/>
          <w:i/>
          <w:iCs/>
          <w:sz w:val="18"/>
          <w:szCs w:val="18"/>
          <w:lang w:val="es-CO" w:eastAsia="es-CO"/>
        </w:rPr>
      </w:pPr>
    </w:p>
    <w:p w:rsidR="00092772" w:rsidRDefault="00D44972">
      <w:pPr>
        <w:widowControl/>
        <w:numPr>
          <w:ilvl w:val="2"/>
          <w:numId w:val="20"/>
        </w:numPr>
        <w:spacing w:after="160"/>
        <w:ind w:left="426" w:right="623" w:firstLine="0"/>
        <w:jc w:val="both"/>
        <w:textAlignment w:val="auto"/>
      </w:pPr>
      <w:r>
        <w:rPr>
          <w:rStyle w:val="Fuentedeprrafopredeter"/>
          <w:rFonts w:ascii="Work Sans" w:hAnsi="Work Sans" w:cs="Calibri"/>
          <w:b/>
          <w:bCs/>
          <w:i/>
          <w:iCs/>
          <w:sz w:val="18"/>
          <w:szCs w:val="18"/>
          <w:u w:val="single"/>
          <w:lang w:bidi="ar-SA"/>
        </w:rPr>
        <w:t>A NIVEL NACIONAL</w:t>
      </w: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 xml:space="preserve">A lo largo y ancho del territorio colombiano se han presentado múltiples manifestaciones en relación con la oposición de las comunidades a la instalación o incrementos de peajes, manifestaciones que en muchos </w:t>
      </w:r>
      <w:r>
        <w:rPr>
          <w:rFonts w:ascii="Work Sans" w:hAnsi="Work Sans" w:cs="Calibri"/>
          <w:i/>
          <w:iCs/>
          <w:sz w:val="18"/>
          <w:szCs w:val="18"/>
          <w:lang w:val="es-CO"/>
        </w:rPr>
        <w:t>casos han terminado en alteraciones de orden público, con diferentes hechos de vandalismo que perturban la paz y tranquilidad de los colombianos y los cuales afectan de manera directa el normal desarrollo de los proyectos de infraestructura vial. La situac</w:t>
      </w:r>
      <w:r>
        <w:rPr>
          <w:rFonts w:ascii="Work Sans" w:hAnsi="Work Sans" w:cs="Calibri"/>
          <w:i/>
          <w:iCs/>
          <w:sz w:val="18"/>
          <w:szCs w:val="18"/>
          <w:lang w:val="es-CO"/>
        </w:rPr>
        <w:t>ión descrita ha sido ampliamente difundida en medios nacionales y redes sociales.</w:t>
      </w:r>
    </w:p>
    <w:p w:rsidR="00092772" w:rsidRDefault="00092772">
      <w:pPr>
        <w:ind w:left="426" w:right="623"/>
        <w:jc w:val="both"/>
        <w:rPr>
          <w:rFonts w:ascii="Work Sans" w:eastAsia="Calibri" w:hAnsi="Work Sans" w:cs="Calibri"/>
          <w:i/>
          <w:iCs/>
          <w:sz w:val="18"/>
          <w:szCs w:val="18"/>
          <w:lang w:val="es-CO"/>
        </w:rPr>
      </w:pPr>
    </w:p>
    <w:p w:rsidR="00092772" w:rsidRDefault="00D44972">
      <w:pPr>
        <w:widowControl/>
        <w:numPr>
          <w:ilvl w:val="2"/>
          <w:numId w:val="20"/>
        </w:numPr>
        <w:spacing w:after="160"/>
        <w:ind w:left="426" w:right="623" w:firstLine="0"/>
        <w:jc w:val="both"/>
        <w:textAlignment w:val="auto"/>
      </w:pPr>
      <w:r>
        <w:rPr>
          <w:rStyle w:val="Fuentedeprrafopredeter"/>
          <w:rFonts w:ascii="Work Sans" w:hAnsi="Work Sans" w:cs="Calibri"/>
          <w:b/>
          <w:bCs/>
          <w:i/>
          <w:iCs/>
          <w:sz w:val="18"/>
          <w:szCs w:val="18"/>
          <w:u w:val="single"/>
          <w:lang w:bidi="ar-SA"/>
        </w:rPr>
        <w:t>A NIVEL DEPARTAMENTAL</w:t>
      </w: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En el Departamento de Antioquia se han presentado diferentes situaciones relacionadas con la instalación o incrementos de peaje, dentro de los que se d</w:t>
      </w:r>
      <w:r>
        <w:rPr>
          <w:rFonts w:ascii="Work Sans" w:hAnsi="Work Sans" w:cs="Calibri"/>
          <w:i/>
          <w:iCs/>
          <w:sz w:val="18"/>
          <w:szCs w:val="18"/>
          <w:lang w:val="es-CO"/>
        </w:rPr>
        <w:t xml:space="preserve">estacan los siguientes: </w:t>
      </w:r>
    </w:p>
    <w:p w:rsidR="00092772" w:rsidRDefault="00092772">
      <w:pPr>
        <w:ind w:left="426" w:right="623"/>
        <w:jc w:val="both"/>
        <w:rPr>
          <w:rFonts w:ascii="Work Sans" w:eastAsia="Calibri" w:hAnsi="Work Sans" w:cs="Calibri"/>
          <w:i/>
          <w:iCs/>
          <w:sz w:val="18"/>
          <w:szCs w:val="18"/>
          <w:lang w:val="es-CO"/>
        </w:rPr>
      </w:pPr>
    </w:p>
    <w:p w:rsidR="00092772" w:rsidRDefault="00092772">
      <w:pPr>
        <w:widowControl/>
        <w:ind w:left="426" w:right="623"/>
        <w:jc w:val="both"/>
        <w:rPr>
          <w:rFonts w:ascii="Work Sans" w:hAnsi="Work Sans" w:cs="Calibri"/>
          <w:i/>
          <w:iCs/>
          <w:sz w:val="18"/>
          <w:szCs w:val="18"/>
          <w:lang w:bidi="ar-SA"/>
        </w:rPr>
      </w:pPr>
    </w:p>
    <w:p w:rsidR="00092772" w:rsidRDefault="00D44972">
      <w:pPr>
        <w:widowControl/>
        <w:ind w:left="708" w:right="623"/>
        <w:jc w:val="both"/>
        <w:rPr>
          <w:rFonts w:ascii="Work Sans" w:hAnsi="Work Sans" w:cs="Calibri"/>
          <w:i/>
          <w:iCs/>
          <w:sz w:val="18"/>
          <w:szCs w:val="18"/>
          <w:lang w:bidi="ar-SA"/>
        </w:rPr>
      </w:pPr>
      <w:r>
        <w:rPr>
          <w:rFonts w:ascii="Work Sans" w:hAnsi="Work Sans" w:cs="Calibri"/>
          <w:i/>
          <w:iCs/>
          <w:sz w:val="18"/>
          <w:szCs w:val="18"/>
          <w:lang w:bidi="ar-SA"/>
        </w:rPr>
        <w:t>1.</w:t>
      </w:r>
      <w:r>
        <w:rPr>
          <w:rFonts w:ascii="Work Sans" w:hAnsi="Work Sans" w:cs="Calibri"/>
          <w:i/>
          <w:iCs/>
          <w:sz w:val="18"/>
          <w:szCs w:val="18"/>
          <w:lang w:bidi="ar-SA"/>
        </w:rPr>
        <w:tab/>
        <w:t xml:space="preserve">Vías del Nus: A lo largo del tiempo las comunidades y autoridades locales han presentado una fuerte oposición frente a los peajes del proyecto: 1) peaje pandequeso (Municipio Donmatias), 2) peaje Trapiche y su caseta de </w:t>
      </w:r>
      <w:r>
        <w:rPr>
          <w:rFonts w:ascii="Work Sans" w:hAnsi="Work Sans" w:cs="Calibri"/>
          <w:i/>
          <w:iCs/>
          <w:sz w:val="18"/>
          <w:szCs w:val="18"/>
          <w:lang w:bidi="ar-SA"/>
        </w:rPr>
        <w:t>control cabildo (Municipio de Barbosa) 3) peaje Cisneros (Municipio Cisneros), por considerar que dichas casetas impiden su desarrollo y dificultan las relaciones comerciales, educativas, laborales y de recreación con Medellín que es el centro del Valle de</w:t>
      </w:r>
      <w:r>
        <w:rPr>
          <w:rFonts w:ascii="Work Sans" w:hAnsi="Work Sans" w:cs="Calibri"/>
          <w:i/>
          <w:iCs/>
          <w:sz w:val="18"/>
          <w:szCs w:val="18"/>
          <w:lang w:bidi="ar-SA"/>
        </w:rPr>
        <w:t xml:space="preserve"> Aburrá. De los peajes antes referidos, es importante mencionar que, el peaje Niquia fue objeto de actos vandálicos y a la fecha no ha reiniciado su operación.</w:t>
      </w:r>
    </w:p>
    <w:p w:rsidR="00092772" w:rsidRDefault="00D44972">
      <w:pPr>
        <w:widowControl/>
        <w:ind w:left="708" w:right="623"/>
        <w:jc w:val="both"/>
      </w:pPr>
      <w:r>
        <w:rPr>
          <w:rStyle w:val="Fuentedeprrafopredeter"/>
          <w:rFonts w:ascii="Work Sans" w:hAnsi="Work Sans" w:cs="Calibri"/>
          <w:i/>
          <w:iCs/>
          <w:sz w:val="18"/>
          <w:szCs w:val="18"/>
          <w:lang w:bidi="ar-SA"/>
        </w:rPr>
        <w:t>2.</w:t>
      </w:r>
      <w:r>
        <w:rPr>
          <w:rStyle w:val="Fuentedeprrafopredeter"/>
          <w:rFonts w:ascii="Work Sans" w:hAnsi="Work Sans" w:cs="Calibri"/>
          <w:i/>
          <w:iCs/>
          <w:sz w:val="18"/>
          <w:szCs w:val="18"/>
          <w:lang w:bidi="ar-SA"/>
        </w:rPr>
        <w:tab/>
        <w:t>Autopista al Mar 2: Los días 3, 4, 5 y 6 de enero de 2018, se presentaron diferentes manifest</w:t>
      </w:r>
      <w:r>
        <w:rPr>
          <w:rStyle w:val="Fuentedeprrafopredeter"/>
          <w:rFonts w:ascii="Work Sans" w:hAnsi="Work Sans" w:cs="Calibri"/>
          <w:i/>
          <w:iCs/>
          <w:sz w:val="18"/>
          <w:szCs w:val="18"/>
          <w:lang w:bidi="ar-SA"/>
        </w:rPr>
        <w:t xml:space="preserve">aciones, en donde la infraestructura física y operativa de la Unidad Funcional 6 sufrió daños, presentándose adicionalmente afectación a las estaciones de peaje, que se encuentran a cargo de la concesión. Todas estas circunstancias fueron generadas por la </w:t>
      </w:r>
      <w:r>
        <w:rPr>
          <w:rStyle w:val="Fuentedeprrafopredeter"/>
          <w:rFonts w:ascii="Work Sans" w:hAnsi="Work Sans" w:cs="Calibri"/>
          <w:i/>
          <w:iCs/>
          <w:sz w:val="18"/>
          <w:szCs w:val="18"/>
          <w:lang w:bidi="ar-SA"/>
        </w:rPr>
        <w:t xml:space="preserve">posición renuente de la comunidad frente a la ubicación de los peajes; estos hechos fueron de público conocimiento, gracias a la difusión de los distintos medios de comunicación a nivel regional y nacional. </w:t>
      </w:r>
      <w:r>
        <w:rPr>
          <w:rStyle w:val="Fuentedeprrafopredeter"/>
          <w:rFonts w:ascii="Work Sans" w:hAnsi="Work Sans" w:cs="Calibri"/>
          <w:i/>
          <w:iCs/>
          <w:sz w:val="18"/>
          <w:szCs w:val="18"/>
          <w:lang w:eastAsia="ar-SA" w:bidi="ar-SA"/>
        </w:rPr>
        <w:t>El día 8 de mayo del 2022, el peaje Cirilo, ubica</w:t>
      </w:r>
      <w:r>
        <w:rPr>
          <w:rStyle w:val="Fuentedeprrafopredeter"/>
          <w:rFonts w:ascii="Work Sans" w:hAnsi="Work Sans" w:cs="Calibri"/>
          <w:i/>
          <w:iCs/>
          <w:sz w:val="18"/>
          <w:szCs w:val="18"/>
          <w:lang w:eastAsia="ar-SA" w:bidi="ar-SA"/>
        </w:rPr>
        <w:t>do en el Municipio de Turbo, fue vandalizado, situación que generó la suspensión de su operación hasta el día de hoy.</w:t>
      </w:r>
    </w:p>
    <w:p w:rsidR="00092772" w:rsidRDefault="00092772">
      <w:pPr>
        <w:widowControl/>
        <w:ind w:left="708" w:right="623"/>
        <w:jc w:val="both"/>
        <w:rPr>
          <w:rFonts w:ascii="Work Sans" w:hAnsi="Work Sans" w:cs="Calibri"/>
          <w:i/>
          <w:iCs/>
          <w:sz w:val="18"/>
          <w:szCs w:val="18"/>
          <w:lang w:bidi="ar-SA"/>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Aunado a lo anterior, en el sector de la quiebra en el tramo Primavera – La Pintada (Proyecto Pacifico 2), se presenta cierre total de ví</w:t>
      </w:r>
      <w:r>
        <w:rPr>
          <w:rFonts w:ascii="Work Sans" w:hAnsi="Work Sans" w:cs="Calibri"/>
          <w:i/>
          <w:iCs/>
          <w:sz w:val="18"/>
          <w:szCs w:val="18"/>
          <w:lang w:val="es-CO"/>
        </w:rPr>
        <w:t xml:space="preserve">a como consecuencia de la ola invernal que está afectando a la región del Suroeste. </w:t>
      </w:r>
    </w:p>
    <w:p w:rsidR="00092772" w:rsidRDefault="00092772">
      <w:pPr>
        <w:ind w:left="426" w:right="623"/>
        <w:jc w:val="both"/>
        <w:rPr>
          <w:rFonts w:ascii="Work Sans" w:hAnsi="Work Sans" w:cs="Calibri"/>
          <w:i/>
          <w:iCs/>
          <w:sz w:val="18"/>
          <w:szCs w:val="18"/>
          <w:lang w:val="es-CO"/>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 xml:space="preserve">Por tal razón, los vehículos de carga y de transporte público de pasajeros que se dirigen en Sentido Sur del país – Eje Cafetero – Medellín deben tomar La vía La Pintada </w:t>
      </w:r>
      <w:r>
        <w:rPr>
          <w:rFonts w:ascii="Work Sans" w:hAnsi="Work Sans" w:cs="Calibri"/>
          <w:i/>
          <w:iCs/>
          <w:sz w:val="18"/>
          <w:szCs w:val="18"/>
          <w:lang w:val="es-CO"/>
        </w:rPr>
        <w:t>– Peñalisa -Santa Fe de Antioquia – Medellín, aumentando los tiempos de viaje e incrementando sus gastos.</w:t>
      </w:r>
    </w:p>
    <w:p w:rsidR="00092772" w:rsidRDefault="00092772">
      <w:pPr>
        <w:ind w:left="426" w:right="623"/>
        <w:jc w:val="both"/>
        <w:rPr>
          <w:rFonts w:ascii="Work Sans" w:hAnsi="Work Sans" w:cs="Calibri"/>
          <w:i/>
          <w:iCs/>
          <w:sz w:val="18"/>
          <w:szCs w:val="18"/>
          <w:lang w:val="es-CO"/>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Con ocasión de ello, el Instituto Nacional de Vías- INVIAS emitió la Resolución No. 04160 del 6 de noviembre de 2022, por medio de la cual autoriza l</w:t>
      </w:r>
      <w:r>
        <w:rPr>
          <w:rFonts w:ascii="Work Sans" w:hAnsi="Work Sans" w:cs="Calibri"/>
          <w:i/>
          <w:iCs/>
          <w:sz w:val="18"/>
          <w:szCs w:val="18"/>
          <w:lang w:val="es-CO"/>
        </w:rPr>
        <w:t>a restricción para vehículos de carga en la vía Peñalisa - Primavera, Ruta Nacional 6003 entre el PR55+000 y el PR65+000, Departamento de Antioquia.</w:t>
      </w:r>
    </w:p>
    <w:p w:rsidR="00092772" w:rsidRDefault="00092772">
      <w:pPr>
        <w:ind w:left="426" w:right="623"/>
        <w:jc w:val="both"/>
        <w:rPr>
          <w:rFonts w:ascii="Work Sans" w:hAnsi="Work Sans" w:cs="Calibri"/>
          <w:i/>
          <w:iCs/>
          <w:sz w:val="18"/>
          <w:szCs w:val="18"/>
          <w:lang w:val="es-CO"/>
        </w:rPr>
      </w:pPr>
    </w:p>
    <w:p w:rsidR="00092772" w:rsidRDefault="00D44972">
      <w:pPr>
        <w:widowControl/>
        <w:numPr>
          <w:ilvl w:val="2"/>
          <w:numId w:val="20"/>
        </w:numPr>
        <w:spacing w:after="160"/>
        <w:ind w:left="426" w:right="623" w:firstLine="0"/>
        <w:jc w:val="both"/>
        <w:textAlignment w:val="auto"/>
      </w:pPr>
      <w:r>
        <w:rPr>
          <w:rStyle w:val="Fuentedeprrafopredeter"/>
          <w:rFonts w:ascii="Work Sans" w:hAnsi="Work Sans" w:cs="Calibri"/>
          <w:b/>
          <w:bCs/>
          <w:i/>
          <w:iCs/>
          <w:sz w:val="18"/>
          <w:szCs w:val="18"/>
          <w:u w:val="single"/>
          <w:lang w:bidi="ar-SA"/>
        </w:rPr>
        <w:t>ADMINISTRACIONES DEPARTAMENTAL Y MUNICIPAL</w:t>
      </w:r>
    </w:p>
    <w:p w:rsidR="00092772" w:rsidRDefault="00092772">
      <w:pPr>
        <w:widowControl/>
        <w:spacing w:after="160"/>
        <w:ind w:left="426" w:right="623"/>
        <w:jc w:val="both"/>
        <w:textAlignment w:val="auto"/>
        <w:rPr>
          <w:rFonts w:ascii="Work Sans" w:hAnsi="Work Sans" w:cs="Calibri"/>
          <w:i/>
          <w:iCs/>
          <w:sz w:val="18"/>
          <w:szCs w:val="18"/>
          <w:lang w:bidi="ar-SA"/>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El día 9 de noviembre de 2022, se adelantaron reuniones con la</w:t>
      </w:r>
      <w:r>
        <w:rPr>
          <w:rFonts w:ascii="Work Sans" w:hAnsi="Work Sans" w:cs="Calibri"/>
          <w:i/>
          <w:iCs/>
          <w:sz w:val="18"/>
          <w:szCs w:val="18"/>
          <w:lang w:val="es-CO"/>
        </w:rPr>
        <w:t>s Secretarías de Infraestructura y Movilidad de Medellín, cuyo objetivo fue socializar los incrementos contemplados para el peaje Aburra con la terminación de la unidad funcional 3. En este espacio los funcionarios de las secretarias antes referidas manife</w:t>
      </w:r>
      <w:r>
        <w:rPr>
          <w:rFonts w:ascii="Work Sans" w:hAnsi="Work Sans" w:cs="Calibri"/>
          <w:i/>
          <w:iCs/>
          <w:sz w:val="18"/>
          <w:szCs w:val="18"/>
          <w:lang w:val="es-CO"/>
        </w:rPr>
        <w:t xml:space="preserve">staron su preocupación frente al incremento de las tarifas del peaje Aburrá, en la medida en que se trata de un aumento alto, el cual puede generar malestar en los usuarios, aun cuando las obras ejecutadas en el proyecto son evidentes. Desde la Secretaría </w:t>
      </w:r>
      <w:r>
        <w:rPr>
          <w:rFonts w:ascii="Work Sans" w:hAnsi="Work Sans" w:cs="Calibri"/>
          <w:i/>
          <w:iCs/>
          <w:sz w:val="18"/>
          <w:szCs w:val="18"/>
          <w:lang w:val="es-CO"/>
        </w:rPr>
        <w:t>de Movilidad, se sugirió realizar el incremento de manera gradual, con el fin de reducir el impacto económico en los usuarios de este importante corredor vial.</w:t>
      </w:r>
    </w:p>
    <w:p w:rsidR="00092772" w:rsidRDefault="00092772">
      <w:pPr>
        <w:ind w:left="426" w:right="623"/>
        <w:jc w:val="both"/>
        <w:rPr>
          <w:rFonts w:ascii="Work Sans" w:hAnsi="Work Sans" w:cs="Calibri"/>
          <w:i/>
          <w:iCs/>
          <w:sz w:val="18"/>
          <w:szCs w:val="18"/>
          <w:lang w:val="es-CO"/>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A su vez, el día 28 de noviembre del año en curso, se llevó a cabo reunión con la Secretaría de</w:t>
      </w:r>
      <w:r>
        <w:rPr>
          <w:rFonts w:ascii="Work Sans" w:hAnsi="Work Sans" w:cs="Calibri"/>
          <w:i/>
          <w:iCs/>
          <w:sz w:val="18"/>
          <w:szCs w:val="18"/>
          <w:lang w:val="es-CO"/>
        </w:rPr>
        <w:t xml:space="preserve"> Infraestructura del Departamento de Antioquia, a fin de socializar los incrementos contemplados para el peaje Aburra con la terminación de la unidad funcional 3.  La funcionaria del ente departamental manifestó que la magnitud de las obras ejecutadas es e</w:t>
      </w:r>
      <w:r>
        <w:rPr>
          <w:rFonts w:ascii="Work Sans" w:hAnsi="Work Sans" w:cs="Calibri"/>
          <w:i/>
          <w:iCs/>
          <w:sz w:val="18"/>
          <w:szCs w:val="18"/>
          <w:lang w:val="es-CO"/>
        </w:rPr>
        <w:t>vidente, sin embargo, el incremento tal como está contemplado generaría   un impacto económico alto quienes transitan por el corredor, por tanto, es probable que se presente cierto nivel de malestar por esta situación. Con base en ello, sugirió un incremen</w:t>
      </w:r>
      <w:r>
        <w:rPr>
          <w:rFonts w:ascii="Work Sans" w:hAnsi="Work Sans" w:cs="Calibri"/>
          <w:i/>
          <w:iCs/>
          <w:sz w:val="18"/>
          <w:szCs w:val="18"/>
          <w:lang w:val="es-CO"/>
        </w:rPr>
        <w:t>to gradual, para que los usuarios del proyecto no vean afectada su economía ni vean restringida su movilidad.</w:t>
      </w:r>
    </w:p>
    <w:p w:rsidR="00092772" w:rsidRDefault="00092772">
      <w:pPr>
        <w:ind w:left="426" w:right="623"/>
        <w:jc w:val="both"/>
        <w:rPr>
          <w:rFonts w:ascii="Work Sans" w:hAnsi="Work Sans" w:cs="Calibri"/>
          <w:i/>
          <w:iCs/>
          <w:sz w:val="18"/>
          <w:szCs w:val="18"/>
          <w:lang w:val="es-CO"/>
        </w:rPr>
      </w:pPr>
    </w:p>
    <w:p w:rsidR="00092772" w:rsidRDefault="00D44972">
      <w:pPr>
        <w:ind w:left="426" w:right="623"/>
        <w:jc w:val="both"/>
        <w:rPr>
          <w:rFonts w:ascii="Work Sans" w:hAnsi="Work Sans" w:cs="Calibri"/>
          <w:i/>
          <w:iCs/>
          <w:sz w:val="18"/>
          <w:szCs w:val="18"/>
          <w:lang w:val="es-CO"/>
        </w:rPr>
      </w:pPr>
      <w:r>
        <w:rPr>
          <w:rFonts w:ascii="Work Sans" w:hAnsi="Work Sans" w:cs="Calibri"/>
          <w:i/>
          <w:iCs/>
          <w:sz w:val="18"/>
          <w:szCs w:val="18"/>
          <w:lang w:val="es-CO"/>
        </w:rPr>
        <w:t xml:space="preserve">Así las cosas, con el fin de evitar un impacto alto en la economía de los usuarios del corredor concesionado y en aras de prevenir inconformisos </w:t>
      </w:r>
      <w:r>
        <w:rPr>
          <w:rFonts w:ascii="Work Sans" w:hAnsi="Work Sans" w:cs="Calibri"/>
          <w:i/>
          <w:iCs/>
          <w:sz w:val="18"/>
          <w:szCs w:val="18"/>
          <w:lang w:val="es-CO"/>
        </w:rPr>
        <w:t>en la comunidad que puedan desencadenar en alteraciones del orden público, es menester realizar el incremento de manera paulatina en el tiempo para la estación de peje Aburrá.</w:t>
      </w:r>
    </w:p>
    <w:p w:rsidR="00092772" w:rsidRDefault="00092772">
      <w:pPr>
        <w:ind w:right="623"/>
        <w:jc w:val="both"/>
        <w:rPr>
          <w:rFonts w:ascii="Work Sans" w:hAnsi="Work Sans" w:cs="Calibri"/>
          <w:i/>
          <w:iCs/>
          <w:sz w:val="18"/>
          <w:szCs w:val="18"/>
        </w:rPr>
      </w:pPr>
    </w:p>
    <w:p w:rsidR="00092772" w:rsidRDefault="00D44972">
      <w:pPr>
        <w:widowControl/>
        <w:numPr>
          <w:ilvl w:val="1"/>
          <w:numId w:val="23"/>
        </w:numPr>
        <w:ind w:right="623"/>
        <w:jc w:val="both"/>
        <w:textAlignment w:val="auto"/>
      </w:pPr>
      <w:r>
        <w:rPr>
          <w:rStyle w:val="Fuentedeprrafopredeter"/>
          <w:rFonts w:ascii="Work Sans" w:eastAsia="Arial Narrow" w:hAnsi="Work Sans" w:cs="Calibri"/>
          <w:b/>
          <w:bCs/>
          <w:i/>
          <w:iCs/>
          <w:sz w:val="18"/>
          <w:szCs w:val="18"/>
          <w:lang w:bidi="ar-SA"/>
        </w:rPr>
        <w:t>ASPECTOS</w:t>
      </w:r>
      <w:r>
        <w:rPr>
          <w:rStyle w:val="Fuentedeprrafopredeter"/>
          <w:rFonts w:ascii="Work Sans" w:hAnsi="Work Sans" w:cs="Calibri"/>
          <w:b/>
          <w:bCs/>
          <w:i/>
          <w:iCs/>
          <w:sz w:val="18"/>
          <w:szCs w:val="18"/>
          <w:lang w:bidi="ar-SA"/>
        </w:rPr>
        <w:t xml:space="preserve"> FINANCIEROS </w:t>
      </w:r>
    </w:p>
    <w:p w:rsidR="00092772" w:rsidRDefault="00092772">
      <w:pPr>
        <w:ind w:right="623"/>
        <w:jc w:val="both"/>
        <w:rPr>
          <w:rFonts w:ascii="Work Sans" w:hAnsi="Work Sans" w:cs="Calibri"/>
          <w:i/>
          <w:iCs/>
          <w:sz w:val="18"/>
          <w:szCs w:val="18"/>
          <w:lang w:val="es"/>
        </w:rPr>
      </w:pPr>
    </w:p>
    <w:p w:rsidR="00092772" w:rsidRDefault="00D44972">
      <w:pPr>
        <w:widowControl/>
        <w:ind w:left="426" w:right="623"/>
        <w:jc w:val="both"/>
      </w:pPr>
      <w:r>
        <w:rPr>
          <w:rStyle w:val="Fuentedeprrafopredeter"/>
          <w:rFonts w:ascii="Work Sans" w:eastAsia="Arial" w:hAnsi="Work Sans" w:cs="Calibri"/>
          <w:i/>
          <w:iCs/>
          <w:sz w:val="18"/>
          <w:szCs w:val="18"/>
          <w:lang w:val="es" w:bidi="ar-SA"/>
        </w:rPr>
        <w:t xml:space="preserve">Con el fin de dar cumplimiento a lo establecido en la </w:t>
      </w:r>
      <w:r>
        <w:rPr>
          <w:rStyle w:val="Fuentedeprrafopredeter"/>
          <w:rFonts w:ascii="Work Sans" w:eastAsia="Arial" w:hAnsi="Work Sans" w:cs="Calibri"/>
          <w:i/>
          <w:iCs/>
          <w:sz w:val="18"/>
          <w:szCs w:val="18"/>
          <w:lang w:val="es" w:bidi="ar-SA"/>
        </w:rPr>
        <w:t xml:space="preserve">Sección 4.2 “Estructura Tarifaria” de la Parte Especial del Contrato de Concesión No. 014 de 2015 y teniendo en cuenta la problemática social que podría derivarse por el incremento de las tarifas del peaje Aburrá, según lo establecido en la Resolución No. </w:t>
      </w:r>
      <w:r>
        <w:rPr>
          <w:rStyle w:val="Fuentedeprrafopredeter"/>
          <w:rFonts w:ascii="Work Sans" w:eastAsia="Arial" w:hAnsi="Work Sans" w:cs="Calibri"/>
          <w:i/>
          <w:iCs/>
          <w:sz w:val="18"/>
          <w:szCs w:val="18"/>
          <w:lang w:val="es" w:bidi="ar-SA"/>
        </w:rPr>
        <w:t xml:space="preserve">1546 del 27 de mayo de 2015, modificada mediante la Resolución 3025 del 27 de agosto de 2015, y con ocasión de ello, con fundamento en los requerimientos de las administraciones departamentales y municipales expuestos anteriormente, se acordó en las mesas </w:t>
      </w:r>
      <w:r>
        <w:rPr>
          <w:rStyle w:val="Fuentedeprrafopredeter"/>
          <w:rFonts w:ascii="Work Sans" w:eastAsia="Arial" w:hAnsi="Work Sans" w:cs="Calibri"/>
          <w:i/>
          <w:iCs/>
          <w:sz w:val="18"/>
          <w:szCs w:val="18"/>
          <w:lang w:val="es" w:bidi="ar-SA"/>
        </w:rPr>
        <w:t>de trabajo realizadas entre la Agencia Nacional de Infraestructura, el Concesionario y la Interventoría, un incremento gradual en las tarifas a cobrar en la estación de peaje Aburrá, el cual se realizará de forma progresiva durante los años 2023, 2024 y 20</w:t>
      </w:r>
      <w:r>
        <w:rPr>
          <w:rStyle w:val="Fuentedeprrafopredeter"/>
          <w:rFonts w:ascii="Work Sans" w:eastAsia="Arial" w:hAnsi="Work Sans" w:cs="Calibri"/>
          <w:i/>
          <w:iCs/>
          <w:sz w:val="18"/>
          <w:szCs w:val="18"/>
          <w:lang w:val="es" w:bidi="ar-SA"/>
        </w:rPr>
        <w:t>25, así:</w:t>
      </w:r>
    </w:p>
    <w:p w:rsidR="00092772" w:rsidRDefault="00092772">
      <w:pPr>
        <w:tabs>
          <w:tab w:val="left" w:pos="1134"/>
        </w:tabs>
        <w:ind w:left="426"/>
        <w:jc w:val="both"/>
        <w:rPr>
          <w:rFonts w:ascii="Work Sans" w:hAnsi="Work Sans" w:cs="Calibri"/>
          <w:i/>
          <w:iCs/>
          <w:sz w:val="18"/>
          <w:szCs w:val="18"/>
          <w:lang w:val="es-CO"/>
        </w:rPr>
      </w:pPr>
    </w:p>
    <w:tbl>
      <w:tblPr>
        <w:tblW w:w="3527" w:type="dxa"/>
        <w:jc w:val="center"/>
        <w:tblCellMar>
          <w:left w:w="10" w:type="dxa"/>
          <w:right w:w="10" w:type="dxa"/>
        </w:tblCellMar>
        <w:tblLook w:val="0000" w:firstRow="0" w:lastRow="0" w:firstColumn="0" w:lastColumn="0" w:noHBand="0" w:noVBand="0"/>
      </w:tblPr>
      <w:tblGrid>
        <w:gridCol w:w="1129"/>
        <w:gridCol w:w="1318"/>
        <w:gridCol w:w="1080"/>
      </w:tblGrid>
      <w:tr w:rsidR="00092772">
        <w:tblPrEx>
          <w:tblCellMar>
            <w:top w:w="0" w:type="dxa"/>
            <w:bottom w:w="0" w:type="dxa"/>
          </w:tblCellMar>
        </w:tblPrEx>
        <w:trPr>
          <w:trHeight w:val="30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pPr>
            <w:r>
              <w:rPr>
                <w:rStyle w:val="Fuentedeprrafopredeter"/>
                <w:rFonts w:ascii="Work Sans" w:hAnsi="Work Sans" w:cs="Calibri"/>
                <w:b/>
                <w:bCs/>
                <w:i/>
                <w:iCs/>
                <w:color w:val="000000"/>
                <w:sz w:val="18"/>
                <w:szCs w:val="18"/>
                <w:lang w:val="es-CO"/>
              </w:rPr>
              <w:t>Año 2023</w:t>
            </w:r>
          </w:p>
        </w:tc>
        <w:tc>
          <w:tcPr>
            <w:tcW w:w="13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b/>
                <w:bCs/>
                <w:i/>
                <w:iCs/>
                <w:color w:val="000000"/>
                <w:sz w:val="18"/>
                <w:szCs w:val="18"/>
                <w:lang w:val="es-CO"/>
              </w:rPr>
            </w:pPr>
            <w:r>
              <w:rPr>
                <w:rFonts w:ascii="Work Sans" w:hAnsi="Work Sans" w:cs="Calibri"/>
                <w:b/>
                <w:bCs/>
                <w:i/>
                <w:iCs/>
                <w:color w:val="000000"/>
                <w:sz w:val="18"/>
                <w:szCs w:val="18"/>
                <w:lang w:val="es-CO"/>
              </w:rPr>
              <w:t>Año 2024</w:t>
            </w:r>
          </w:p>
        </w:tc>
        <w:tc>
          <w:tcPr>
            <w:tcW w:w="10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b/>
                <w:bCs/>
                <w:i/>
                <w:iCs/>
                <w:color w:val="000000"/>
                <w:sz w:val="18"/>
                <w:szCs w:val="18"/>
                <w:lang w:val="es-CO"/>
              </w:rPr>
            </w:pPr>
            <w:r>
              <w:rPr>
                <w:rFonts w:ascii="Work Sans" w:hAnsi="Work Sans" w:cs="Calibri"/>
                <w:b/>
                <w:bCs/>
                <w:i/>
                <w:iCs/>
                <w:color w:val="000000"/>
                <w:sz w:val="18"/>
                <w:szCs w:val="18"/>
                <w:lang w:val="es-CO"/>
              </w:rPr>
              <w:t>Año 2025*</w:t>
            </w:r>
          </w:p>
        </w:tc>
      </w:tr>
      <w:tr w:rsidR="00092772">
        <w:tblPrEx>
          <w:tblCellMar>
            <w:top w:w="0" w:type="dxa"/>
            <w:bottom w:w="0" w:type="dxa"/>
          </w:tblCellMar>
        </w:tblPrEx>
        <w:trPr>
          <w:trHeight w:val="300"/>
          <w:jc w:val="center"/>
        </w:trPr>
        <w:tc>
          <w:tcPr>
            <w:tcW w:w="11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30%</w:t>
            </w:r>
          </w:p>
        </w:tc>
        <w:tc>
          <w:tcPr>
            <w:tcW w:w="13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40%</w:t>
            </w:r>
          </w:p>
        </w:tc>
        <w:tc>
          <w:tcPr>
            <w:tcW w:w="10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30%</w:t>
            </w:r>
          </w:p>
        </w:tc>
      </w:tr>
    </w:tbl>
    <w:p w:rsidR="00092772" w:rsidRDefault="00D44972">
      <w:pPr>
        <w:tabs>
          <w:tab w:val="left" w:pos="1134"/>
        </w:tabs>
        <w:jc w:val="both"/>
        <w:rPr>
          <w:rFonts w:ascii="Work Sans" w:hAnsi="Work Sans" w:cs="Calibri"/>
          <w:i/>
          <w:iCs/>
          <w:sz w:val="18"/>
          <w:szCs w:val="18"/>
          <w:lang w:val="es-CO"/>
        </w:rPr>
      </w:pPr>
      <w:r>
        <w:rPr>
          <w:rFonts w:ascii="Work Sans" w:hAnsi="Work Sans" w:cs="Calibri"/>
          <w:i/>
          <w:iCs/>
          <w:sz w:val="18"/>
          <w:szCs w:val="18"/>
          <w:lang w:val="es-CO"/>
        </w:rPr>
        <w:tab/>
      </w:r>
      <w:r>
        <w:rPr>
          <w:rFonts w:ascii="Work Sans" w:hAnsi="Work Sans" w:cs="Calibri"/>
          <w:i/>
          <w:iCs/>
          <w:sz w:val="18"/>
          <w:szCs w:val="18"/>
          <w:lang w:val="es-CO"/>
        </w:rPr>
        <w:tab/>
      </w:r>
      <w:r>
        <w:rPr>
          <w:rFonts w:ascii="Work Sans" w:hAnsi="Work Sans" w:cs="Calibri"/>
          <w:i/>
          <w:iCs/>
          <w:sz w:val="18"/>
          <w:szCs w:val="18"/>
          <w:lang w:val="es-CO"/>
        </w:rPr>
        <w:tab/>
        <w:t xml:space="preserve">   * Con el 30% del año 2025 se alcanza  el 100% del incremento.</w:t>
      </w:r>
    </w:p>
    <w:p w:rsidR="00092772" w:rsidRDefault="00092772">
      <w:pPr>
        <w:tabs>
          <w:tab w:val="left" w:pos="1134"/>
        </w:tabs>
        <w:jc w:val="both"/>
        <w:rPr>
          <w:rFonts w:ascii="Work Sans" w:eastAsia="Arial" w:hAnsi="Work Sans" w:cs="Calibri"/>
          <w:i/>
          <w:iCs/>
          <w:sz w:val="18"/>
          <w:szCs w:val="18"/>
          <w:lang w:val="es"/>
        </w:rPr>
      </w:pPr>
    </w:p>
    <w:p w:rsidR="00092772" w:rsidRDefault="00D44972">
      <w:pPr>
        <w:tabs>
          <w:tab w:val="left" w:pos="1134"/>
        </w:tabs>
        <w:ind w:left="426" w:right="481"/>
        <w:jc w:val="both"/>
      </w:pPr>
      <w:r>
        <w:rPr>
          <w:rStyle w:val="Fuentedeprrafopredeter"/>
          <w:rFonts w:ascii="Work Sans" w:eastAsia="Arial" w:hAnsi="Work Sans" w:cs="Calibri"/>
          <w:i/>
          <w:iCs/>
          <w:sz w:val="18"/>
          <w:szCs w:val="18"/>
          <w:lang w:val="es"/>
        </w:rPr>
        <w:t xml:space="preserve">Por lo anterior, las tarifas propuestas desde el 16 de enero y hasta el 15 de enero del año siguiente para los años 2023, 2024 y 2025, </w:t>
      </w:r>
      <w:r>
        <w:rPr>
          <w:rStyle w:val="Fuentedeprrafopredeter"/>
          <w:rFonts w:ascii="Work Sans" w:eastAsia="Arial" w:hAnsi="Work Sans" w:cs="Calibri"/>
          <w:i/>
          <w:iCs/>
          <w:sz w:val="18"/>
          <w:szCs w:val="18"/>
          <w:lang w:val="es"/>
        </w:rPr>
        <w:t>expresadas en pesos de diciembre de 2012, sin incluir el Fondo de Seguridad Vial que se presentan en la siguiente tabla, son las que podrá cobrar el Concesionario a todos los usuarios en la estación de peaje Aburrá según el año, las cuales incluyen los inc</w:t>
      </w:r>
      <w:r>
        <w:rPr>
          <w:rStyle w:val="Fuentedeprrafopredeter"/>
          <w:rFonts w:ascii="Work Sans" w:eastAsia="Arial" w:hAnsi="Work Sans" w:cs="Calibri"/>
          <w:i/>
          <w:iCs/>
          <w:sz w:val="18"/>
          <w:szCs w:val="18"/>
          <w:lang w:val="es"/>
        </w:rPr>
        <w:t xml:space="preserve">rementos reales que fueron solicitados por las instancias Departamental y Municipal y acordados entre, la Agencia, la Interventoría y el Concesionario, así: </w:t>
      </w:r>
    </w:p>
    <w:p w:rsidR="00092772" w:rsidRDefault="00092772">
      <w:pPr>
        <w:tabs>
          <w:tab w:val="left" w:pos="1134"/>
        </w:tabs>
        <w:ind w:left="426" w:right="481"/>
        <w:jc w:val="both"/>
        <w:rPr>
          <w:rFonts w:ascii="Work Sans" w:hAnsi="Work Sans" w:cs="Calibri"/>
          <w:b/>
          <w:bCs/>
          <w:i/>
          <w:iCs/>
          <w:sz w:val="18"/>
          <w:szCs w:val="18"/>
          <w:u w:val="single"/>
          <w:lang w:val="es-CO"/>
        </w:rPr>
      </w:pPr>
    </w:p>
    <w:p w:rsidR="00092772" w:rsidRDefault="00D44972">
      <w:pPr>
        <w:tabs>
          <w:tab w:val="left" w:pos="1134"/>
        </w:tabs>
        <w:ind w:left="426" w:right="481"/>
        <w:jc w:val="both"/>
        <w:rPr>
          <w:rFonts w:ascii="Work Sans" w:hAnsi="Work Sans" w:cs="Calibri"/>
          <w:b/>
          <w:bCs/>
          <w:i/>
          <w:iCs/>
          <w:sz w:val="18"/>
          <w:szCs w:val="18"/>
          <w:u w:val="single"/>
          <w:lang w:val="es-CO"/>
        </w:rPr>
      </w:pPr>
      <w:r>
        <w:rPr>
          <w:rFonts w:ascii="Work Sans" w:hAnsi="Work Sans" w:cs="Calibri"/>
          <w:b/>
          <w:bCs/>
          <w:i/>
          <w:iCs/>
          <w:sz w:val="18"/>
          <w:szCs w:val="18"/>
          <w:u w:val="single"/>
          <w:lang w:val="es-CO"/>
        </w:rPr>
        <w:t xml:space="preserve">Tarifas Plenas: </w:t>
      </w:r>
    </w:p>
    <w:p w:rsidR="00092772" w:rsidRDefault="00092772">
      <w:pPr>
        <w:tabs>
          <w:tab w:val="left" w:pos="1134"/>
        </w:tabs>
        <w:jc w:val="both"/>
        <w:rPr>
          <w:rFonts w:ascii="Work Sans" w:hAnsi="Work Sans" w:cs="Calibri"/>
          <w:b/>
          <w:bCs/>
          <w:i/>
          <w:iCs/>
          <w:sz w:val="18"/>
          <w:szCs w:val="18"/>
          <w:u w:val="single"/>
          <w:lang w:val="es-CO"/>
        </w:rPr>
      </w:pPr>
    </w:p>
    <w:tbl>
      <w:tblPr>
        <w:tblW w:w="6658" w:type="dxa"/>
        <w:jc w:val="center"/>
        <w:tblCellMar>
          <w:left w:w="10" w:type="dxa"/>
          <w:right w:w="10" w:type="dxa"/>
        </w:tblCellMar>
        <w:tblLook w:val="0000" w:firstRow="0" w:lastRow="0" w:firstColumn="0" w:lastColumn="0" w:noHBand="0" w:noVBand="0"/>
      </w:tblPr>
      <w:tblGrid>
        <w:gridCol w:w="1500"/>
        <w:gridCol w:w="1614"/>
        <w:gridCol w:w="1701"/>
        <w:gridCol w:w="1843"/>
      </w:tblGrid>
      <w:tr w:rsidR="00092772">
        <w:tblPrEx>
          <w:tblCellMar>
            <w:top w:w="0" w:type="dxa"/>
            <w:bottom w:w="0" w:type="dxa"/>
          </w:tblCellMar>
        </w:tblPrEx>
        <w:trPr>
          <w:trHeight w:val="55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pPr>
            <w:r>
              <w:rPr>
                <w:rStyle w:val="Fuentedeprrafopredeter"/>
                <w:rFonts w:ascii="Work Sans" w:hAnsi="Work Sans" w:cs="Calibri"/>
                <w:b/>
                <w:bCs/>
                <w:i/>
                <w:iCs/>
                <w:color w:val="000000"/>
                <w:sz w:val="18"/>
                <w:szCs w:val="18"/>
                <w:lang w:val="es-CO"/>
              </w:rPr>
              <w:t>CATEGORÍA</w:t>
            </w:r>
          </w:p>
        </w:tc>
        <w:tc>
          <w:tcPr>
            <w:tcW w:w="5158"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8"/>
                <w:szCs w:val="18"/>
                <w:lang w:val="es-CO"/>
              </w:rPr>
            </w:pPr>
            <w:r>
              <w:rPr>
                <w:rFonts w:ascii="Work Sans" w:hAnsi="Work Sans" w:cs="Calibri"/>
                <w:b/>
                <w:bCs/>
                <w:i/>
                <w:iCs/>
                <w:color w:val="000000"/>
                <w:sz w:val="18"/>
                <w:szCs w:val="18"/>
                <w:lang w:val="es-CO"/>
              </w:rPr>
              <w:t>TARIFAS Pesos de diciembre de 2012 (No incluye FOSEVI)</w:t>
            </w:r>
          </w:p>
        </w:tc>
      </w:tr>
      <w:tr w:rsidR="00092772">
        <w:tblPrEx>
          <w:tblCellMar>
            <w:top w:w="0" w:type="dxa"/>
            <w:bottom w:w="0" w:type="dxa"/>
          </w:tblCellMar>
        </w:tblPrEx>
        <w:trPr>
          <w:trHeight w:val="300"/>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092772">
            <w:pPr>
              <w:jc w:val="center"/>
              <w:rPr>
                <w:rFonts w:ascii="Work Sans" w:hAnsi="Work Sans" w:cs="Calibri"/>
                <w:b/>
                <w:bCs/>
                <w:i/>
                <w:iCs/>
                <w:color w:val="000000"/>
                <w:sz w:val="18"/>
                <w:szCs w:val="18"/>
                <w:lang w:val="es-CO"/>
              </w:rPr>
            </w:pPr>
          </w:p>
        </w:tc>
        <w:tc>
          <w:tcPr>
            <w:tcW w:w="16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8"/>
                <w:szCs w:val="18"/>
                <w:lang w:val="es-CO"/>
              </w:rPr>
            </w:pPr>
            <w:r>
              <w:rPr>
                <w:rFonts w:ascii="Work Sans" w:hAnsi="Work Sans" w:cs="Calibri"/>
                <w:b/>
                <w:bCs/>
                <w:i/>
                <w:iCs/>
                <w:color w:val="000000"/>
                <w:sz w:val="18"/>
                <w:szCs w:val="18"/>
                <w:lang w:val="es-CO"/>
              </w:rPr>
              <w:t>2023</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8"/>
                <w:szCs w:val="18"/>
                <w:lang w:val="es-CO"/>
              </w:rPr>
            </w:pPr>
            <w:r>
              <w:rPr>
                <w:rFonts w:ascii="Work Sans" w:hAnsi="Work Sans" w:cs="Calibri"/>
                <w:b/>
                <w:bCs/>
                <w:i/>
                <w:iCs/>
                <w:color w:val="000000"/>
                <w:sz w:val="18"/>
                <w:szCs w:val="18"/>
                <w:lang w:val="es-CO"/>
              </w:rPr>
              <w:t>2024</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8"/>
                <w:szCs w:val="18"/>
                <w:lang w:val="es-CO"/>
              </w:rPr>
            </w:pPr>
            <w:r>
              <w:rPr>
                <w:rFonts w:ascii="Work Sans" w:hAnsi="Work Sans" w:cs="Calibri"/>
                <w:b/>
                <w:bCs/>
                <w:i/>
                <w:iCs/>
                <w:color w:val="000000"/>
                <w:sz w:val="18"/>
                <w:szCs w:val="18"/>
                <w:lang w:val="es-CO"/>
              </w:rPr>
              <w:t>2025</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13.654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15.280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16.500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III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IV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xml:space="preserve">$ </w:t>
            </w:r>
            <w:r>
              <w:rPr>
                <w:rFonts w:ascii="Work Sans" w:hAnsi="Work Sans" w:cs="Calibri"/>
                <w:i/>
                <w:iCs/>
                <w:color w:val="000000"/>
                <w:sz w:val="18"/>
                <w:szCs w:val="18"/>
                <w:lang w:val="es-CO"/>
              </w:rPr>
              <w:t xml:space="preserve">          36.380</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43.649</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49.100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VI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46.701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55.215</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61.600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VII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55.153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64.380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8"/>
                <w:szCs w:val="18"/>
                <w:lang w:val="es-CO"/>
              </w:rPr>
            </w:pPr>
            <w:r>
              <w:rPr>
                <w:rFonts w:ascii="Work Sans" w:hAnsi="Work Sans" w:cs="Calibri"/>
                <w:i/>
                <w:iCs/>
                <w:color w:val="000000"/>
                <w:sz w:val="18"/>
                <w:szCs w:val="18"/>
                <w:lang w:val="es-CO"/>
              </w:rPr>
              <w:t>$           71.300</w:t>
            </w:r>
          </w:p>
        </w:tc>
      </w:tr>
    </w:tbl>
    <w:p w:rsidR="00092772" w:rsidRDefault="00D44972">
      <w:pPr>
        <w:tabs>
          <w:tab w:val="left" w:pos="1134"/>
        </w:tabs>
        <w:ind w:left="567" w:right="481" w:hanging="141"/>
        <w:jc w:val="center"/>
        <w:rPr>
          <w:rFonts w:ascii="Work Sans" w:hAnsi="Work Sans" w:cs="Calibri"/>
          <w:i/>
          <w:iCs/>
          <w:sz w:val="18"/>
          <w:szCs w:val="18"/>
          <w:lang w:val="es-CO"/>
        </w:rPr>
      </w:pPr>
      <w:r>
        <w:rPr>
          <w:rFonts w:ascii="Work Sans" w:hAnsi="Work Sans" w:cs="Calibri"/>
          <w:i/>
          <w:iCs/>
          <w:sz w:val="18"/>
          <w:szCs w:val="18"/>
          <w:lang w:val="es-CO"/>
        </w:rPr>
        <w:t xml:space="preserve">*Las tarifas no incluyen el valor de del Fondo de Seguridad Vial y ninguna </w:t>
      </w:r>
      <w:r>
        <w:rPr>
          <w:rFonts w:ascii="Work Sans" w:hAnsi="Work Sans" w:cs="Calibri"/>
          <w:i/>
          <w:iCs/>
          <w:sz w:val="18"/>
          <w:szCs w:val="18"/>
          <w:lang w:val="es-CO"/>
        </w:rPr>
        <w:t>otra sobretasa o similar</w:t>
      </w:r>
    </w:p>
    <w:p w:rsidR="00092772" w:rsidRDefault="00D44972">
      <w:pPr>
        <w:tabs>
          <w:tab w:val="left" w:pos="1134"/>
        </w:tabs>
        <w:ind w:left="567" w:right="481" w:hanging="141"/>
        <w:rPr>
          <w:rFonts w:ascii="Work Sans" w:hAnsi="Work Sans" w:cs="Calibri"/>
          <w:bCs/>
          <w:i/>
          <w:iCs/>
          <w:sz w:val="18"/>
          <w:szCs w:val="18"/>
          <w:lang w:val="es-CO"/>
        </w:rPr>
      </w:pPr>
      <w:r>
        <w:rPr>
          <w:rFonts w:ascii="Work Sans" w:hAnsi="Work Sans" w:cs="Calibri"/>
          <w:bCs/>
          <w:i/>
          <w:iCs/>
          <w:sz w:val="18"/>
          <w:szCs w:val="18"/>
          <w:lang w:val="es-CO"/>
        </w:rPr>
        <w:t>** El valor del FOSEVI está sujeto a las modificaciones que establezca el INVIAS</w:t>
      </w:r>
    </w:p>
    <w:p w:rsidR="00092772" w:rsidRDefault="00092772">
      <w:pPr>
        <w:tabs>
          <w:tab w:val="left" w:pos="1134"/>
        </w:tabs>
        <w:ind w:left="426" w:right="481"/>
        <w:jc w:val="both"/>
        <w:rPr>
          <w:rFonts w:ascii="Work Sans" w:hAnsi="Work Sans" w:cs="Calibri"/>
          <w:b/>
          <w:bCs/>
          <w:i/>
          <w:iCs/>
          <w:sz w:val="18"/>
          <w:szCs w:val="18"/>
          <w:lang w:val="es-CO"/>
        </w:rPr>
      </w:pPr>
    </w:p>
    <w:p w:rsidR="00092772" w:rsidRDefault="00D44972">
      <w:pPr>
        <w:tabs>
          <w:tab w:val="left" w:pos="1134"/>
        </w:tabs>
        <w:ind w:left="426" w:right="481"/>
        <w:jc w:val="both"/>
        <w:rPr>
          <w:rFonts w:ascii="Work Sans" w:hAnsi="Work Sans" w:cs="Calibri"/>
          <w:i/>
          <w:iCs/>
          <w:sz w:val="18"/>
          <w:szCs w:val="18"/>
          <w:lang w:val="es-CO"/>
        </w:rPr>
      </w:pPr>
      <w:r>
        <w:rPr>
          <w:rFonts w:ascii="Work Sans" w:hAnsi="Work Sans" w:cs="Calibri"/>
          <w:i/>
          <w:iCs/>
          <w:sz w:val="18"/>
          <w:szCs w:val="18"/>
          <w:lang w:val="es-CO"/>
        </w:rPr>
        <w:t>Para determinar el valor a cobrar antes de Fosevi a partir del año 2023 y hasta el año 2025, se tomará el valor descrito en las tablas anteriores par</w:t>
      </w:r>
      <w:r>
        <w:rPr>
          <w:rFonts w:ascii="Work Sans" w:hAnsi="Work Sans" w:cs="Calibri"/>
          <w:i/>
          <w:iCs/>
          <w:sz w:val="18"/>
          <w:szCs w:val="18"/>
          <w:lang w:val="es-CO"/>
        </w:rPr>
        <w:t xml:space="preserve">a cada año, actualizado la tarifa con el IPC correspondiente al año en que se realice el incremento. </w:t>
      </w:r>
    </w:p>
    <w:p w:rsidR="00092772" w:rsidRDefault="00092772">
      <w:pPr>
        <w:tabs>
          <w:tab w:val="left" w:pos="1134"/>
        </w:tabs>
        <w:ind w:left="426" w:right="481"/>
        <w:jc w:val="both"/>
        <w:rPr>
          <w:rFonts w:ascii="Work Sans" w:hAnsi="Work Sans" w:cs="Calibri"/>
          <w:i/>
          <w:iCs/>
          <w:sz w:val="18"/>
          <w:szCs w:val="18"/>
          <w:lang w:val="es-CO"/>
        </w:rPr>
      </w:pPr>
    </w:p>
    <w:p w:rsidR="00092772" w:rsidRDefault="00D44972">
      <w:pPr>
        <w:tabs>
          <w:tab w:val="left" w:pos="1134"/>
        </w:tabs>
        <w:ind w:left="426" w:right="481"/>
        <w:jc w:val="both"/>
        <w:rPr>
          <w:rFonts w:ascii="Work Sans" w:hAnsi="Work Sans" w:cs="Calibri"/>
          <w:i/>
          <w:iCs/>
          <w:sz w:val="18"/>
          <w:szCs w:val="18"/>
          <w:lang w:val="es-CO"/>
        </w:rPr>
      </w:pPr>
      <w:r>
        <w:rPr>
          <w:rFonts w:ascii="Work Sans" w:hAnsi="Work Sans" w:cs="Calibri"/>
          <w:i/>
          <w:iCs/>
          <w:sz w:val="18"/>
          <w:szCs w:val="18"/>
          <w:lang w:val="es-CO"/>
        </w:rPr>
        <w:t xml:space="preserve">Para los años 2026 en adelante, el incremento de las tarifas de los peajes se realizará de acuerdo con el IPC de cierre de cada año, siguiendo el </w:t>
      </w:r>
      <w:r>
        <w:rPr>
          <w:rFonts w:ascii="Work Sans" w:hAnsi="Work Sans" w:cs="Calibri"/>
          <w:i/>
          <w:iCs/>
          <w:sz w:val="18"/>
          <w:szCs w:val="18"/>
          <w:lang w:val="es-CO"/>
        </w:rPr>
        <w:t>procedimiento definido en el literal (e) de la Sección 4.2 de la Parte Especial del Contrato de Concesión No. 014 de 2015.</w:t>
      </w:r>
    </w:p>
    <w:p w:rsidR="00092772" w:rsidRDefault="00092772">
      <w:pPr>
        <w:ind w:left="426" w:right="481"/>
        <w:jc w:val="both"/>
        <w:rPr>
          <w:rFonts w:ascii="Work Sans" w:hAnsi="Work Sans" w:cs="Calibri"/>
          <w:i/>
          <w:iCs/>
          <w:sz w:val="18"/>
          <w:szCs w:val="18"/>
          <w:lang w:val="es-CO"/>
        </w:rPr>
      </w:pPr>
    </w:p>
    <w:p w:rsidR="00092772" w:rsidRDefault="00D44972">
      <w:pPr>
        <w:ind w:left="426" w:right="481"/>
        <w:jc w:val="both"/>
        <w:rPr>
          <w:rFonts w:ascii="Work Sans" w:hAnsi="Work Sans" w:cs="Calibri"/>
          <w:i/>
          <w:iCs/>
          <w:sz w:val="18"/>
          <w:szCs w:val="18"/>
          <w:lang w:val="es-CO"/>
        </w:rPr>
      </w:pPr>
      <w:r>
        <w:rPr>
          <w:rFonts w:ascii="Work Sans" w:hAnsi="Work Sans" w:cs="Calibri"/>
          <w:i/>
          <w:iCs/>
          <w:sz w:val="18"/>
          <w:szCs w:val="18"/>
          <w:lang w:val="es-CO"/>
        </w:rPr>
        <w:t>Por efecto de la actualización anual de las tarifas de peaje, las mismas deberán ser ajustadas a la centena más cercana con el fin d</w:t>
      </w:r>
      <w:r>
        <w:rPr>
          <w:rFonts w:ascii="Work Sans" w:hAnsi="Work Sans" w:cs="Calibri"/>
          <w:i/>
          <w:iCs/>
          <w:sz w:val="18"/>
          <w:szCs w:val="18"/>
          <w:lang w:val="es-CO"/>
        </w:rPr>
        <w:t>e facilitar el recaudo en las estaciones de peaje por parte del Concesionario. A las tarifas de peaje se les adicionará el valor del Fondo de Seguridad Vial del periodo de actualización acorde con la Resolución vigente que el Ministerio de Transporte expid</w:t>
      </w:r>
      <w:r>
        <w:rPr>
          <w:rFonts w:ascii="Work Sans" w:hAnsi="Work Sans" w:cs="Calibri"/>
          <w:i/>
          <w:iCs/>
          <w:sz w:val="18"/>
          <w:szCs w:val="18"/>
          <w:lang w:val="es-CO"/>
        </w:rPr>
        <w:t xml:space="preserve">a para tal efecto. </w:t>
      </w:r>
    </w:p>
    <w:p w:rsidR="00092772" w:rsidRDefault="00092772">
      <w:pPr>
        <w:ind w:left="426" w:right="481"/>
        <w:jc w:val="both"/>
        <w:rPr>
          <w:rFonts w:ascii="Work Sans" w:hAnsi="Work Sans" w:cs="Calibri"/>
          <w:b/>
          <w:bCs/>
          <w:i/>
          <w:iCs/>
          <w:sz w:val="18"/>
          <w:szCs w:val="18"/>
          <w:u w:val="single"/>
          <w:lang w:val="es-CO"/>
        </w:rPr>
      </w:pPr>
    </w:p>
    <w:p w:rsidR="00092772" w:rsidRDefault="00D44972">
      <w:pPr>
        <w:ind w:left="426" w:right="481"/>
        <w:jc w:val="both"/>
        <w:rPr>
          <w:rFonts w:ascii="Work Sans" w:hAnsi="Work Sans" w:cs="Calibri"/>
          <w:b/>
          <w:bCs/>
          <w:i/>
          <w:iCs/>
          <w:sz w:val="18"/>
          <w:szCs w:val="18"/>
          <w:u w:val="single"/>
          <w:lang w:val="es-CO"/>
        </w:rPr>
      </w:pPr>
      <w:r>
        <w:rPr>
          <w:rFonts w:ascii="Work Sans" w:hAnsi="Work Sans" w:cs="Calibri"/>
          <w:b/>
          <w:bCs/>
          <w:i/>
          <w:iCs/>
          <w:sz w:val="18"/>
          <w:szCs w:val="18"/>
          <w:u w:val="single"/>
          <w:lang w:val="es-CO"/>
        </w:rPr>
        <w:t>Tarifas diferenciales:</w:t>
      </w:r>
    </w:p>
    <w:p w:rsidR="00092772" w:rsidRDefault="00092772">
      <w:pPr>
        <w:ind w:left="426" w:right="481"/>
        <w:jc w:val="both"/>
        <w:rPr>
          <w:rFonts w:ascii="Work Sans" w:hAnsi="Work Sans" w:cs="Calibri"/>
          <w:b/>
          <w:bCs/>
          <w:i/>
          <w:iCs/>
          <w:sz w:val="18"/>
          <w:szCs w:val="18"/>
          <w:u w:val="single"/>
          <w:lang w:val="es-CO"/>
        </w:rPr>
      </w:pPr>
    </w:p>
    <w:p w:rsidR="00092772" w:rsidRDefault="00D44972">
      <w:pPr>
        <w:ind w:left="426" w:right="481"/>
        <w:jc w:val="both"/>
      </w:pPr>
      <w:r>
        <w:rPr>
          <w:rStyle w:val="Fuentedeprrafopredeter"/>
          <w:rFonts w:ascii="Work Sans" w:hAnsi="Work Sans" w:cs="Calibri"/>
          <w:i/>
          <w:iCs/>
          <w:sz w:val="18"/>
          <w:szCs w:val="18"/>
          <w:lang w:val="es-CO"/>
        </w:rPr>
        <w:t xml:space="preserve">Actualmente, la estación de peaje Aburrá cuenta con el beneficio de tarifas especiales diferenciales para las categorías IE y IIE, las cuales se encuentran reguladas en la </w:t>
      </w:r>
      <w:r>
        <w:rPr>
          <w:rStyle w:val="Fuentedeprrafopredeter"/>
          <w:rFonts w:ascii="Work Sans" w:eastAsia="DengXian Light" w:hAnsi="Work Sans" w:cs="Calibri"/>
          <w:i/>
          <w:iCs/>
          <w:sz w:val="18"/>
          <w:szCs w:val="18"/>
          <w:lang w:val="es-CO"/>
        </w:rPr>
        <w:t>Resolución No. 20213040018155 del 30 de</w:t>
      </w:r>
      <w:r>
        <w:rPr>
          <w:rStyle w:val="Fuentedeprrafopredeter"/>
          <w:rFonts w:ascii="Work Sans" w:eastAsia="DengXian Light" w:hAnsi="Work Sans" w:cs="Calibri"/>
          <w:i/>
          <w:iCs/>
          <w:sz w:val="18"/>
          <w:szCs w:val="18"/>
          <w:lang w:val="es-CO"/>
        </w:rPr>
        <w:t xml:space="preserve"> abril de 2021, modificada por la Resolución No. 20223040035885 del 24 de junio de 2022, expedidas por xxxx</w:t>
      </w:r>
      <w:r>
        <w:rPr>
          <w:rStyle w:val="Fuentedeprrafopredeter"/>
          <w:rFonts w:ascii="Work Sans" w:hAnsi="Work Sans" w:cs="Calibri"/>
          <w:i/>
          <w:iCs/>
          <w:sz w:val="18"/>
          <w:szCs w:val="18"/>
          <w:lang w:val="es-CO"/>
        </w:rPr>
        <w:t>. De conformidad con las disposiciones previstas en dichos actos administrativos, la actualización anual de las tarifas diferenciales debe efectuarse</w:t>
      </w:r>
      <w:r>
        <w:rPr>
          <w:rStyle w:val="Fuentedeprrafopredeter"/>
          <w:rFonts w:ascii="Work Sans" w:hAnsi="Work Sans" w:cs="Calibri"/>
          <w:i/>
          <w:iCs/>
          <w:sz w:val="18"/>
          <w:szCs w:val="18"/>
          <w:lang w:val="es-CO"/>
        </w:rPr>
        <w:t xml:space="preserve"> el 16 de enero de cada año, según la metodología establecida en cada resolución. </w:t>
      </w:r>
    </w:p>
    <w:p w:rsidR="00092772" w:rsidRDefault="00092772">
      <w:pPr>
        <w:ind w:left="426" w:right="481"/>
        <w:jc w:val="both"/>
        <w:rPr>
          <w:rFonts w:ascii="Work Sans" w:hAnsi="Work Sans" w:cs="Calibri"/>
          <w:b/>
          <w:bCs/>
          <w:i/>
          <w:iCs/>
          <w:sz w:val="18"/>
          <w:szCs w:val="18"/>
          <w:lang w:val="es-CO"/>
        </w:rPr>
      </w:pPr>
    </w:p>
    <w:p w:rsidR="00092772" w:rsidRDefault="00D44972">
      <w:pPr>
        <w:widowControl/>
        <w:numPr>
          <w:ilvl w:val="1"/>
          <w:numId w:val="20"/>
        </w:numPr>
        <w:ind w:left="426" w:right="481" w:firstLine="0"/>
        <w:jc w:val="both"/>
        <w:textAlignment w:val="auto"/>
        <w:rPr>
          <w:rFonts w:ascii="Work Sans" w:hAnsi="Work Sans" w:cs="Calibri"/>
          <w:b/>
          <w:bCs/>
          <w:i/>
          <w:iCs/>
          <w:sz w:val="18"/>
          <w:szCs w:val="18"/>
          <w:lang w:bidi="ar-SA"/>
        </w:rPr>
      </w:pPr>
      <w:r>
        <w:rPr>
          <w:rFonts w:ascii="Work Sans" w:hAnsi="Work Sans" w:cs="Calibri"/>
          <w:b/>
          <w:bCs/>
          <w:i/>
          <w:iCs/>
          <w:sz w:val="18"/>
          <w:szCs w:val="18"/>
          <w:lang w:bidi="ar-SA"/>
        </w:rPr>
        <w:t xml:space="preserve">ASPECTOS DE RIESGOS </w:t>
      </w:r>
    </w:p>
    <w:p w:rsidR="00092772" w:rsidRDefault="00092772">
      <w:pPr>
        <w:widowControl/>
        <w:ind w:left="426" w:right="481"/>
        <w:jc w:val="both"/>
        <w:rPr>
          <w:rFonts w:ascii="Work Sans" w:hAnsi="Work Sans" w:cs="Calibri"/>
          <w:b/>
          <w:bCs/>
          <w:i/>
          <w:iCs/>
          <w:sz w:val="18"/>
          <w:szCs w:val="18"/>
          <w:lang w:bidi="ar-SA"/>
        </w:rPr>
      </w:pPr>
    </w:p>
    <w:p w:rsidR="00092772" w:rsidRDefault="00D44972">
      <w:pPr>
        <w:ind w:left="426" w:right="481"/>
        <w:jc w:val="both"/>
        <w:rPr>
          <w:rFonts w:ascii="Work Sans" w:eastAsia="Arial" w:hAnsi="Work Sans" w:cs="Calibri"/>
          <w:i/>
          <w:iCs/>
          <w:sz w:val="18"/>
          <w:szCs w:val="18"/>
          <w:lang w:val="es"/>
        </w:rPr>
      </w:pPr>
      <w:r>
        <w:rPr>
          <w:rFonts w:ascii="Work Sans" w:eastAsia="Arial" w:hAnsi="Work Sans" w:cs="Calibri"/>
          <w:i/>
          <w:iCs/>
          <w:sz w:val="18"/>
          <w:szCs w:val="18"/>
          <w:lang w:val="es"/>
        </w:rPr>
        <w:t>La Gerencia de Riesgos de la VPRE de la Agencia Nacional de Infraestructura, mediante memorando radicado ANI No. 20226020155403 del 14 de diciembre de</w:t>
      </w:r>
      <w:r>
        <w:rPr>
          <w:rFonts w:ascii="Work Sans" w:eastAsia="Arial" w:hAnsi="Work Sans" w:cs="Calibri"/>
          <w:i/>
          <w:iCs/>
          <w:sz w:val="18"/>
          <w:szCs w:val="18"/>
          <w:lang w:val="es"/>
        </w:rPr>
        <w:t xml:space="preserve"> 2022, se pronunció de la siguiente manera:</w:t>
      </w:r>
    </w:p>
    <w:p w:rsidR="00092772" w:rsidRDefault="00092772">
      <w:pPr>
        <w:widowControl/>
        <w:ind w:left="426" w:right="481"/>
        <w:jc w:val="both"/>
        <w:rPr>
          <w:rFonts w:ascii="Work Sans" w:hAnsi="Work Sans" w:cs="Calibri"/>
          <w:i/>
          <w:iCs/>
          <w:sz w:val="18"/>
          <w:szCs w:val="18"/>
          <w:lang w:bidi="ar-SA"/>
        </w:rPr>
      </w:pPr>
    </w:p>
    <w:p w:rsidR="00092772" w:rsidRDefault="00D44972">
      <w:pPr>
        <w:ind w:left="426" w:right="481"/>
        <w:jc w:val="both"/>
        <w:rPr>
          <w:rFonts w:ascii="Work Sans" w:hAnsi="Work Sans" w:cs="Calibri"/>
          <w:i/>
          <w:iCs/>
          <w:sz w:val="18"/>
          <w:szCs w:val="18"/>
          <w:lang w:val="es-CO"/>
        </w:rPr>
      </w:pPr>
      <w:r>
        <w:rPr>
          <w:rFonts w:ascii="Work Sans" w:hAnsi="Work Sans" w:cs="Calibri"/>
          <w:i/>
          <w:iCs/>
          <w:sz w:val="18"/>
          <w:szCs w:val="18"/>
          <w:lang w:val="es-CO"/>
        </w:rPr>
        <w:t>“En respuesta a su solicitud y en atención a lo manifestado desde su Gerencia sobre la intención de modificar la Estructura Tarifaria, nos permitimos informar que como consecuencia de la aplicación de esta medid</w:t>
      </w:r>
      <w:r>
        <w:rPr>
          <w:rFonts w:ascii="Work Sans" w:hAnsi="Work Sans" w:cs="Calibri"/>
          <w:i/>
          <w:iCs/>
          <w:sz w:val="18"/>
          <w:szCs w:val="18"/>
          <w:lang w:val="es-CO"/>
        </w:rPr>
        <w:t>a se activa el Riesgo Tarifario a cargo de la ANI de que trata la Sección 13.3, literal (n) de la Parte General del Contrato de Concesión, la cual establece:</w:t>
      </w:r>
    </w:p>
    <w:p w:rsidR="00092772" w:rsidRDefault="00092772">
      <w:pPr>
        <w:widowControl/>
        <w:ind w:left="426" w:right="481"/>
        <w:jc w:val="both"/>
        <w:rPr>
          <w:rFonts w:ascii="Work Sans" w:hAnsi="Work Sans" w:cs="Calibri"/>
          <w:i/>
          <w:iCs/>
          <w:sz w:val="18"/>
          <w:szCs w:val="18"/>
          <w:lang w:bidi="ar-SA"/>
        </w:rPr>
      </w:pPr>
    </w:p>
    <w:p w:rsidR="00092772" w:rsidRDefault="00D44972">
      <w:pPr>
        <w:widowControl/>
        <w:ind w:left="426" w:right="481"/>
        <w:jc w:val="both"/>
        <w:rPr>
          <w:rFonts w:ascii="Work Sans" w:hAnsi="Work Sans" w:cs="Calibri"/>
          <w:i/>
          <w:iCs/>
          <w:sz w:val="18"/>
          <w:szCs w:val="18"/>
          <w:lang w:val="es-CO" w:eastAsia="es-ES_tradnl" w:bidi="ar-SA"/>
        </w:rPr>
      </w:pPr>
      <w:r>
        <w:rPr>
          <w:rFonts w:ascii="Work Sans" w:hAnsi="Work Sans" w:cs="Calibri"/>
          <w:i/>
          <w:iCs/>
          <w:sz w:val="18"/>
          <w:szCs w:val="18"/>
          <w:lang w:val="es-CO" w:eastAsia="es-ES_tradnl" w:bidi="ar-SA"/>
        </w:rPr>
        <w:t>“Parcialmente, los efectos desfavorables de modificaciones a las tarifas previstas en la Resoluci</w:t>
      </w:r>
      <w:r>
        <w:rPr>
          <w:rFonts w:ascii="Work Sans" w:hAnsi="Work Sans" w:cs="Calibri"/>
          <w:i/>
          <w:iCs/>
          <w:sz w:val="18"/>
          <w:szCs w:val="18"/>
          <w:lang w:val="es-CO" w:eastAsia="es-ES_tradnl" w:bidi="ar-SA"/>
        </w:rPr>
        <w:t xml:space="preserve">ón de Peaje, la implementación de nuevas tarifas diferenciales en las Estaciones de Peaje existentes y/o nuevas Estaciones de Peaje, en las vías que hacen parte del Proyecto o, en general, cualquier cambio en la estructura, categorías y valores tarifarios </w:t>
      </w:r>
      <w:r>
        <w:rPr>
          <w:rFonts w:ascii="Work Sans" w:hAnsi="Work Sans" w:cs="Calibri"/>
          <w:i/>
          <w:iCs/>
          <w:sz w:val="18"/>
          <w:szCs w:val="18"/>
          <w:lang w:val="es-CO" w:eastAsia="es-ES_tradnl" w:bidi="ar-SA"/>
        </w:rPr>
        <w:t>previstos en la Resolución de Peaje. Lo anterior, en la medida que la asunción de este riesgo conlleva, exclusivamente, la obligación de hacer los desembolsos a que se refiere la Sección 3.3(i) de esta Parte General, cuando se presente el supuesto de hecho</w:t>
      </w:r>
      <w:r>
        <w:rPr>
          <w:rFonts w:ascii="Work Sans" w:hAnsi="Work Sans" w:cs="Calibri"/>
          <w:i/>
          <w:iCs/>
          <w:sz w:val="18"/>
          <w:szCs w:val="18"/>
          <w:lang w:val="es-CO" w:eastAsia="es-ES_tradnl" w:bidi="ar-SA"/>
        </w:rPr>
        <w:t xml:space="preserve"> señalado en esa Sección. En este último caso, la ANI cumplirá con la obligación aquí prevista con los recursos disponibles en el Fondo de Contingencias, de ser ello viable y posible teniendo en cuenta las reglas aplicables a dicho Fondo y la suficiencia d</w:t>
      </w:r>
      <w:r>
        <w:rPr>
          <w:rFonts w:ascii="Work Sans" w:hAnsi="Work Sans" w:cs="Calibri"/>
          <w:i/>
          <w:iCs/>
          <w:sz w:val="18"/>
          <w:szCs w:val="18"/>
          <w:lang w:val="es-CO" w:eastAsia="es-ES_tradnl" w:bidi="ar-SA"/>
        </w:rPr>
        <w:t>e recursos. De no ser posible, la ANI procederá el traslado de recursos de la Subcuenta Excedentes ANI. De ser dichos recursos insuficientes, la ANI deberá gestionar la inclusión en su propio presupuesto de los recursos necesarios, previo el agotamiento de</w:t>
      </w:r>
      <w:r>
        <w:rPr>
          <w:rFonts w:ascii="Work Sans" w:hAnsi="Work Sans" w:cs="Calibri"/>
          <w:i/>
          <w:iCs/>
          <w:sz w:val="18"/>
          <w:szCs w:val="18"/>
          <w:lang w:val="es-CO" w:eastAsia="es-ES_tradnl" w:bidi="ar-SA"/>
        </w:rPr>
        <w:t xml:space="preserve"> los requisitos de Ley. En cualquier caso, aplicarán los plazos e intereses previstos en la Sección 3.6 de esta Parte General.”</w:t>
      </w:r>
    </w:p>
    <w:p w:rsidR="00092772" w:rsidRDefault="00D44972">
      <w:pPr>
        <w:widowControl/>
        <w:spacing w:before="100" w:after="100"/>
        <w:ind w:left="426" w:right="481"/>
        <w:jc w:val="both"/>
      </w:pPr>
      <w:r>
        <w:rPr>
          <w:rStyle w:val="Fuentedeprrafopredeter"/>
          <w:rFonts w:ascii="Work Sans" w:hAnsi="Work Sans" w:cs="Calibri"/>
          <w:i/>
          <w:iCs/>
          <w:sz w:val="18"/>
          <w:szCs w:val="18"/>
          <w:lang w:eastAsia="es-ES" w:bidi="ar-SA"/>
        </w:rPr>
        <w:t>Como se indicó anteriormente, la Modificación de la Estructura Tarifaria del peaje Aburrá, resultará en la activaci</w:t>
      </w:r>
      <w:r>
        <w:rPr>
          <w:rStyle w:val="Fuentedeprrafopredeter"/>
          <w:rFonts w:ascii="Work Sans" w:hAnsi="Work Sans" w:cs="Work Sans"/>
          <w:i/>
          <w:iCs/>
          <w:sz w:val="18"/>
          <w:szCs w:val="18"/>
          <w:lang w:eastAsia="es-ES" w:bidi="ar-SA"/>
        </w:rPr>
        <w:t>ó</w:t>
      </w:r>
      <w:r>
        <w:rPr>
          <w:rStyle w:val="Fuentedeprrafopredeter"/>
          <w:rFonts w:ascii="Work Sans" w:hAnsi="Work Sans" w:cs="Calibri"/>
          <w:i/>
          <w:iCs/>
          <w:sz w:val="18"/>
          <w:szCs w:val="18"/>
          <w:lang w:eastAsia="es-ES" w:bidi="ar-SA"/>
        </w:rPr>
        <w:t xml:space="preserve">n del </w:t>
      </w:r>
      <w:r>
        <w:rPr>
          <w:rStyle w:val="Fuentedeprrafopredeter"/>
          <w:rFonts w:ascii="Work Sans" w:hAnsi="Work Sans" w:cs="Calibri"/>
          <w:i/>
          <w:iCs/>
          <w:sz w:val="18"/>
          <w:szCs w:val="18"/>
          <w:lang w:eastAsia="es-ES" w:bidi="ar-SA"/>
        </w:rPr>
        <w:t>riesgo tarifario a cargo de la ANI contenido en la Secci</w:t>
      </w:r>
      <w:r>
        <w:rPr>
          <w:rStyle w:val="Fuentedeprrafopredeter"/>
          <w:rFonts w:ascii="Work Sans" w:hAnsi="Work Sans" w:cs="Work Sans"/>
          <w:i/>
          <w:iCs/>
          <w:sz w:val="18"/>
          <w:szCs w:val="18"/>
          <w:lang w:eastAsia="es-ES" w:bidi="ar-SA"/>
        </w:rPr>
        <w:t>ó</w:t>
      </w:r>
      <w:r>
        <w:rPr>
          <w:rStyle w:val="Fuentedeprrafopredeter"/>
          <w:rFonts w:ascii="Work Sans" w:hAnsi="Work Sans" w:cs="Calibri"/>
          <w:i/>
          <w:iCs/>
          <w:sz w:val="18"/>
          <w:szCs w:val="18"/>
          <w:lang w:eastAsia="es-ES" w:bidi="ar-SA"/>
        </w:rPr>
        <w:t>n 13.3 (n) de la Parte General del</w:t>
      </w:r>
      <w:r>
        <w:rPr>
          <w:rStyle w:val="Fuentedeprrafopredeter"/>
          <w:rFonts w:ascii="Work Sans" w:hAnsi="Work Sans" w:cs="Calibri"/>
          <w:i/>
          <w:iCs/>
          <w:sz w:val="18"/>
          <w:szCs w:val="18"/>
          <w:lang w:val="es-CO" w:bidi="ar-SA"/>
        </w:rPr>
        <w:t xml:space="preserve"> </w:t>
      </w:r>
      <w:r>
        <w:rPr>
          <w:rStyle w:val="Fuentedeprrafopredeter"/>
          <w:rFonts w:ascii="Work Sans" w:hAnsi="Work Sans" w:cs="Calibri"/>
          <w:i/>
          <w:iCs/>
          <w:sz w:val="18"/>
          <w:szCs w:val="18"/>
          <w:lang w:eastAsia="es-ES" w:bidi="ar-SA"/>
        </w:rPr>
        <w:t>Contrato de Concesión No. 014 de 2015 y, como resultado de esto, la ANI se encuentra obligada a compensar el diferencial tarifario en los términos de la Sección 3.3</w:t>
      </w:r>
      <w:r>
        <w:rPr>
          <w:rStyle w:val="Fuentedeprrafopredeter"/>
          <w:rFonts w:ascii="Work Sans" w:hAnsi="Work Sans" w:cs="Calibri"/>
          <w:i/>
          <w:iCs/>
          <w:sz w:val="18"/>
          <w:szCs w:val="18"/>
          <w:lang w:eastAsia="es-ES" w:bidi="ar-SA"/>
        </w:rPr>
        <w:t xml:space="preserve"> (i), la cual establece: </w:t>
      </w:r>
    </w:p>
    <w:p w:rsidR="00092772" w:rsidRDefault="00D44972">
      <w:pPr>
        <w:widowControl/>
        <w:spacing w:before="100" w:after="100"/>
        <w:ind w:left="426" w:right="481"/>
        <w:jc w:val="both"/>
        <w:rPr>
          <w:rFonts w:ascii="Work Sans" w:hAnsi="Work Sans" w:cs="Calibri"/>
          <w:i/>
          <w:iCs/>
          <w:sz w:val="18"/>
          <w:szCs w:val="18"/>
          <w:lang w:eastAsia="es-ES" w:bidi="ar-SA"/>
        </w:rPr>
      </w:pPr>
      <w:r>
        <w:rPr>
          <w:rFonts w:ascii="Work Sans" w:hAnsi="Work Sans" w:cs="Calibri"/>
          <w:i/>
          <w:iCs/>
          <w:sz w:val="18"/>
          <w:szCs w:val="18"/>
          <w:lang w:eastAsia="es-ES" w:bidi="ar-SA"/>
        </w:rPr>
        <w:t>“(...)</w:t>
      </w:r>
    </w:p>
    <w:p w:rsidR="00092772" w:rsidRDefault="00D44972">
      <w:pPr>
        <w:widowControl/>
        <w:spacing w:before="100" w:after="100"/>
        <w:ind w:left="426" w:right="481"/>
        <w:jc w:val="both"/>
      </w:pPr>
      <w:r>
        <w:rPr>
          <w:rStyle w:val="Fuentedeprrafopredeter"/>
          <w:rFonts w:ascii="Work Sans" w:hAnsi="Work Sans" w:cs="Calibri"/>
          <w:i/>
          <w:iCs/>
          <w:sz w:val="18"/>
          <w:szCs w:val="18"/>
          <w:lang w:eastAsia="es-ES" w:bidi="ar-SA"/>
        </w:rPr>
        <w:br/>
      </w:r>
      <w:r>
        <w:rPr>
          <w:rStyle w:val="Fuentedeprrafopredeter"/>
          <w:rFonts w:ascii="Work Sans" w:hAnsi="Work Sans" w:cs="Calibri"/>
          <w:i/>
          <w:iCs/>
          <w:sz w:val="18"/>
          <w:szCs w:val="18"/>
          <w:lang w:val="es-CO" w:bidi="ar-SA"/>
        </w:rPr>
        <w:t>(i) Si el Ministerio de Transporte o la entidad que resulte competente para fijar las tarifas de Peajedecide i) modificar dichas tarifas, ii) crear exenciones o tarifas especiales para ciertos usuarios, o iii) de cualquier</w:t>
      </w:r>
      <w:r>
        <w:rPr>
          <w:rStyle w:val="Fuentedeprrafopredeter"/>
          <w:rFonts w:ascii="Work Sans" w:hAnsi="Work Sans" w:cs="Calibri"/>
          <w:i/>
          <w:iCs/>
          <w:sz w:val="18"/>
          <w:szCs w:val="18"/>
          <w:lang w:val="es-CO" w:bidi="ar-SA"/>
        </w:rPr>
        <w:t xml:space="preserve"> otra forma afectar la estructura tarifaria que se desprende de la Resolución de Peaje vigente a la fecha de presentación de la Oferta por parte del Concesionario, se aplicarán las siguientes reglas: </w:t>
      </w:r>
    </w:p>
    <w:p w:rsidR="00092772" w:rsidRDefault="00D44972">
      <w:pPr>
        <w:widowControl/>
        <w:spacing w:before="100" w:after="100"/>
        <w:ind w:left="426" w:right="481"/>
        <w:jc w:val="both"/>
        <w:rPr>
          <w:rFonts w:ascii="Work Sans" w:hAnsi="Work Sans" w:cs="Calibri"/>
          <w:i/>
          <w:iCs/>
          <w:sz w:val="18"/>
          <w:szCs w:val="18"/>
          <w:lang w:val="es-CO" w:bidi="ar-SA"/>
        </w:rPr>
      </w:pPr>
      <w:r>
        <w:rPr>
          <w:rFonts w:ascii="Work Sans" w:hAnsi="Work Sans" w:cs="Calibri"/>
          <w:i/>
          <w:iCs/>
          <w:sz w:val="18"/>
          <w:szCs w:val="18"/>
          <w:lang w:val="es-CO" w:bidi="ar-SA"/>
        </w:rPr>
        <w:t xml:space="preserve">(i) Para cada trimestre de ejecución del Contrato </w:t>
      </w:r>
      <w:r>
        <w:rPr>
          <w:rFonts w:ascii="Work Sans" w:hAnsi="Work Sans" w:cs="Calibri"/>
          <w:i/>
          <w:iCs/>
          <w:sz w:val="18"/>
          <w:szCs w:val="18"/>
          <w:lang w:val="es-CO" w:bidi="ar-SA"/>
        </w:rPr>
        <w:t>se deberá calcular, entre el Interventor, el Supervisor y el Concesionario, la diferencia entre el Recaudo de Peaje que se hubiese producido de haberse aplicado la estructura tarifaria (debidamente indexada) prevista en la Resolución de Peaje y el Recaud</w:t>
      </w:r>
      <w:r>
        <w:rPr>
          <w:rFonts w:ascii="Work Sans" w:hAnsi="Work Sans" w:cs="Calibri"/>
          <w:i/>
          <w:iCs/>
          <w:sz w:val="18"/>
          <w:szCs w:val="18"/>
          <w:lang w:val="es-CO" w:bidi="ar-SA"/>
        </w:rPr>
        <w:t>o de Peaje correspondiente a las modificaciones adoptadas por el Ministerio de Transporte, de lo cual se dejará constancia en una acta suscrita dentro de los cinco (5) Días siguientes a la terminación de dicho trimestre. En caso de existir diferencias e</w:t>
      </w:r>
      <w:r>
        <w:rPr>
          <w:rFonts w:ascii="Work Sans" w:hAnsi="Work Sans" w:cs="Calibri"/>
          <w:i/>
          <w:iCs/>
          <w:sz w:val="18"/>
          <w:szCs w:val="18"/>
          <w:lang w:val="es-CO" w:bidi="ar-SA"/>
        </w:rPr>
        <w:t xml:space="preserve">ntre las Partes, éstas acudirán al Amigable Componedor para que resuelva la controversia. </w:t>
      </w:r>
    </w:p>
    <w:p w:rsidR="00092772" w:rsidRDefault="00D44972">
      <w:pPr>
        <w:widowControl/>
        <w:spacing w:before="100" w:after="100"/>
        <w:ind w:left="426" w:right="481"/>
        <w:jc w:val="both"/>
        <w:rPr>
          <w:rFonts w:ascii="Work Sans" w:hAnsi="Work Sans" w:cs="Calibri"/>
          <w:i/>
          <w:iCs/>
          <w:sz w:val="18"/>
          <w:szCs w:val="18"/>
          <w:lang w:val="es-CO" w:bidi="ar-SA"/>
        </w:rPr>
      </w:pPr>
      <w:r>
        <w:rPr>
          <w:rFonts w:ascii="Work Sans" w:hAnsi="Work Sans" w:cs="Calibri"/>
          <w:i/>
          <w:iCs/>
          <w:sz w:val="18"/>
          <w:szCs w:val="18"/>
          <w:lang w:val="es-CO" w:bidi="ar-SA"/>
        </w:rPr>
        <w:t>(ii) El valor resultante derivado del menor Recaudo de Peaje deberá ser consignado por la ANI en la Subcuenta Recaudo Peaje con los recursos disponibles en el Fon</w:t>
      </w:r>
      <w:r>
        <w:rPr>
          <w:rFonts w:ascii="Work Sans" w:hAnsi="Work Sans" w:cs="Calibri"/>
          <w:i/>
          <w:iCs/>
          <w:sz w:val="18"/>
          <w:szCs w:val="18"/>
          <w:lang w:val="es-CO" w:bidi="ar-SA"/>
        </w:rPr>
        <w:t>do de Contingencias, teniendo en cuenta las reglas aplicables a dicho Fondo y la suficiencia de recursos. De no ser posible, la ANI procederá el traslado de recursos de la Subcuenta Excedentes ANI. De ser dichos recursos insuficientes, la ANI deberá gest</w:t>
      </w:r>
      <w:r>
        <w:rPr>
          <w:rFonts w:ascii="Work Sans" w:hAnsi="Work Sans" w:cs="Calibri"/>
          <w:i/>
          <w:iCs/>
          <w:sz w:val="18"/>
          <w:szCs w:val="18"/>
          <w:lang w:val="es-CO" w:bidi="ar-SA"/>
        </w:rPr>
        <w:t>ionar la inclusión en su propio presupuesto de los recursos necesarios, previo el agotamiento de los requisitos de Ley. En cualquier caso, aplicarán los plazos e intereses previstos en la Sección 3.6 de esta Parte General. Estos plazos comenzarán a con</w:t>
      </w:r>
      <w:r>
        <w:rPr>
          <w:rFonts w:ascii="Work Sans" w:hAnsi="Work Sans" w:cs="Calibri"/>
          <w:i/>
          <w:iCs/>
          <w:sz w:val="18"/>
          <w:szCs w:val="18"/>
          <w:lang w:val="es-CO" w:bidi="ar-SA"/>
        </w:rPr>
        <w:t xml:space="preserve">tar desde la suscripción del acta de cálculo trimestral o desde la solución de la controversia, de ser el caso. </w:t>
      </w:r>
    </w:p>
    <w:p w:rsidR="00092772" w:rsidRDefault="00D44972">
      <w:pPr>
        <w:widowControl/>
        <w:spacing w:before="100" w:after="100"/>
        <w:ind w:left="426" w:right="481"/>
        <w:jc w:val="both"/>
      </w:pPr>
      <w:r>
        <w:rPr>
          <w:rStyle w:val="Fuentedeprrafopredeter"/>
          <w:rFonts w:ascii="Work Sans" w:hAnsi="Work Sans" w:cs="Calibri"/>
          <w:i/>
          <w:iCs/>
          <w:sz w:val="18"/>
          <w:szCs w:val="18"/>
          <w:lang w:val="es-CO" w:bidi="ar-SA"/>
        </w:rPr>
        <w:t>(iii) Estos recursos así aportados por la ANI, se tendrán en cuenta como parte del Recaudo de Peaje, para todos los efectos previstos en e</w:t>
      </w:r>
      <w:r>
        <w:rPr>
          <w:rStyle w:val="Fuentedeprrafopredeter"/>
          <w:rFonts w:ascii="Work Sans" w:hAnsi="Work Sans" w:cs="Calibri"/>
          <w:i/>
          <w:iCs/>
          <w:sz w:val="18"/>
          <w:szCs w:val="18"/>
          <w:lang w:val="es-CO" w:bidi="ar-SA"/>
        </w:rPr>
        <w:t>ste Contrato, entre ellos –pero sin limitarse– para el cálculo de la Retribución, de la DR8, DR13, DR18 y del VPIPm (</w:t>
      </w:r>
      <w:r>
        <w:rPr>
          <w:rStyle w:val="Fuentedeprrafopredeter"/>
          <w:rFonts w:ascii="Work Sans" w:hAnsi="Work Sans" w:cs="Work Sans"/>
          <w:i/>
          <w:iCs/>
          <w:sz w:val="18"/>
          <w:szCs w:val="18"/>
          <w:lang w:val="es-CO" w:bidi="ar-SA"/>
        </w:rPr>
        <w:t>…</w:t>
      </w:r>
      <w:r>
        <w:rPr>
          <w:rStyle w:val="Fuentedeprrafopredeter"/>
          <w:rFonts w:ascii="Work Sans" w:hAnsi="Work Sans" w:cs="Calibri"/>
          <w:i/>
          <w:iCs/>
          <w:sz w:val="18"/>
          <w:szCs w:val="18"/>
          <w:lang w:val="es-CO" w:bidi="ar-SA"/>
        </w:rPr>
        <w:t>)</w:t>
      </w:r>
      <w:r>
        <w:rPr>
          <w:rStyle w:val="Fuentedeprrafopredeter"/>
          <w:rFonts w:ascii="Work Sans" w:hAnsi="Work Sans" w:cs="Work Sans"/>
          <w:i/>
          <w:iCs/>
          <w:sz w:val="18"/>
          <w:szCs w:val="18"/>
          <w:lang w:val="es-CO" w:bidi="ar-SA"/>
        </w:rPr>
        <w:t>”</w:t>
      </w:r>
      <w:r>
        <w:rPr>
          <w:rStyle w:val="Fuentedeprrafopredeter"/>
          <w:rFonts w:ascii="Work Sans" w:hAnsi="Work Sans" w:cs="Calibri"/>
          <w:i/>
          <w:iCs/>
          <w:sz w:val="18"/>
          <w:szCs w:val="18"/>
          <w:lang w:val="es-CO" w:bidi="ar-SA"/>
        </w:rPr>
        <w:t>.</w:t>
      </w:r>
    </w:p>
    <w:p w:rsidR="00092772" w:rsidRDefault="00D44972">
      <w:pPr>
        <w:widowControl/>
        <w:spacing w:before="100" w:after="100"/>
        <w:ind w:left="426" w:right="481"/>
        <w:jc w:val="both"/>
        <w:rPr>
          <w:rFonts w:ascii="Work Sans" w:hAnsi="Work Sans" w:cs="Calibri"/>
          <w:i/>
          <w:iCs/>
          <w:sz w:val="18"/>
          <w:szCs w:val="18"/>
          <w:lang w:eastAsia="es-ES" w:bidi="ar-SA"/>
        </w:rPr>
      </w:pPr>
      <w:r>
        <w:rPr>
          <w:rFonts w:ascii="Work Sans" w:hAnsi="Work Sans" w:cs="Calibri"/>
          <w:i/>
          <w:iCs/>
          <w:sz w:val="18"/>
          <w:szCs w:val="18"/>
          <w:lang w:eastAsia="es-ES" w:bidi="ar-SA"/>
        </w:rPr>
        <w:t>De acuerdo con proyecciones realizadas desde el GIT Riesgos, el diferencial tarifario para los meses noviembre y diciembre de 2022 s</w:t>
      </w:r>
      <w:r>
        <w:rPr>
          <w:rFonts w:ascii="Work Sans" w:hAnsi="Work Sans" w:cs="Calibri"/>
          <w:i/>
          <w:iCs/>
          <w:sz w:val="18"/>
          <w:szCs w:val="18"/>
          <w:lang w:eastAsia="es-ES" w:bidi="ar-SA"/>
        </w:rPr>
        <w:t>e valora en $2.720.000.000 pesos de diciembre de 2012, mientras que para los años 2023 y 2024 se valora en $14.240.000.000 y $6.217.000.000 de diciembre de 2012, respectivamente. Acorde con los datos presentados, se observa que los recursos actuales en Fon</w:t>
      </w:r>
      <w:r>
        <w:rPr>
          <w:rFonts w:ascii="Work Sans" w:hAnsi="Work Sans" w:cs="Calibri"/>
          <w:i/>
          <w:iCs/>
          <w:sz w:val="18"/>
          <w:szCs w:val="18"/>
          <w:lang w:eastAsia="es-ES" w:bidi="ar-SA"/>
        </w:rPr>
        <w:t xml:space="preserve">do de Contingencias para el riesgo tarifario no son suficientes. </w:t>
      </w:r>
    </w:p>
    <w:p w:rsidR="00092772" w:rsidRDefault="00D44972">
      <w:pPr>
        <w:widowControl/>
        <w:spacing w:before="100" w:after="100"/>
        <w:ind w:left="426" w:right="481"/>
        <w:jc w:val="both"/>
      </w:pPr>
      <w:r>
        <w:rPr>
          <w:rStyle w:val="Fuentedeprrafopredeter"/>
          <w:rFonts w:ascii="Work Sans" w:hAnsi="Work Sans" w:cs="Calibri"/>
          <w:i/>
          <w:iCs/>
          <w:sz w:val="18"/>
          <w:szCs w:val="18"/>
          <w:lang w:val="es-CO" w:bidi="ar-SA"/>
        </w:rPr>
        <w:t>Es por lo anterior que se está a la espera de la aprobación por parte del Ministerio de Hacienda y Crédito Público – MHCP de la actualización del Plan de Aportes al Fondo de Contingencias, t</w:t>
      </w:r>
      <w:r>
        <w:rPr>
          <w:rStyle w:val="Fuentedeprrafopredeter"/>
          <w:rFonts w:ascii="Work Sans" w:hAnsi="Work Sans" w:cs="Calibri"/>
          <w:i/>
          <w:iCs/>
          <w:sz w:val="18"/>
          <w:szCs w:val="18"/>
          <w:lang w:val="es-CO" w:bidi="ar-SA"/>
        </w:rPr>
        <w:t>rámite que tiene como objetivo contar con los recursos necesarios para cumplir con la materialización del riesgo tarifario por no incremento de tarifas en el proyecto, gestión que se encuentra en proceso por parte del GIT de Riesgos.</w:t>
      </w:r>
      <w:r>
        <w:rPr>
          <w:rStyle w:val="Fuentedeprrafopredeter"/>
          <w:rFonts w:ascii="Work Sans" w:hAnsi="Work Sans" w:cs="Times New Roman"/>
          <w:sz w:val="18"/>
          <w:szCs w:val="18"/>
          <w:lang w:val="es-CO" w:bidi="ar-SA"/>
        </w:rPr>
        <w:t xml:space="preserve"> </w:t>
      </w:r>
    </w:p>
    <w:p w:rsidR="00092772" w:rsidRDefault="00D44972">
      <w:pPr>
        <w:widowControl/>
        <w:spacing w:before="100" w:after="100"/>
        <w:ind w:left="426" w:right="481"/>
        <w:jc w:val="both"/>
        <w:rPr>
          <w:rFonts w:ascii="Work Sans" w:hAnsi="Work Sans" w:cs="Calibri"/>
          <w:i/>
          <w:iCs/>
          <w:sz w:val="18"/>
          <w:szCs w:val="18"/>
          <w:lang w:val="es-CO" w:bidi="ar-SA"/>
        </w:rPr>
      </w:pPr>
      <w:r>
        <w:rPr>
          <w:rFonts w:ascii="Work Sans" w:hAnsi="Work Sans" w:cs="Calibri"/>
          <w:i/>
          <w:iCs/>
          <w:sz w:val="18"/>
          <w:szCs w:val="18"/>
          <w:lang w:val="es-CO" w:bidi="ar-SA"/>
        </w:rPr>
        <w:t>No obstante lo anteri</w:t>
      </w:r>
      <w:r>
        <w:rPr>
          <w:rFonts w:ascii="Work Sans" w:hAnsi="Work Sans" w:cs="Calibri"/>
          <w:i/>
          <w:iCs/>
          <w:sz w:val="18"/>
          <w:szCs w:val="18"/>
          <w:lang w:val="es-CO" w:bidi="ar-SA"/>
        </w:rPr>
        <w:t>or, una vez materializado el riesgo tarifario que debe ser reconocido trimestralmente y, de no contarse con recursos suficientes en fondo de contingencias, de acuerdo a lo establecido en la Sección 3.3 (i) se procederá al reconocimiento del riesgo con la s</w:t>
      </w:r>
      <w:r>
        <w:rPr>
          <w:rFonts w:ascii="Work Sans" w:hAnsi="Work Sans" w:cs="Calibri"/>
          <w:i/>
          <w:iCs/>
          <w:sz w:val="18"/>
          <w:szCs w:val="18"/>
          <w:lang w:val="es-CO" w:bidi="ar-SA"/>
        </w:rPr>
        <w:t>egunda fuente de compensación que corresponde a la Subcuenta Excedentes ANI.”</w:t>
      </w:r>
    </w:p>
    <w:p w:rsidR="00092772" w:rsidRDefault="00D44972">
      <w:pPr>
        <w:widowControl/>
        <w:numPr>
          <w:ilvl w:val="0"/>
          <w:numId w:val="20"/>
        </w:numPr>
        <w:ind w:left="426" w:right="481" w:firstLine="0"/>
        <w:jc w:val="both"/>
        <w:textAlignment w:val="auto"/>
        <w:rPr>
          <w:rFonts w:ascii="Work Sans" w:eastAsia="Arial" w:hAnsi="Work Sans" w:cs="Calibri"/>
          <w:b/>
          <w:bCs/>
          <w:i/>
          <w:iCs/>
          <w:sz w:val="18"/>
          <w:szCs w:val="18"/>
          <w:shd w:val="clear" w:color="auto" w:fill="FFFF00"/>
          <w:lang w:val="es" w:bidi="ar-SA"/>
        </w:rPr>
      </w:pPr>
      <w:r>
        <w:rPr>
          <w:rFonts w:ascii="Work Sans" w:eastAsia="Arial" w:hAnsi="Work Sans" w:cs="Calibri"/>
          <w:b/>
          <w:bCs/>
          <w:i/>
          <w:iCs/>
          <w:sz w:val="18"/>
          <w:szCs w:val="18"/>
          <w:shd w:val="clear" w:color="auto" w:fill="FFFF00"/>
          <w:lang w:val="es" w:bidi="ar-SA"/>
        </w:rPr>
        <w:t>CONCEPTO DE LA INTERVENTORÍA DEL PROYECTO</w:t>
      </w:r>
    </w:p>
    <w:p w:rsidR="00092772" w:rsidRDefault="00092772">
      <w:pPr>
        <w:tabs>
          <w:tab w:val="left" w:pos="1134"/>
        </w:tabs>
        <w:ind w:left="426" w:right="481"/>
        <w:jc w:val="both"/>
        <w:rPr>
          <w:rFonts w:ascii="Work Sans" w:eastAsia="Arial" w:hAnsi="Work Sans" w:cs="Calibri"/>
          <w:i/>
          <w:iCs/>
          <w:sz w:val="18"/>
          <w:szCs w:val="18"/>
          <w:shd w:val="clear" w:color="auto" w:fill="FFFF00"/>
          <w:lang w:val="es"/>
        </w:rPr>
      </w:pPr>
    </w:p>
    <w:p w:rsidR="00092772" w:rsidRDefault="00D44972">
      <w:pPr>
        <w:ind w:left="426" w:right="481"/>
        <w:jc w:val="both"/>
      </w:pPr>
      <w:r>
        <w:rPr>
          <w:rStyle w:val="Fuentedeprrafopredeter"/>
          <w:rFonts w:ascii="Work Sans" w:eastAsia="Arial" w:hAnsi="Work Sans" w:cs="Calibri"/>
          <w:i/>
          <w:iCs/>
          <w:sz w:val="18"/>
          <w:szCs w:val="18"/>
          <w:lang w:val="es"/>
        </w:rPr>
        <w:t xml:space="preserve">El Consorcio Epsilon 4G mediante </w:t>
      </w:r>
      <w:bookmarkStart w:id="4" w:name="_Hlk121923447"/>
      <w:r>
        <w:rPr>
          <w:rStyle w:val="Fuentedeprrafopredeter"/>
          <w:rFonts w:ascii="Work Sans" w:eastAsia="Arial" w:hAnsi="Work Sans" w:cs="Calibri"/>
          <w:i/>
          <w:iCs/>
          <w:sz w:val="18"/>
          <w:szCs w:val="18"/>
          <w:lang w:val="es"/>
        </w:rPr>
        <w:t xml:space="preserve">documento EPS4G-1624-22 con radicado ANI No </w:t>
      </w:r>
      <w:hyperlink r:id="rId13" w:history="1">
        <w:r>
          <w:rPr>
            <w:rStyle w:val="Fuentedeprrafopredeter"/>
            <w:rFonts w:ascii="Work Sans" w:eastAsia="Arial" w:hAnsi="Work Sans" w:cs="Calibri"/>
            <w:i/>
            <w:iCs/>
            <w:sz w:val="18"/>
            <w:szCs w:val="18"/>
            <w:lang w:val="es"/>
          </w:rPr>
          <w:t>20224091379362</w:t>
        </w:r>
      </w:hyperlink>
      <w:r>
        <w:rPr>
          <w:rStyle w:val="Fuentedeprrafopredeter"/>
          <w:rFonts w:ascii="Work Sans" w:eastAsia="Arial" w:hAnsi="Work Sans" w:cs="Calibri"/>
          <w:i/>
          <w:iCs/>
          <w:sz w:val="18"/>
          <w:szCs w:val="18"/>
          <w:lang w:val="es"/>
        </w:rPr>
        <w:t xml:space="preserve"> de fecha 9 de diciembre de 2022</w:t>
      </w:r>
      <w:bookmarkEnd w:id="4"/>
      <w:r>
        <w:rPr>
          <w:rStyle w:val="Fuentedeprrafopredeter"/>
          <w:rFonts w:ascii="Work Sans" w:eastAsia="Arial" w:hAnsi="Work Sans" w:cs="Calibri"/>
          <w:i/>
          <w:iCs/>
          <w:sz w:val="18"/>
          <w:szCs w:val="18"/>
          <w:lang w:val="es"/>
        </w:rPr>
        <w:t>, se pronunció de la siguiente manera:</w:t>
      </w:r>
    </w:p>
    <w:p w:rsidR="00092772" w:rsidRDefault="00092772">
      <w:pPr>
        <w:ind w:left="426" w:right="481"/>
        <w:jc w:val="both"/>
        <w:rPr>
          <w:rFonts w:ascii="Work Sans" w:eastAsia="Arial" w:hAnsi="Work Sans" w:cs="Calibri"/>
          <w:i/>
          <w:iCs/>
          <w:sz w:val="18"/>
          <w:szCs w:val="18"/>
          <w:shd w:val="clear" w:color="auto" w:fill="FFFF00"/>
          <w:lang w:val="es"/>
        </w:rPr>
      </w:pPr>
    </w:p>
    <w:p w:rsidR="00092772" w:rsidRDefault="00D44972">
      <w:pPr>
        <w:widowControl/>
        <w:ind w:left="426" w:right="481"/>
        <w:jc w:val="both"/>
      </w:pPr>
      <w:r>
        <w:rPr>
          <w:rStyle w:val="Fuentedeprrafopredeter"/>
          <w:rFonts w:ascii="Work Sans" w:hAnsi="Work Sans" w:cs="Calibri"/>
          <w:b/>
          <w:i/>
          <w:iCs/>
          <w:sz w:val="18"/>
          <w:szCs w:val="18"/>
          <w:lang w:bidi="ar-SA"/>
        </w:rPr>
        <w:t>“</w:t>
      </w:r>
      <w:r>
        <w:rPr>
          <w:rStyle w:val="Fuentedeprrafopredeter"/>
          <w:rFonts w:ascii="Work Sans" w:hAnsi="Work Sans" w:cs="Calibri"/>
          <w:i/>
          <w:iCs/>
          <w:sz w:val="18"/>
          <w:szCs w:val="18"/>
          <w:lang w:bidi="ar-SA"/>
        </w:rPr>
        <w:t>En el marco del contrato de interventoría No 0478 de 2015, y a los compromisos de vigilancia y</w:t>
      </w:r>
      <w:r>
        <w:rPr>
          <w:rStyle w:val="Fuentedeprrafopredeter"/>
          <w:rFonts w:ascii="Work Sans" w:hAnsi="Work Sans" w:cs="Calibri"/>
          <w:i/>
          <w:iCs/>
          <w:sz w:val="18"/>
          <w:szCs w:val="18"/>
          <w:lang w:bidi="ar-SA"/>
        </w:rPr>
        <w:t xml:space="preserve"> control, respecto al contrato de concesión bajo la modalidad APP No 014 de 2015, nos permitimos manifestarnos en los siguientes términos, no sin antes realizar un recuento de la trazabilidad de comunicados referidos con el incremento del peaje Aburrá por </w:t>
      </w:r>
      <w:r>
        <w:rPr>
          <w:rStyle w:val="Fuentedeprrafopredeter"/>
          <w:rFonts w:ascii="Work Sans" w:hAnsi="Work Sans" w:cs="Calibri"/>
          <w:i/>
          <w:iCs/>
          <w:sz w:val="18"/>
          <w:szCs w:val="18"/>
          <w:lang w:bidi="ar-SA"/>
        </w:rPr>
        <w:t>terminación de la Unidad Funcional 3:</w:t>
      </w:r>
    </w:p>
    <w:p w:rsidR="00092772" w:rsidRDefault="00092772">
      <w:pPr>
        <w:widowControl/>
        <w:ind w:left="426" w:right="481"/>
        <w:jc w:val="both"/>
        <w:rPr>
          <w:rFonts w:ascii="Work Sans" w:hAnsi="Work Sans" w:cs="Calibri"/>
          <w:i/>
          <w:iCs/>
          <w:sz w:val="18"/>
          <w:szCs w:val="18"/>
          <w:lang w:bidi="ar-SA"/>
        </w:rPr>
      </w:pP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1. El Concesionario con comunicado 02-01-20221013-002708 (radicado de entrada ANI 20224091215862 del 27/10/22) – remite las Nuevas tarifas del Peaje de Aburrá por suscripción del Acta de Terminación de la Unidad Funci</w:t>
      </w:r>
      <w:r>
        <w:rPr>
          <w:rFonts w:ascii="Work Sans" w:hAnsi="Work Sans" w:cs="Calibri"/>
          <w:i/>
          <w:iCs/>
          <w:sz w:val="18"/>
          <w:szCs w:val="18"/>
          <w:lang w:bidi="ar-SA"/>
        </w:rPr>
        <w:t xml:space="preserve">onal 3. </w:t>
      </w: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 xml:space="preserve">2. Dicho comunicado fue atendido con comunicado EPS4G-1388-22 del 26/10/22 con radicado ANI 20224091207012). </w:t>
      </w: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3. El concesionario con comunicado Radicado No 02-01-20221027002866 (radicado ANI 20224091215862) del 27 de octubre de 2022, da alcance a</w:t>
      </w:r>
      <w:r>
        <w:rPr>
          <w:rFonts w:ascii="Work Sans" w:hAnsi="Work Sans" w:cs="Calibri"/>
          <w:i/>
          <w:iCs/>
          <w:sz w:val="18"/>
          <w:szCs w:val="18"/>
          <w:lang w:bidi="ar-SA"/>
        </w:rPr>
        <w:t xml:space="preserve">l comunicado 02-01-20221013-002708 (radicado de entrada ANI 20224091215862 del 27/10/22) y somete nuevamente a consideración de la Interventoría las nuevas tarifas del peaje de Aburrá por suscripción del Acta de Terminación de la Unidad Funcional 3. </w:t>
      </w: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4. Di</w:t>
      </w:r>
      <w:r>
        <w:rPr>
          <w:rFonts w:ascii="Work Sans" w:hAnsi="Work Sans" w:cs="Calibri"/>
          <w:i/>
          <w:iCs/>
          <w:sz w:val="18"/>
          <w:szCs w:val="18"/>
          <w:lang w:bidi="ar-SA"/>
        </w:rPr>
        <w:t xml:space="preserve">cho comunicado fue atendido con comunicado EPS4G-1484-22 del 9/11/22 con radicado ANI 20224091260372). </w:t>
      </w: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5. El concesionario con comunicado Radicado No 02-01-20221115003029 (radicado ANI 20224091280452) del 15 de noviembre de 2022, da Alcance al Oficio menc</w:t>
      </w:r>
      <w:r>
        <w:rPr>
          <w:rFonts w:ascii="Work Sans" w:hAnsi="Work Sans" w:cs="Calibri"/>
          <w:i/>
          <w:iCs/>
          <w:sz w:val="18"/>
          <w:szCs w:val="18"/>
          <w:lang w:bidi="ar-SA"/>
        </w:rPr>
        <w:t xml:space="preserve">ionado en el numeral 3. (Radicado No 02-01-20221027002866 (radicado ANI 20224091215862) del 27 de octubre de 2022), – Incremento tarifa de Peaje de Aburrá. </w:t>
      </w: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 xml:space="preserve">6. El concesionario con comunicado Radicado No 02-01-20221128003160 (radicado ANI 20224091334692) </w:t>
      </w:r>
      <w:r>
        <w:rPr>
          <w:rFonts w:ascii="Work Sans" w:hAnsi="Work Sans" w:cs="Calibri"/>
          <w:i/>
          <w:iCs/>
          <w:sz w:val="18"/>
          <w:szCs w:val="18"/>
          <w:lang w:bidi="ar-SA"/>
        </w:rPr>
        <w:t xml:space="preserve">del 28 de noviembre de 2022, da Alcance al Oficio mencionado en el numeral 5. (Radicado No 02-01-20221115003029 (radicado ANI 20224091280452) del 15 de noviembre de 2022,), – Incremento tarifa de Peaje de Aburrá. </w:t>
      </w:r>
    </w:p>
    <w:p w:rsidR="00092772" w:rsidRDefault="00092772">
      <w:pPr>
        <w:widowControl/>
        <w:ind w:left="426" w:right="481"/>
        <w:jc w:val="both"/>
        <w:rPr>
          <w:rFonts w:ascii="Work Sans" w:hAnsi="Work Sans" w:cs="Calibri"/>
          <w:i/>
          <w:iCs/>
          <w:sz w:val="18"/>
          <w:szCs w:val="18"/>
          <w:lang w:bidi="ar-SA"/>
        </w:rPr>
      </w:pPr>
    </w:p>
    <w:p w:rsidR="00092772" w:rsidRDefault="00D44972">
      <w:pPr>
        <w:widowControl/>
        <w:ind w:left="426" w:right="481"/>
        <w:jc w:val="both"/>
        <w:rPr>
          <w:rFonts w:ascii="Work Sans" w:hAnsi="Work Sans" w:cs="Calibri"/>
          <w:i/>
          <w:iCs/>
          <w:sz w:val="18"/>
          <w:szCs w:val="18"/>
          <w:lang w:bidi="ar-SA"/>
        </w:rPr>
      </w:pPr>
      <w:r>
        <w:rPr>
          <w:rFonts w:ascii="Work Sans" w:hAnsi="Work Sans" w:cs="Calibri"/>
          <w:i/>
          <w:iCs/>
          <w:sz w:val="18"/>
          <w:szCs w:val="18"/>
          <w:lang w:bidi="ar-SA"/>
        </w:rPr>
        <w:t xml:space="preserve">Por lo anterior y con base en el </w:t>
      </w:r>
      <w:r>
        <w:rPr>
          <w:rFonts w:ascii="Work Sans" w:hAnsi="Work Sans" w:cs="Calibri"/>
          <w:i/>
          <w:iCs/>
          <w:sz w:val="18"/>
          <w:szCs w:val="18"/>
          <w:lang w:bidi="ar-SA"/>
        </w:rPr>
        <w:t xml:space="preserve">comunicado enunciado en el numeral 6, nos permitimos pronunciarnos en los siguientes términos: </w:t>
      </w:r>
    </w:p>
    <w:p w:rsidR="00092772" w:rsidRDefault="00092772">
      <w:pPr>
        <w:widowControl/>
        <w:ind w:left="426" w:right="481"/>
        <w:jc w:val="both"/>
        <w:rPr>
          <w:rFonts w:ascii="Work Sans" w:hAnsi="Work Sans" w:cs="Calibri"/>
          <w:i/>
          <w:iCs/>
          <w:sz w:val="18"/>
          <w:szCs w:val="18"/>
          <w:lang w:bidi="ar-SA"/>
        </w:rPr>
      </w:pPr>
    </w:p>
    <w:p w:rsidR="00092772" w:rsidRDefault="00D44972">
      <w:pPr>
        <w:widowControl/>
        <w:ind w:left="426" w:right="481"/>
        <w:jc w:val="both"/>
      </w:pPr>
      <w:r>
        <w:rPr>
          <w:rStyle w:val="Fuentedeprrafopredeter"/>
          <w:rFonts w:ascii="Work Sans" w:hAnsi="Work Sans" w:cs="Calibri"/>
          <w:i/>
          <w:iCs/>
          <w:sz w:val="18"/>
          <w:szCs w:val="18"/>
          <w:lang w:bidi="ar-SA"/>
        </w:rPr>
        <w:t>El Concesionario, con el oficio de la referencia, envió las nuevas tarifas del Peaje de Aburrá por la suscripción del Acta de Terminación de la Unidad Funciona</w:t>
      </w:r>
      <w:r>
        <w:rPr>
          <w:rStyle w:val="Fuentedeprrafopredeter"/>
          <w:rFonts w:ascii="Work Sans" w:hAnsi="Work Sans" w:cs="Calibri"/>
          <w:i/>
          <w:iCs/>
          <w:sz w:val="18"/>
          <w:szCs w:val="18"/>
          <w:lang w:bidi="ar-SA"/>
        </w:rPr>
        <w:t>l 3 así:</w:t>
      </w:r>
    </w:p>
    <w:p w:rsidR="00092772" w:rsidRDefault="00092772">
      <w:pPr>
        <w:widowControl/>
        <w:ind w:left="284" w:right="333"/>
        <w:jc w:val="both"/>
        <w:rPr>
          <w:rFonts w:ascii="Work Sans" w:hAnsi="Work Sans" w:cs="Calibri"/>
          <w:b/>
          <w:i/>
          <w:iCs/>
          <w:sz w:val="18"/>
          <w:szCs w:val="18"/>
          <w:lang w:bidi="ar-SA"/>
        </w:rPr>
      </w:pPr>
    </w:p>
    <w:p w:rsidR="00092772" w:rsidRDefault="00D44972">
      <w:pPr>
        <w:widowControl/>
        <w:ind w:left="284" w:right="333"/>
        <w:jc w:val="center"/>
      </w:pPr>
      <w:r>
        <w:rPr>
          <w:rStyle w:val="Fuentedeprrafopredeter"/>
          <w:rFonts w:ascii="Work Sans" w:hAnsi="Work Sans" w:cs="Calibri"/>
          <w:i/>
          <w:iCs/>
          <w:noProof/>
          <w:sz w:val="18"/>
          <w:szCs w:val="18"/>
          <w:lang w:val="en-US" w:eastAsia="en-US" w:bidi="ar-SA"/>
        </w:rPr>
        <w:drawing>
          <wp:inline distT="0" distB="0" distL="0" distR="0">
            <wp:extent cx="3362733" cy="1785457"/>
            <wp:effectExtent l="0" t="0" r="9117" b="5243"/>
            <wp:docPr id="5" name="Imagen 4"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62733" cy="1785457"/>
                    </a:xfrm>
                    <a:prstGeom prst="rect">
                      <a:avLst/>
                    </a:prstGeom>
                    <a:noFill/>
                    <a:ln>
                      <a:noFill/>
                      <a:prstDash/>
                    </a:ln>
                  </pic:spPr>
                </pic:pic>
              </a:graphicData>
            </a:graphic>
          </wp:inline>
        </w:drawing>
      </w:r>
    </w:p>
    <w:p w:rsidR="00092772" w:rsidRDefault="00092772">
      <w:pPr>
        <w:widowControl/>
        <w:ind w:left="284" w:right="333"/>
        <w:jc w:val="both"/>
        <w:rPr>
          <w:rFonts w:ascii="Work Sans" w:hAnsi="Work Sans" w:cs="Calibri"/>
          <w:b/>
          <w:i/>
          <w:iCs/>
          <w:sz w:val="18"/>
          <w:szCs w:val="18"/>
          <w:lang w:bidi="ar-SA"/>
        </w:rPr>
      </w:pPr>
    </w:p>
    <w:p w:rsidR="00092772" w:rsidRDefault="00D44972">
      <w:pPr>
        <w:widowControl/>
        <w:ind w:left="284" w:right="333"/>
        <w:jc w:val="both"/>
        <w:rPr>
          <w:rFonts w:ascii="Work Sans" w:hAnsi="Work Sans" w:cs="Calibri"/>
          <w:i/>
          <w:iCs/>
          <w:sz w:val="18"/>
          <w:szCs w:val="18"/>
          <w:lang w:bidi="ar-SA"/>
        </w:rPr>
      </w:pPr>
      <w:r>
        <w:rPr>
          <w:rFonts w:ascii="Work Sans" w:hAnsi="Work Sans" w:cs="Calibri"/>
          <w:i/>
          <w:iCs/>
          <w:sz w:val="18"/>
          <w:szCs w:val="18"/>
          <w:lang w:bidi="ar-SA"/>
        </w:rPr>
        <w:t xml:space="preserve">Con el comunicado EPS4G-1484-22 del 9/11/22 con radicado ANI 20224091260372), esta Interventoría validó las fórmulas de las tarifas calculadas por el Concesionario encontrando No objeción de acuerdo a lo que establece el Contrato de Concesión </w:t>
      </w:r>
      <w:r>
        <w:rPr>
          <w:rFonts w:ascii="Work Sans" w:hAnsi="Work Sans" w:cs="Calibri"/>
          <w:i/>
          <w:iCs/>
          <w:sz w:val="18"/>
          <w:szCs w:val="18"/>
          <w:lang w:bidi="ar-SA"/>
        </w:rPr>
        <w:t>No. 014 de 2015, en su Parte Especial Capitulo IV, numeral 4.2, literal (c),</w:t>
      </w:r>
    </w:p>
    <w:p w:rsidR="00092772" w:rsidRDefault="00092772">
      <w:pPr>
        <w:widowControl/>
        <w:ind w:left="284" w:right="333"/>
        <w:jc w:val="both"/>
        <w:rPr>
          <w:rFonts w:ascii="Work Sans" w:hAnsi="Work Sans" w:cs="Calibri"/>
          <w:i/>
          <w:iCs/>
          <w:sz w:val="18"/>
          <w:szCs w:val="18"/>
          <w:lang w:bidi="ar-SA"/>
        </w:rPr>
      </w:pPr>
    </w:p>
    <w:p w:rsidR="00092772" w:rsidRDefault="00D44972">
      <w:pPr>
        <w:widowControl/>
        <w:ind w:left="284" w:right="333"/>
        <w:jc w:val="center"/>
      </w:pPr>
      <w:r>
        <w:rPr>
          <w:rStyle w:val="Fuentedeprrafopredeter"/>
          <w:rFonts w:ascii="Work Sans" w:hAnsi="Work Sans" w:cs="Calibri"/>
          <w:i/>
          <w:iCs/>
          <w:noProof/>
          <w:sz w:val="18"/>
          <w:szCs w:val="18"/>
          <w:lang w:val="en-US" w:eastAsia="en-US" w:bidi="ar-SA"/>
        </w:rPr>
        <w:drawing>
          <wp:inline distT="0" distB="0" distL="0" distR="0">
            <wp:extent cx="4694374" cy="1618533"/>
            <wp:effectExtent l="0" t="0" r="0" b="717"/>
            <wp:docPr id="6" name="Imagen 6"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94374" cy="1618533"/>
                    </a:xfrm>
                    <a:prstGeom prst="rect">
                      <a:avLst/>
                    </a:prstGeom>
                    <a:noFill/>
                    <a:ln>
                      <a:noFill/>
                      <a:prstDash/>
                    </a:ln>
                  </pic:spPr>
                </pic:pic>
              </a:graphicData>
            </a:graphic>
          </wp:inline>
        </w:drawing>
      </w:r>
    </w:p>
    <w:p w:rsidR="00092772" w:rsidRDefault="00092772">
      <w:pPr>
        <w:widowControl/>
        <w:ind w:left="284" w:right="333"/>
        <w:jc w:val="both"/>
        <w:rPr>
          <w:rFonts w:ascii="Work Sans" w:hAnsi="Work Sans" w:cs="Calibri"/>
          <w:b/>
          <w:i/>
          <w:iCs/>
          <w:sz w:val="18"/>
          <w:szCs w:val="18"/>
          <w:lang w:bidi="ar-SA"/>
        </w:rPr>
      </w:pPr>
    </w:p>
    <w:p w:rsidR="00092772" w:rsidRDefault="00D44972">
      <w:pPr>
        <w:widowControl/>
        <w:ind w:left="284" w:right="333"/>
        <w:jc w:val="both"/>
        <w:rPr>
          <w:rFonts w:ascii="Work Sans" w:hAnsi="Work Sans" w:cs="Calibri"/>
          <w:i/>
          <w:iCs/>
          <w:sz w:val="18"/>
          <w:szCs w:val="18"/>
          <w:lang w:bidi="ar-SA"/>
        </w:rPr>
      </w:pPr>
      <w:r>
        <w:rPr>
          <w:rFonts w:ascii="Work Sans" w:hAnsi="Work Sans" w:cs="Calibri"/>
          <w:i/>
          <w:iCs/>
          <w:sz w:val="18"/>
          <w:szCs w:val="18"/>
          <w:lang w:bidi="ar-SA"/>
        </w:rPr>
        <w:t>Es importante dejar claro que el Concesionario no ha dado inicio al cobro de las tarifas que están incluidas en este comunicado y el motivo de ello correspondió a la celebraci</w:t>
      </w:r>
      <w:r>
        <w:rPr>
          <w:rFonts w:ascii="Work Sans" w:hAnsi="Work Sans" w:cs="Calibri"/>
          <w:i/>
          <w:iCs/>
          <w:sz w:val="18"/>
          <w:szCs w:val="18"/>
          <w:lang w:bidi="ar-SA"/>
        </w:rPr>
        <w:t>ón de la mesa de trabajo llevada a cabo en las instalaciones de la ANI el pasado 27 de octubre de 2022 entre la ANI, el Concesionario y la Interventoría, y en ésta, la ANI planteó no dar inicio de forma inmediata al cobro de peajes según las especificacion</w:t>
      </w:r>
      <w:r>
        <w:rPr>
          <w:rFonts w:ascii="Work Sans" w:hAnsi="Work Sans" w:cs="Calibri"/>
          <w:i/>
          <w:iCs/>
          <w:sz w:val="18"/>
          <w:szCs w:val="18"/>
          <w:lang w:bidi="ar-SA"/>
        </w:rPr>
        <w:t xml:space="preserve">es contractuales, pero sí implementar el incremento de forma escalonada, lo anterior, con el fin de lograr obtener el menor impacto social negativo en la comunidad. </w:t>
      </w:r>
    </w:p>
    <w:p w:rsidR="00092772" w:rsidRDefault="00092772">
      <w:pPr>
        <w:widowControl/>
        <w:ind w:left="284" w:right="333"/>
        <w:jc w:val="both"/>
        <w:rPr>
          <w:rFonts w:ascii="Work Sans" w:hAnsi="Work Sans" w:cs="Calibri"/>
          <w:i/>
          <w:iCs/>
          <w:sz w:val="18"/>
          <w:szCs w:val="18"/>
          <w:lang w:bidi="ar-SA"/>
        </w:rPr>
      </w:pPr>
    </w:p>
    <w:p w:rsidR="00092772" w:rsidRDefault="00D44972">
      <w:pPr>
        <w:widowControl/>
        <w:ind w:left="284" w:right="333"/>
        <w:jc w:val="both"/>
        <w:rPr>
          <w:rFonts w:ascii="Work Sans" w:hAnsi="Work Sans" w:cs="Calibri"/>
          <w:i/>
          <w:iCs/>
          <w:sz w:val="18"/>
          <w:szCs w:val="18"/>
          <w:lang w:bidi="ar-SA"/>
        </w:rPr>
      </w:pPr>
      <w:r>
        <w:rPr>
          <w:rFonts w:ascii="Work Sans" w:hAnsi="Work Sans" w:cs="Calibri"/>
          <w:i/>
          <w:iCs/>
          <w:sz w:val="18"/>
          <w:szCs w:val="18"/>
          <w:lang w:bidi="ar-SA"/>
        </w:rPr>
        <w:t xml:space="preserve">De lo anterior existe un acta de reunión en trámite de revisión y gestión de firmas. </w:t>
      </w:r>
    </w:p>
    <w:p w:rsidR="00092772" w:rsidRDefault="00092772">
      <w:pPr>
        <w:widowControl/>
        <w:ind w:left="284" w:right="333"/>
        <w:jc w:val="both"/>
        <w:rPr>
          <w:rFonts w:ascii="Work Sans" w:hAnsi="Work Sans" w:cs="Calibri"/>
          <w:i/>
          <w:iCs/>
          <w:sz w:val="18"/>
          <w:szCs w:val="18"/>
          <w:lang w:bidi="ar-SA"/>
        </w:rPr>
      </w:pPr>
    </w:p>
    <w:p w:rsidR="00092772" w:rsidRDefault="00D44972">
      <w:pPr>
        <w:widowControl/>
        <w:ind w:left="284" w:right="333"/>
        <w:jc w:val="both"/>
        <w:rPr>
          <w:rFonts w:ascii="Work Sans" w:hAnsi="Work Sans" w:cs="Calibri"/>
          <w:i/>
          <w:iCs/>
          <w:sz w:val="18"/>
          <w:szCs w:val="18"/>
          <w:lang w:bidi="ar-SA"/>
        </w:rPr>
      </w:pPr>
      <w:r>
        <w:rPr>
          <w:rFonts w:ascii="Work Sans" w:hAnsi="Work Sans" w:cs="Calibri"/>
          <w:i/>
          <w:iCs/>
          <w:sz w:val="18"/>
          <w:szCs w:val="18"/>
          <w:lang w:bidi="ar-SA"/>
        </w:rPr>
        <w:t>Es</w:t>
      </w:r>
      <w:r>
        <w:rPr>
          <w:rFonts w:ascii="Work Sans" w:hAnsi="Work Sans" w:cs="Calibri"/>
          <w:i/>
          <w:iCs/>
          <w:sz w:val="18"/>
          <w:szCs w:val="18"/>
          <w:lang w:bidi="ar-SA"/>
        </w:rPr>
        <w:t xml:space="preserve"> menester señalar que la Interventoría se encuentra obligada a advertir que el Concesionario tiene un contrato que debe ser cumplido y que, por tanto, la Interventoría de la misma manera tiene que hacer cumplir los compromisos y obligaciones contractuales </w:t>
      </w:r>
      <w:r>
        <w:rPr>
          <w:rFonts w:ascii="Work Sans" w:hAnsi="Work Sans" w:cs="Calibri"/>
          <w:i/>
          <w:iCs/>
          <w:sz w:val="18"/>
          <w:szCs w:val="18"/>
          <w:lang w:bidi="ar-SA"/>
        </w:rPr>
        <w:t xml:space="preserve">del Concesionario, sin embargo, debido a los acuerdos de la mencionada reunión del 27 de octubre, el Concesionario no dio inicio al cobro estas tarifas incrementadas </w:t>
      </w:r>
    </w:p>
    <w:p w:rsidR="00092772" w:rsidRDefault="00092772">
      <w:pPr>
        <w:widowControl/>
        <w:ind w:left="284" w:right="333"/>
        <w:jc w:val="both"/>
        <w:rPr>
          <w:rFonts w:ascii="Work Sans" w:hAnsi="Work Sans" w:cs="Calibri"/>
          <w:i/>
          <w:iCs/>
          <w:sz w:val="18"/>
          <w:szCs w:val="18"/>
          <w:lang w:bidi="ar-SA"/>
        </w:rPr>
      </w:pPr>
    </w:p>
    <w:p w:rsidR="00092772" w:rsidRDefault="00D44972">
      <w:pPr>
        <w:widowControl/>
        <w:ind w:left="284" w:right="333"/>
        <w:jc w:val="both"/>
        <w:rPr>
          <w:rFonts w:ascii="Work Sans" w:hAnsi="Work Sans" w:cs="Calibri"/>
          <w:i/>
          <w:iCs/>
          <w:sz w:val="18"/>
          <w:szCs w:val="18"/>
          <w:lang w:bidi="ar-SA"/>
        </w:rPr>
      </w:pPr>
      <w:r>
        <w:rPr>
          <w:rFonts w:ascii="Work Sans" w:hAnsi="Work Sans" w:cs="Calibri"/>
          <w:i/>
          <w:iCs/>
          <w:sz w:val="18"/>
          <w:szCs w:val="18"/>
          <w:lang w:bidi="ar-SA"/>
        </w:rPr>
        <w:t>Por su parte, en la referida mesa de trabajo, el Concesionario se comprometió a enviar u</w:t>
      </w:r>
      <w:r>
        <w:rPr>
          <w:rFonts w:ascii="Work Sans" w:hAnsi="Work Sans" w:cs="Calibri"/>
          <w:i/>
          <w:iCs/>
          <w:sz w:val="18"/>
          <w:szCs w:val="18"/>
          <w:lang w:bidi="ar-SA"/>
        </w:rPr>
        <w:t>n ejercicio financiero para el cobro de peajes escalonado, sin embargo, la Interventoría no ha recibido dicho comunicado y / o ejercicio financiero, y, en consecuencia, no se conoce la dinámica de las tarifas hacia el futuro, ni el impacto de la posible Co</w:t>
      </w:r>
      <w:r>
        <w:rPr>
          <w:rFonts w:ascii="Work Sans" w:hAnsi="Work Sans" w:cs="Calibri"/>
          <w:i/>
          <w:iCs/>
          <w:sz w:val="18"/>
          <w:szCs w:val="18"/>
          <w:lang w:bidi="ar-SA"/>
        </w:rPr>
        <w:t xml:space="preserve">ntingencia para la ANI. </w:t>
      </w:r>
    </w:p>
    <w:p w:rsidR="00092772" w:rsidRDefault="00092772">
      <w:pPr>
        <w:widowControl/>
        <w:ind w:left="284" w:right="333"/>
        <w:jc w:val="both"/>
        <w:rPr>
          <w:rFonts w:ascii="Work Sans" w:hAnsi="Work Sans" w:cs="Calibri"/>
          <w:i/>
          <w:iCs/>
          <w:sz w:val="18"/>
          <w:szCs w:val="18"/>
          <w:lang w:bidi="ar-SA"/>
        </w:rPr>
      </w:pPr>
    </w:p>
    <w:p w:rsidR="00092772" w:rsidRDefault="00D44972">
      <w:pPr>
        <w:widowControl/>
        <w:ind w:left="284" w:right="333"/>
        <w:jc w:val="both"/>
      </w:pPr>
      <w:r>
        <w:rPr>
          <w:rStyle w:val="Fuentedeprrafopredeter"/>
          <w:rFonts w:ascii="Work Sans" w:hAnsi="Work Sans" w:cs="Calibri"/>
          <w:i/>
          <w:iCs/>
          <w:sz w:val="18"/>
          <w:szCs w:val="18"/>
          <w:lang w:bidi="ar-SA"/>
        </w:rPr>
        <w:t>En resumen, esta Interventoría se permite instar a la ANI para que implemente las actividades que permitan formalizar los acuerdos a los que llegaron las partes contractuales en la mesa de trabajo del 27 de octubre de 2022, proced</w:t>
      </w:r>
      <w:r>
        <w:rPr>
          <w:rStyle w:val="Fuentedeprrafopredeter"/>
          <w:rFonts w:ascii="Work Sans" w:hAnsi="Work Sans" w:cs="Calibri"/>
          <w:i/>
          <w:iCs/>
          <w:sz w:val="18"/>
          <w:szCs w:val="18"/>
          <w:lang w:bidi="ar-SA"/>
        </w:rPr>
        <w:t>a a dejar documentados sus antecedentes y a definir conjuntamente con el Concesionario, de forma clara y expresa, la gradualidad en el cobro de los peajes que permita determinar el eventual costo en materia de la contingencia que implica para este contrato</w:t>
      </w:r>
      <w:r>
        <w:rPr>
          <w:rStyle w:val="Fuentedeprrafopredeter"/>
          <w:rFonts w:ascii="Work Sans" w:hAnsi="Work Sans" w:cs="Calibri"/>
          <w:i/>
          <w:iCs/>
          <w:sz w:val="18"/>
          <w:szCs w:val="18"/>
          <w:lang w:bidi="ar-SA"/>
        </w:rPr>
        <w:t xml:space="preserve"> el retraso en el incremento en las tarifas de peajes, para lo cual quedamos atentos a las indicaciones de la ANI para proceder de conformidad.”</w:t>
      </w:r>
    </w:p>
    <w:p w:rsidR="00092772" w:rsidRDefault="00092772">
      <w:pPr>
        <w:widowControl/>
        <w:jc w:val="both"/>
        <w:rPr>
          <w:rFonts w:ascii="Work Sans" w:hAnsi="Work Sans" w:cs="Calibri"/>
          <w:b/>
          <w:i/>
          <w:iCs/>
          <w:sz w:val="18"/>
          <w:szCs w:val="18"/>
          <w:lang w:bidi="ar-SA"/>
        </w:rPr>
      </w:pPr>
    </w:p>
    <w:p w:rsidR="00092772" w:rsidRDefault="00D44972">
      <w:pPr>
        <w:widowControl/>
        <w:numPr>
          <w:ilvl w:val="0"/>
          <w:numId w:val="20"/>
        </w:numPr>
        <w:tabs>
          <w:tab w:val="left" w:pos="1134"/>
        </w:tabs>
        <w:ind w:left="426" w:right="481" w:firstLine="0"/>
        <w:jc w:val="both"/>
        <w:textAlignment w:val="auto"/>
        <w:rPr>
          <w:rFonts w:ascii="Work Sans" w:hAnsi="Work Sans" w:cs="Calibri"/>
          <w:b/>
          <w:bCs/>
          <w:i/>
          <w:iCs/>
          <w:sz w:val="18"/>
          <w:szCs w:val="18"/>
          <w:u w:val="single"/>
          <w:lang w:bidi="ar-SA"/>
        </w:rPr>
      </w:pPr>
      <w:r>
        <w:rPr>
          <w:rFonts w:ascii="Work Sans" w:hAnsi="Work Sans" w:cs="Calibri"/>
          <w:b/>
          <w:bCs/>
          <w:i/>
          <w:iCs/>
          <w:sz w:val="18"/>
          <w:szCs w:val="18"/>
          <w:u w:val="single"/>
          <w:lang w:bidi="ar-SA"/>
        </w:rPr>
        <w:t>SOLICITUD</w:t>
      </w:r>
    </w:p>
    <w:p w:rsidR="00092772" w:rsidRDefault="00092772">
      <w:pPr>
        <w:tabs>
          <w:tab w:val="left" w:pos="1134"/>
        </w:tabs>
        <w:ind w:left="426" w:right="481"/>
        <w:jc w:val="both"/>
        <w:rPr>
          <w:rFonts w:ascii="Work Sans" w:hAnsi="Work Sans" w:cs="Calibri"/>
          <w:i/>
          <w:iCs/>
          <w:sz w:val="18"/>
          <w:szCs w:val="18"/>
          <w:lang w:val="es-CO"/>
        </w:rPr>
      </w:pPr>
    </w:p>
    <w:p w:rsidR="00092772" w:rsidRDefault="00D44972">
      <w:pPr>
        <w:tabs>
          <w:tab w:val="left" w:pos="1134"/>
        </w:tabs>
        <w:ind w:left="426" w:right="481"/>
        <w:jc w:val="both"/>
        <w:rPr>
          <w:rFonts w:ascii="Work Sans" w:hAnsi="Work Sans" w:cs="Calibri"/>
          <w:i/>
          <w:iCs/>
          <w:sz w:val="18"/>
          <w:szCs w:val="18"/>
          <w:lang w:val="es-CO"/>
        </w:rPr>
      </w:pPr>
      <w:r>
        <w:rPr>
          <w:rFonts w:ascii="Work Sans" w:hAnsi="Work Sans" w:cs="Calibri"/>
          <w:i/>
          <w:iCs/>
          <w:sz w:val="18"/>
          <w:szCs w:val="18"/>
          <w:lang w:val="es-CO"/>
        </w:rPr>
        <w:t xml:space="preserve">De conformidad con lo expuesto en apartes precedentes, se solicita la expedición de un acto </w:t>
      </w:r>
      <w:r>
        <w:rPr>
          <w:rFonts w:ascii="Work Sans" w:hAnsi="Work Sans" w:cs="Calibri"/>
          <w:i/>
          <w:iCs/>
          <w:sz w:val="18"/>
          <w:szCs w:val="18"/>
          <w:lang w:val="es-CO"/>
        </w:rPr>
        <w:t>administrativo que modifique el artículo segundo de la Resolución No. 1546 de 2015 y establezca las tarifas que podrá cobrar el Concesionario a todos los usuarios en la estación de peaje Aburrá según el año, así:</w:t>
      </w:r>
    </w:p>
    <w:p w:rsidR="00092772" w:rsidRDefault="00092772">
      <w:pPr>
        <w:tabs>
          <w:tab w:val="left" w:pos="1134"/>
        </w:tabs>
        <w:jc w:val="both"/>
        <w:rPr>
          <w:rFonts w:ascii="Work Sans" w:hAnsi="Work Sans" w:cs="Calibri"/>
          <w:b/>
          <w:bCs/>
          <w:i/>
          <w:iCs/>
          <w:sz w:val="16"/>
          <w:szCs w:val="16"/>
          <w:u w:val="single"/>
          <w:lang w:val="es-CO"/>
        </w:rPr>
      </w:pPr>
    </w:p>
    <w:tbl>
      <w:tblPr>
        <w:tblW w:w="6658" w:type="dxa"/>
        <w:jc w:val="center"/>
        <w:tblCellMar>
          <w:left w:w="10" w:type="dxa"/>
          <w:right w:w="10" w:type="dxa"/>
        </w:tblCellMar>
        <w:tblLook w:val="0000" w:firstRow="0" w:lastRow="0" w:firstColumn="0" w:lastColumn="0" w:noHBand="0" w:noVBand="0"/>
      </w:tblPr>
      <w:tblGrid>
        <w:gridCol w:w="1500"/>
        <w:gridCol w:w="1614"/>
        <w:gridCol w:w="1701"/>
        <w:gridCol w:w="1843"/>
      </w:tblGrid>
      <w:tr w:rsidR="00092772">
        <w:tblPrEx>
          <w:tblCellMar>
            <w:top w:w="0" w:type="dxa"/>
            <w:bottom w:w="0" w:type="dxa"/>
          </w:tblCellMar>
        </w:tblPrEx>
        <w:trPr>
          <w:trHeight w:val="555"/>
          <w:tblHeader/>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pPr>
            <w:r>
              <w:rPr>
                <w:rStyle w:val="Fuentedeprrafopredeter"/>
                <w:rFonts w:ascii="Work Sans" w:hAnsi="Work Sans" w:cs="Calibri"/>
                <w:b/>
                <w:bCs/>
                <w:i/>
                <w:iCs/>
                <w:color w:val="000000"/>
                <w:sz w:val="16"/>
                <w:szCs w:val="16"/>
                <w:lang w:val="es-CO"/>
              </w:rPr>
              <w:t>CATEGORÍA</w:t>
            </w:r>
          </w:p>
        </w:tc>
        <w:tc>
          <w:tcPr>
            <w:tcW w:w="5158"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6"/>
                <w:szCs w:val="16"/>
                <w:lang w:val="es-CO"/>
              </w:rPr>
            </w:pPr>
            <w:r>
              <w:rPr>
                <w:rFonts w:ascii="Work Sans" w:hAnsi="Work Sans" w:cs="Calibri"/>
                <w:b/>
                <w:bCs/>
                <w:i/>
                <w:iCs/>
                <w:color w:val="000000"/>
                <w:sz w:val="16"/>
                <w:szCs w:val="16"/>
                <w:lang w:val="es-CO"/>
              </w:rPr>
              <w:t>TARIFAS Pesos de diciembre de 20</w:t>
            </w:r>
            <w:r>
              <w:rPr>
                <w:rFonts w:ascii="Work Sans" w:hAnsi="Work Sans" w:cs="Calibri"/>
                <w:b/>
                <w:bCs/>
                <w:i/>
                <w:iCs/>
                <w:color w:val="000000"/>
                <w:sz w:val="16"/>
                <w:szCs w:val="16"/>
                <w:lang w:val="es-CO"/>
              </w:rPr>
              <w:t>12 (No incluye FOSEVI)</w:t>
            </w:r>
          </w:p>
        </w:tc>
      </w:tr>
      <w:tr w:rsidR="00092772">
        <w:tblPrEx>
          <w:tblCellMar>
            <w:top w:w="0" w:type="dxa"/>
            <w:bottom w:w="0" w:type="dxa"/>
          </w:tblCellMar>
        </w:tblPrEx>
        <w:trPr>
          <w:trHeight w:val="300"/>
          <w:tblHeader/>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092772">
            <w:pPr>
              <w:jc w:val="center"/>
              <w:rPr>
                <w:rFonts w:ascii="Work Sans" w:hAnsi="Work Sans" w:cs="Calibri"/>
                <w:b/>
                <w:bCs/>
                <w:i/>
                <w:iCs/>
                <w:color w:val="000000"/>
                <w:sz w:val="16"/>
                <w:szCs w:val="16"/>
                <w:lang w:val="es-CO"/>
              </w:rPr>
            </w:pPr>
          </w:p>
        </w:tc>
        <w:tc>
          <w:tcPr>
            <w:tcW w:w="16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6"/>
                <w:szCs w:val="16"/>
                <w:lang w:val="es-CO"/>
              </w:rPr>
            </w:pPr>
            <w:r>
              <w:rPr>
                <w:rFonts w:ascii="Work Sans" w:hAnsi="Work Sans" w:cs="Calibri"/>
                <w:b/>
                <w:bCs/>
                <w:i/>
                <w:iCs/>
                <w:color w:val="000000"/>
                <w:sz w:val="16"/>
                <w:szCs w:val="16"/>
                <w:lang w:val="es-CO"/>
              </w:rPr>
              <w:t>Desde el 16 de enero de 2023 hasta el 15 de enero de 2024</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6"/>
                <w:szCs w:val="16"/>
                <w:lang w:val="es-CO"/>
              </w:rPr>
            </w:pPr>
            <w:r>
              <w:rPr>
                <w:rFonts w:ascii="Work Sans" w:hAnsi="Work Sans" w:cs="Calibri"/>
                <w:b/>
                <w:bCs/>
                <w:i/>
                <w:iCs/>
                <w:color w:val="000000"/>
                <w:sz w:val="16"/>
                <w:szCs w:val="16"/>
                <w:lang w:val="es-CO"/>
              </w:rPr>
              <w:t>Desde el 16 de enero de 2024 hasta el 15 de enero de 2025</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
                <w:iCs/>
                <w:color w:val="000000"/>
                <w:sz w:val="16"/>
                <w:szCs w:val="16"/>
                <w:lang w:val="es-CO"/>
              </w:rPr>
            </w:pPr>
            <w:r>
              <w:rPr>
                <w:rFonts w:ascii="Work Sans" w:hAnsi="Work Sans" w:cs="Calibri"/>
                <w:b/>
                <w:bCs/>
                <w:i/>
                <w:iCs/>
                <w:color w:val="000000"/>
                <w:sz w:val="16"/>
                <w:szCs w:val="16"/>
                <w:lang w:val="es-CO"/>
              </w:rPr>
              <w:t>Desde el 16 de enero de 2025 hasta el 15 de enero de 2026</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13.654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15.280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xml:space="preserve">$           </w:t>
            </w:r>
            <w:r>
              <w:rPr>
                <w:rFonts w:ascii="Work Sans" w:hAnsi="Work Sans" w:cs="Calibri"/>
                <w:i/>
                <w:iCs/>
                <w:color w:val="000000"/>
                <w:sz w:val="16"/>
                <w:szCs w:val="16"/>
                <w:lang w:val="es-CO"/>
              </w:rPr>
              <w:t>16.500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III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IV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36.380</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43.649</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49.100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VI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w:t>
            </w:r>
            <w:r>
              <w:rPr>
                <w:rFonts w:ascii="Work Sans" w:hAnsi="Work Sans" w:cs="Calibri"/>
                <w:i/>
                <w:iCs/>
                <w:color w:val="000000"/>
                <w:sz w:val="16"/>
                <w:szCs w:val="16"/>
                <w:lang w:val="es-CO"/>
              </w:rPr>
              <w:t xml:space="preserve">           46.701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55.215</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61.600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VII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55.153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64.380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
                <w:iCs/>
                <w:color w:val="000000"/>
                <w:sz w:val="16"/>
                <w:szCs w:val="16"/>
                <w:lang w:val="es-CO"/>
              </w:rPr>
            </w:pPr>
            <w:r>
              <w:rPr>
                <w:rFonts w:ascii="Work Sans" w:hAnsi="Work Sans" w:cs="Calibri"/>
                <w:i/>
                <w:iCs/>
                <w:color w:val="000000"/>
                <w:sz w:val="16"/>
                <w:szCs w:val="16"/>
                <w:lang w:val="es-CO"/>
              </w:rPr>
              <w:t>$           71.300</w:t>
            </w:r>
          </w:p>
        </w:tc>
      </w:tr>
    </w:tbl>
    <w:p w:rsidR="00092772" w:rsidRDefault="00D44972">
      <w:pPr>
        <w:tabs>
          <w:tab w:val="left" w:pos="1134"/>
        </w:tabs>
        <w:jc w:val="center"/>
      </w:pPr>
      <w:r>
        <w:rPr>
          <w:rStyle w:val="Fuentedeprrafopredeter"/>
          <w:rFonts w:ascii="Work Sans" w:hAnsi="Work Sans" w:cs="Calibri"/>
          <w:i/>
          <w:iCs/>
          <w:sz w:val="16"/>
          <w:szCs w:val="16"/>
          <w:lang w:val="es-CO"/>
        </w:rPr>
        <w:t>*Las tarifas no incluyen el valor de del Fondo de Seguridad Vial y ninguna otra sobretasa o similar</w:t>
      </w:r>
    </w:p>
    <w:p w:rsidR="00092772" w:rsidRDefault="00092772">
      <w:pPr>
        <w:tabs>
          <w:tab w:val="left" w:pos="1134"/>
        </w:tabs>
        <w:jc w:val="both"/>
        <w:rPr>
          <w:rFonts w:ascii="Work Sans" w:hAnsi="Work Sans" w:cs="Calibri"/>
          <w:i/>
          <w:iCs/>
          <w:sz w:val="18"/>
          <w:szCs w:val="18"/>
          <w:lang w:val="es-CO"/>
        </w:rPr>
      </w:pPr>
    </w:p>
    <w:p w:rsidR="00092772" w:rsidRDefault="00D44972">
      <w:pPr>
        <w:tabs>
          <w:tab w:val="left" w:pos="1134"/>
        </w:tabs>
        <w:ind w:left="426" w:right="481"/>
        <w:jc w:val="both"/>
        <w:rPr>
          <w:rFonts w:ascii="Work Sans" w:hAnsi="Work Sans" w:cs="Calibri"/>
          <w:i/>
          <w:iCs/>
          <w:sz w:val="18"/>
          <w:szCs w:val="18"/>
          <w:lang w:val="es-CO"/>
        </w:rPr>
      </w:pPr>
      <w:r>
        <w:rPr>
          <w:rFonts w:ascii="Work Sans" w:hAnsi="Work Sans" w:cs="Calibri"/>
          <w:i/>
          <w:iCs/>
          <w:sz w:val="18"/>
          <w:szCs w:val="18"/>
          <w:lang w:val="es-CO"/>
        </w:rPr>
        <w:t xml:space="preserve">Para determinar el valor a cobrar </w:t>
      </w:r>
      <w:r>
        <w:rPr>
          <w:rFonts w:ascii="Work Sans" w:hAnsi="Work Sans" w:cs="Calibri"/>
          <w:i/>
          <w:iCs/>
          <w:sz w:val="18"/>
          <w:szCs w:val="18"/>
          <w:lang w:val="es-CO"/>
        </w:rPr>
        <w:t xml:space="preserve">antes de Fosevi, a partir del año 2023 hasta el año 2025, se tomará el valor descrito en la tabla anterior para cada año y se actualizará con el IPC correspondiente al año en que se realice el incremento. </w:t>
      </w:r>
    </w:p>
    <w:p w:rsidR="00092772" w:rsidRDefault="00092772">
      <w:pPr>
        <w:tabs>
          <w:tab w:val="left" w:pos="1134"/>
        </w:tabs>
        <w:ind w:left="426" w:right="481"/>
        <w:jc w:val="both"/>
        <w:rPr>
          <w:rFonts w:ascii="Work Sans" w:hAnsi="Work Sans" w:cs="Calibri"/>
          <w:i/>
          <w:iCs/>
          <w:sz w:val="18"/>
          <w:szCs w:val="18"/>
          <w:lang w:val="es-CO"/>
        </w:rPr>
      </w:pPr>
    </w:p>
    <w:p w:rsidR="00092772" w:rsidRDefault="00D44972">
      <w:pPr>
        <w:tabs>
          <w:tab w:val="left" w:pos="1134"/>
        </w:tabs>
        <w:ind w:left="426" w:right="481"/>
        <w:jc w:val="both"/>
        <w:rPr>
          <w:rFonts w:ascii="Work Sans" w:hAnsi="Work Sans" w:cs="Calibri"/>
          <w:i/>
          <w:iCs/>
          <w:sz w:val="18"/>
          <w:szCs w:val="18"/>
          <w:lang w:val="es-CO"/>
        </w:rPr>
      </w:pPr>
      <w:r>
        <w:rPr>
          <w:rFonts w:ascii="Work Sans" w:hAnsi="Work Sans" w:cs="Calibri"/>
          <w:i/>
          <w:iCs/>
          <w:sz w:val="18"/>
          <w:szCs w:val="18"/>
          <w:lang w:val="es-CO"/>
        </w:rPr>
        <w:t>A partir del 16 de enero de 2026 y para los sigui</w:t>
      </w:r>
      <w:r>
        <w:rPr>
          <w:rFonts w:ascii="Work Sans" w:hAnsi="Work Sans" w:cs="Calibri"/>
          <w:i/>
          <w:iCs/>
          <w:sz w:val="18"/>
          <w:szCs w:val="18"/>
          <w:lang w:val="es-CO"/>
        </w:rPr>
        <w:t>entes años, el incremento de las tarifas del peaje se realizará de acuerdo con el IPC de cierre de cada año, siguiendo el procedimiento definido en la Sección 4.2 literal (e) de la Parte Especial del Contrato de Concesión.</w:t>
      </w:r>
    </w:p>
    <w:p w:rsidR="00092772" w:rsidRDefault="00092772">
      <w:pPr>
        <w:ind w:left="426" w:right="481"/>
        <w:jc w:val="both"/>
        <w:rPr>
          <w:rFonts w:ascii="Work Sans" w:hAnsi="Work Sans" w:cs="Calibri"/>
          <w:i/>
          <w:iCs/>
          <w:sz w:val="18"/>
          <w:szCs w:val="18"/>
          <w:lang w:val="es-CO"/>
        </w:rPr>
      </w:pPr>
    </w:p>
    <w:p w:rsidR="00092772" w:rsidRDefault="00D44972">
      <w:pPr>
        <w:ind w:left="426" w:right="481"/>
        <w:jc w:val="both"/>
        <w:rPr>
          <w:rFonts w:ascii="Work Sans" w:hAnsi="Work Sans" w:cs="Calibri"/>
          <w:i/>
          <w:iCs/>
          <w:sz w:val="18"/>
          <w:szCs w:val="18"/>
          <w:lang w:val="es-CO"/>
        </w:rPr>
      </w:pPr>
      <w:r>
        <w:rPr>
          <w:rFonts w:ascii="Work Sans" w:hAnsi="Work Sans" w:cs="Calibri"/>
          <w:i/>
          <w:iCs/>
          <w:sz w:val="18"/>
          <w:szCs w:val="18"/>
          <w:lang w:val="es-CO"/>
        </w:rPr>
        <w:t xml:space="preserve">Con el fin de facilitar el </w:t>
      </w:r>
      <w:r>
        <w:rPr>
          <w:rFonts w:ascii="Work Sans" w:hAnsi="Work Sans" w:cs="Calibri"/>
          <w:i/>
          <w:iCs/>
          <w:sz w:val="18"/>
          <w:szCs w:val="18"/>
          <w:lang w:val="es-CO"/>
        </w:rPr>
        <w:t>recaudo de la tarifa a cobrar al usuario, una vez efectuada la operación establecida en el parágrafo anterior, las mismas deberán ser ajustadas a la centena más cercana. A las tarifas de peaje se les adicionará el valor del Fondo de Seguridad Vial del peri</w:t>
      </w:r>
      <w:r>
        <w:rPr>
          <w:rFonts w:ascii="Work Sans" w:hAnsi="Work Sans" w:cs="Calibri"/>
          <w:i/>
          <w:iCs/>
          <w:sz w:val="18"/>
          <w:szCs w:val="18"/>
          <w:lang w:val="es-CO"/>
        </w:rPr>
        <w:t xml:space="preserve">odo de actualización, acorde con la Resolución vigente que el Ministerio de Transporte expida para tal efecto. </w:t>
      </w:r>
    </w:p>
    <w:p w:rsidR="00092772" w:rsidRDefault="00D44972">
      <w:pPr>
        <w:widowControl/>
        <w:autoSpaceDE w:val="0"/>
        <w:jc w:val="both"/>
        <w:textAlignment w:val="auto"/>
        <w:rPr>
          <w:rFonts w:ascii="Work Sans" w:eastAsia="SimSun" w:hAnsi="Work Sans" w:cs="Calibri" w:hint="eastAsia"/>
          <w:iCs/>
          <w:color w:val="000000"/>
          <w:kern w:val="0"/>
          <w:sz w:val="20"/>
          <w:szCs w:val="20"/>
          <w:lang w:val="es-CO" w:eastAsia="es-ES" w:bidi="ar-SA"/>
        </w:rPr>
      </w:pPr>
      <w:r>
        <w:rPr>
          <w:rFonts w:ascii="Work Sans" w:eastAsia="SimSun" w:hAnsi="Work Sans" w:cs="Calibri"/>
          <w:iCs/>
          <w:color w:val="000000"/>
          <w:kern w:val="0"/>
          <w:sz w:val="20"/>
          <w:szCs w:val="20"/>
          <w:lang w:val="es-CO" w:eastAsia="es-ES" w:bidi="ar-SA"/>
        </w:rPr>
        <w:t xml:space="preserve">Que mediante memorando 20221410147113 de diciembre 29 de 2022, la Oficina de Regulación Económica del Ministerio de Transporte en cumplimiento </w:t>
      </w:r>
      <w:r>
        <w:rPr>
          <w:rFonts w:ascii="Work Sans" w:eastAsia="SimSun" w:hAnsi="Work Sans" w:cs="Calibri"/>
          <w:iCs/>
          <w:color w:val="000000"/>
          <w:kern w:val="0"/>
          <w:sz w:val="20"/>
          <w:szCs w:val="20"/>
          <w:lang w:val="es-CO" w:eastAsia="es-ES" w:bidi="ar-SA"/>
        </w:rPr>
        <w:t>de lo establecido en el numeral 9.8. del artículo 9 del Decreto 087 de 2011 analizó y viabilizó el cobro de la tarifa del peaje de Aburrá de forma gradual, así:</w:t>
      </w:r>
    </w:p>
    <w:p w:rsidR="00092772" w:rsidRDefault="00092772">
      <w:pPr>
        <w:widowControl/>
        <w:autoSpaceDE w:val="0"/>
        <w:jc w:val="both"/>
        <w:textAlignment w:val="auto"/>
        <w:rPr>
          <w:rFonts w:ascii="Work Sans" w:eastAsia="SimSun" w:hAnsi="Work Sans" w:cs="Calibri" w:hint="eastAsia"/>
          <w:iCs/>
          <w:color w:val="000000"/>
          <w:kern w:val="0"/>
          <w:sz w:val="22"/>
          <w:szCs w:val="22"/>
          <w:lang w:val="es-CO" w:eastAsia="es-ES" w:bidi="ar-SA"/>
        </w:rPr>
      </w:pPr>
    </w:p>
    <w:tbl>
      <w:tblPr>
        <w:tblW w:w="6658" w:type="dxa"/>
        <w:jc w:val="center"/>
        <w:tblCellMar>
          <w:left w:w="10" w:type="dxa"/>
          <w:right w:w="10" w:type="dxa"/>
        </w:tblCellMar>
        <w:tblLook w:val="0000" w:firstRow="0" w:lastRow="0" w:firstColumn="0" w:lastColumn="0" w:noHBand="0" w:noVBand="0"/>
      </w:tblPr>
      <w:tblGrid>
        <w:gridCol w:w="1500"/>
        <w:gridCol w:w="1614"/>
        <w:gridCol w:w="1701"/>
        <w:gridCol w:w="1843"/>
      </w:tblGrid>
      <w:tr w:rsidR="00092772">
        <w:tblPrEx>
          <w:tblCellMar>
            <w:top w:w="0" w:type="dxa"/>
            <w:bottom w:w="0" w:type="dxa"/>
          </w:tblCellMar>
        </w:tblPrEx>
        <w:trPr>
          <w:trHeight w:val="55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pPr>
            <w:r>
              <w:rPr>
                <w:rStyle w:val="Fuentedeprrafopredeter"/>
                <w:rFonts w:ascii="Work Sans" w:hAnsi="Work Sans" w:cs="Calibri"/>
                <w:b/>
                <w:bCs/>
                <w:iCs/>
                <w:color w:val="000000"/>
                <w:sz w:val="18"/>
                <w:szCs w:val="18"/>
                <w:lang w:val="es-CO"/>
              </w:rPr>
              <w:t>CATEGORÍA</w:t>
            </w:r>
          </w:p>
        </w:tc>
        <w:tc>
          <w:tcPr>
            <w:tcW w:w="5158"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TARIFAS Pesos de diciembre de 2012 (No incluye FOSEVI)</w:t>
            </w:r>
          </w:p>
        </w:tc>
      </w:tr>
      <w:tr w:rsidR="00092772">
        <w:tblPrEx>
          <w:tblCellMar>
            <w:top w:w="0" w:type="dxa"/>
            <w:bottom w:w="0" w:type="dxa"/>
          </w:tblCellMar>
        </w:tblPrEx>
        <w:trPr>
          <w:trHeight w:val="300"/>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092772">
            <w:pPr>
              <w:jc w:val="center"/>
              <w:rPr>
                <w:rFonts w:ascii="Work Sans" w:hAnsi="Work Sans" w:cs="Calibri"/>
                <w:b/>
                <w:bCs/>
                <w:iCs/>
                <w:color w:val="000000"/>
                <w:sz w:val="18"/>
                <w:szCs w:val="18"/>
                <w:lang w:val="es-CO"/>
              </w:rPr>
            </w:pPr>
          </w:p>
        </w:tc>
        <w:tc>
          <w:tcPr>
            <w:tcW w:w="16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Desde el 16 de enero de 202</w:t>
            </w:r>
            <w:r>
              <w:rPr>
                <w:rFonts w:ascii="Work Sans" w:hAnsi="Work Sans" w:cs="Calibri"/>
                <w:b/>
                <w:bCs/>
                <w:iCs/>
                <w:color w:val="000000"/>
                <w:sz w:val="18"/>
                <w:szCs w:val="18"/>
                <w:lang w:val="es-CO"/>
              </w:rPr>
              <w:t xml:space="preserve">3 hasta el 15 de enero de 2024 </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Desde el 16 de enero de 2024 hasta el 15 de enero de 2025</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Desde el 16 de enero de 2025 hasta el 15 de enero de 2026</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13.654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15.280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16.500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xml:space="preserve">$ </w:t>
            </w:r>
            <w:r>
              <w:rPr>
                <w:rFonts w:ascii="Work Sans" w:hAnsi="Work Sans" w:cs="Calibri"/>
                <w:iCs/>
                <w:color w:val="000000"/>
                <w:sz w:val="18"/>
                <w:szCs w:val="18"/>
                <w:lang w:val="es-CO"/>
              </w:rPr>
              <w:t xml:space="preserve">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36.380</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43.649</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49.100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VI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46.701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55.215</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xml:space="preserve">$           </w:t>
            </w:r>
            <w:r>
              <w:rPr>
                <w:rFonts w:ascii="Work Sans" w:hAnsi="Work Sans" w:cs="Calibri"/>
                <w:iCs/>
                <w:color w:val="000000"/>
                <w:sz w:val="18"/>
                <w:szCs w:val="18"/>
                <w:lang w:val="es-CO"/>
              </w:rPr>
              <w:t>61.600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VII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55.153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64.380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71.300</w:t>
            </w:r>
          </w:p>
        </w:tc>
      </w:tr>
    </w:tbl>
    <w:p w:rsidR="00092772" w:rsidRDefault="00D44972">
      <w:pPr>
        <w:tabs>
          <w:tab w:val="left" w:pos="1134"/>
        </w:tabs>
        <w:ind w:left="567" w:hanging="141"/>
        <w:jc w:val="center"/>
      </w:pPr>
      <w:r>
        <w:rPr>
          <w:rStyle w:val="Fuentedeprrafopredeter"/>
          <w:rFonts w:ascii="Work Sans" w:hAnsi="Work Sans" w:cs="Arial"/>
          <w:iCs/>
          <w:sz w:val="18"/>
          <w:szCs w:val="18"/>
          <w:lang w:val="es-CO"/>
        </w:rPr>
        <w:t>*Las tarifas no incluyen el valor de del Fondo de Seguridad Vial y ninguna otra sobretasa o similar</w:t>
      </w:r>
    </w:p>
    <w:p w:rsidR="00092772" w:rsidRDefault="00092772">
      <w:pPr>
        <w:tabs>
          <w:tab w:val="left" w:pos="1134"/>
        </w:tabs>
        <w:jc w:val="both"/>
        <w:rPr>
          <w:rFonts w:ascii="Work Sans" w:hAnsi="Work Sans" w:cs="Calibri"/>
          <w:i/>
          <w:iCs/>
          <w:sz w:val="22"/>
          <w:szCs w:val="22"/>
          <w:lang w:val="es-CO"/>
        </w:rPr>
      </w:pPr>
    </w:p>
    <w:p w:rsidR="00092772" w:rsidRDefault="00D44972">
      <w:pPr>
        <w:widowControl/>
        <w:jc w:val="both"/>
        <w:rPr>
          <w:rFonts w:ascii="Work Sans" w:hAnsi="Work Sans" w:cs="Calibri"/>
          <w:sz w:val="20"/>
          <w:szCs w:val="20"/>
          <w:lang w:val="es-CO" w:bidi="ar-SA"/>
        </w:rPr>
      </w:pPr>
      <w:r>
        <w:rPr>
          <w:rFonts w:ascii="Work Sans" w:hAnsi="Work Sans" w:cs="Calibri"/>
          <w:sz w:val="20"/>
          <w:szCs w:val="20"/>
          <w:lang w:val="es-CO" w:bidi="ar-SA"/>
        </w:rPr>
        <w:t xml:space="preserve">Que el contenido de la presente Resolución fue publicado en la página web del </w:t>
      </w:r>
      <w:r>
        <w:rPr>
          <w:rFonts w:ascii="Work Sans" w:hAnsi="Work Sans" w:cs="Calibri"/>
          <w:sz w:val="20"/>
          <w:szCs w:val="20"/>
          <w:lang w:val="es-CO" w:bidi="ar-SA"/>
        </w:rPr>
        <w:t>Ministerio de Transporte y de la Agencia Nacional de en cumplimiento de lo determinado en el numeral 8 del artículo 8° de la Ley 1437 de 2011, artículo 2.1.2.1.14 del Decreto 1081 de 2015 (modificado y adicionado por el Decreto 1273 de 2020) y la Resolució</w:t>
      </w:r>
      <w:r>
        <w:rPr>
          <w:rFonts w:ascii="Work Sans" w:hAnsi="Work Sans" w:cs="Calibri"/>
          <w:sz w:val="20"/>
          <w:szCs w:val="20"/>
          <w:lang w:val="es-CO" w:bidi="ar-SA"/>
        </w:rPr>
        <w:t>n No. 994 de 2017 del Ministerio de Transporte, con el objeto de recibir opiniones, sugerencias o propuestas alternativas.</w:t>
      </w:r>
    </w:p>
    <w:p w:rsidR="00092772" w:rsidRDefault="00092772">
      <w:pPr>
        <w:jc w:val="both"/>
        <w:rPr>
          <w:rFonts w:ascii="Work Sans" w:hAnsi="Work Sans" w:cs="Calibri"/>
          <w:sz w:val="20"/>
          <w:szCs w:val="20"/>
          <w:lang w:val="es-CO"/>
        </w:rPr>
      </w:pPr>
    </w:p>
    <w:p w:rsidR="00092772" w:rsidRDefault="00D44972">
      <w:pPr>
        <w:widowControl/>
        <w:autoSpaceDE w:val="0"/>
        <w:jc w:val="both"/>
        <w:textAlignment w:val="auto"/>
      </w:pPr>
      <w:r>
        <w:rPr>
          <w:rStyle w:val="Fuentedeprrafopredeter"/>
          <w:rFonts w:ascii="Work Sans" w:eastAsia="SimSun" w:hAnsi="Work Sans" w:cs="Calibri"/>
          <w:iCs/>
          <w:color w:val="000000"/>
          <w:kern w:val="0"/>
          <w:sz w:val="20"/>
          <w:szCs w:val="20"/>
          <w:lang w:val="es-CO" w:eastAsia="es-ES" w:bidi="ar-SA"/>
        </w:rPr>
        <w:t>Que la Oficina Asesora Jurídica del Ministerio de Transporte conservará los documentos asociados a la publicación del presente</w:t>
      </w:r>
      <w:r>
        <w:rPr>
          <w:rStyle w:val="Fuentedeprrafopredeter"/>
          <w:rFonts w:ascii="Work Sans" w:eastAsia="SimSun" w:hAnsi="Work Sans" w:cs="Calibri"/>
          <w:color w:val="000000"/>
          <w:kern w:val="0"/>
          <w:sz w:val="20"/>
          <w:szCs w:val="20"/>
          <w:lang w:val="es-CO" w:eastAsia="es-ES" w:bidi="ar-SA"/>
        </w:rPr>
        <w:t xml:space="preserve"> acto </w:t>
      </w:r>
      <w:r>
        <w:rPr>
          <w:rStyle w:val="Fuentedeprrafopredeter"/>
          <w:rFonts w:ascii="Work Sans" w:eastAsia="SimSun" w:hAnsi="Work Sans" w:cs="Calibri"/>
          <w:color w:val="000000"/>
          <w:kern w:val="0"/>
          <w:sz w:val="20"/>
          <w:szCs w:val="20"/>
          <w:lang w:val="es-CO" w:eastAsia="es-ES" w:bidi="ar-SA"/>
        </w:rPr>
        <w:t>administrativo.</w:t>
      </w:r>
      <w:r>
        <w:rPr>
          <w:rStyle w:val="Fuentedeprrafopredeter"/>
          <w:rFonts w:ascii="Work Sans" w:eastAsia="SimSun" w:hAnsi="Work Sans" w:cs="Calibri"/>
          <w:iCs/>
          <w:color w:val="000000"/>
          <w:kern w:val="0"/>
          <w:sz w:val="20"/>
          <w:szCs w:val="20"/>
          <w:lang w:val="es-CO" w:eastAsia="es-ES" w:bidi="ar-SA"/>
        </w:rPr>
        <w:t xml:space="preserve"> Todo ello en concordancia con las políticas de gestión documental y de archivo de la entidad.</w:t>
      </w:r>
    </w:p>
    <w:p w:rsidR="00092772" w:rsidRDefault="00092772">
      <w:pPr>
        <w:jc w:val="both"/>
        <w:rPr>
          <w:rFonts w:ascii="Work Sans" w:hAnsi="Work Sans" w:cs="Calibri"/>
          <w:sz w:val="20"/>
          <w:szCs w:val="20"/>
          <w:lang w:val="es-CO"/>
        </w:rPr>
      </w:pPr>
    </w:p>
    <w:p w:rsidR="00092772" w:rsidRDefault="00D44972">
      <w:pPr>
        <w:widowControl/>
        <w:autoSpaceDE w:val="0"/>
        <w:jc w:val="both"/>
        <w:textAlignment w:val="auto"/>
        <w:rPr>
          <w:rFonts w:ascii="Work Sans" w:eastAsia="SimSun" w:hAnsi="Work Sans" w:cs="Calibri" w:hint="eastAsia"/>
          <w:color w:val="000000"/>
          <w:kern w:val="0"/>
          <w:sz w:val="20"/>
          <w:szCs w:val="20"/>
          <w:lang w:val="es-CO" w:eastAsia="es-ES" w:bidi="ar-SA"/>
        </w:rPr>
      </w:pPr>
      <w:r>
        <w:rPr>
          <w:rFonts w:ascii="Work Sans" w:eastAsia="SimSun" w:hAnsi="Work Sans" w:cs="Calibri"/>
          <w:color w:val="000000"/>
          <w:kern w:val="0"/>
          <w:sz w:val="20"/>
          <w:szCs w:val="20"/>
          <w:lang w:val="es-CO" w:eastAsia="es-ES" w:bidi="ar-SA"/>
        </w:rPr>
        <w:t xml:space="preserve">En mérito de lo expuesto, </w:t>
      </w:r>
    </w:p>
    <w:p w:rsidR="00092772" w:rsidRDefault="00092772">
      <w:pPr>
        <w:widowControl/>
        <w:jc w:val="both"/>
        <w:rPr>
          <w:rFonts w:ascii="Work Sans" w:eastAsia="Arial Narrow" w:hAnsi="Work Sans" w:cs="Calibri"/>
          <w:sz w:val="22"/>
          <w:szCs w:val="22"/>
          <w:lang w:val="es-CO"/>
        </w:rPr>
      </w:pPr>
    </w:p>
    <w:p w:rsidR="00092772" w:rsidRDefault="00D44972">
      <w:pPr>
        <w:widowControl/>
        <w:jc w:val="center"/>
        <w:rPr>
          <w:rFonts w:ascii="Work Sans" w:eastAsia="Arial Narrow" w:hAnsi="Work Sans" w:cs="Calibri"/>
          <w:b/>
          <w:sz w:val="22"/>
          <w:szCs w:val="22"/>
          <w:lang w:val="es-CO"/>
        </w:rPr>
      </w:pPr>
      <w:r>
        <w:rPr>
          <w:rFonts w:ascii="Work Sans" w:eastAsia="Arial Narrow" w:hAnsi="Work Sans" w:cs="Calibri"/>
          <w:b/>
          <w:sz w:val="22"/>
          <w:szCs w:val="22"/>
          <w:lang w:val="es-CO"/>
        </w:rPr>
        <w:t>RESUELVE:</w:t>
      </w:r>
    </w:p>
    <w:p w:rsidR="00092772" w:rsidRDefault="00092772">
      <w:pPr>
        <w:widowControl/>
        <w:jc w:val="center"/>
        <w:rPr>
          <w:rFonts w:ascii="Work Sans" w:eastAsia="Arial Narrow" w:hAnsi="Work Sans" w:cs="Calibri"/>
          <w:sz w:val="22"/>
          <w:szCs w:val="22"/>
          <w:lang w:val="es-CO"/>
        </w:rPr>
      </w:pPr>
    </w:p>
    <w:p w:rsidR="00092772" w:rsidRDefault="00D44972">
      <w:pPr>
        <w:widowControl/>
        <w:jc w:val="both"/>
      </w:pPr>
      <w:r>
        <w:rPr>
          <w:rStyle w:val="Fuentedeprrafopredeter"/>
          <w:rFonts w:ascii="Work Sans" w:eastAsia="Arial Narrow" w:hAnsi="Work Sans" w:cs="Calibri"/>
          <w:b/>
          <w:bCs/>
          <w:sz w:val="20"/>
          <w:szCs w:val="20"/>
          <w:lang w:val="es-CO"/>
        </w:rPr>
        <w:t>Artículo 1.-</w:t>
      </w:r>
      <w:r>
        <w:rPr>
          <w:rStyle w:val="Fuentedeprrafopredeter"/>
          <w:rFonts w:ascii="Work Sans" w:eastAsia="Arial Narrow" w:hAnsi="Work Sans" w:cs="Calibri"/>
          <w:sz w:val="20"/>
          <w:szCs w:val="20"/>
          <w:lang w:val="es-CO"/>
        </w:rPr>
        <w:t xml:space="preserve"> </w:t>
      </w:r>
      <w:bookmarkStart w:id="5" w:name="_Hlk76745898"/>
      <w:bookmarkStart w:id="6" w:name="_Hlk79133203"/>
      <w:r>
        <w:rPr>
          <w:rStyle w:val="Fuentedeprrafopredeter"/>
          <w:rFonts w:ascii="Work Sans" w:eastAsia="Arial Narrow" w:hAnsi="Work Sans" w:cs="Calibri"/>
          <w:sz w:val="20"/>
          <w:szCs w:val="20"/>
          <w:lang w:val="es-CO"/>
        </w:rPr>
        <w:t>Modificar el artículo 2° de</w:t>
      </w:r>
      <w:r>
        <w:rPr>
          <w:rStyle w:val="Fuentedeprrafopredeter"/>
          <w:rFonts w:ascii="Work Sans" w:hAnsi="Work Sans" w:cs="Calibri"/>
          <w:i/>
          <w:iCs/>
          <w:spacing w:val="-3"/>
          <w:sz w:val="20"/>
          <w:szCs w:val="20"/>
          <w:lang w:bidi="ar-SA"/>
        </w:rPr>
        <w:t xml:space="preserve"> </w:t>
      </w:r>
      <w:r>
        <w:rPr>
          <w:rStyle w:val="Fuentedeprrafopredeter"/>
          <w:rFonts w:ascii="Work Sans" w:hAnsi="Work Sans" w:cs="Calibri"/>
          <w:spacing w:val="-3"/>
          <w:sz w:val="20"/>
          <w:szCs w:val="20"/>
          <w:lang w:bidi="ar-SA"/>
        </w:rPr>
        <w:t xml:space="preserve">la Resolución </w:t>
      </w:r>
      <w:r>
        <w:rPr>
          <w:rStyle w:val="Fuentedeprrafopredeter"/>
          <w:rFonts w:ascii="Work Sans" w:eastAsia="Arial Narrow" w:hAnsi="Work Sans" w:cs="Calibri"/>
          <w:sz w:val="20"/>
          <w:szCs w:val="20"/>
          <w:lang w:val="es-CO"/>
        </w:rPr>
        <w:t xml:space="preserve">No. 1546 del 27 de mayo de 2015, el cual quedará </w:t>
      </w:r>
      <w:r>
        <w:rPr>
          <w:rStyle w:val="Fuentedeprrafopredeter"/>
          <w:rFonts w:ascii="Work Sans" w:eastAsia="Arial Narrow" w:hAnsi="Work Sans" w:cs="Calibri"/>
          <w:sz w:val="20"/>
          <w:szCs w:val="20"/>
          <w:lang w:val="es-CO"/>
        </w:rPr>
        <w:t>así:</w:t>
      </w:r>
    </w:p>
    <w:p w:rsidR="00092772" w:rsidRDefault="00092772">
      <w:pPr>
        <w:widowControl/>
        <w:jc w:val="both"/>
        <w:rPr>
          <w:rFonts w:ascii="Work Sans" w:eastAsia="Arial Narrow" w:hAnsi="Work Sans" w:cs="Calibri"/>
          <w:sz w:val="20"/>
          <w:szCs w:val="20"/>
          <w:lang w:val="es-CO"/>
        </w:rPr>
      </w:pPr>
    </w:p>
    <w:p w:rsidR="00092772" w:rsidRDefault="00D44972">
      <w:pPr>
        <w:widowControl/>
        <w:jc w:val="both"/>
      </w:pPr>
      <w:r>
        <w:rPr>
          <w:rStyle w:val="Fuentedeprrafopredeter"/>
          <w:rFonts w:ascii="Work Sans" w:eastAsia="Arial Narrow" w:hAnsi="Work Sans" w:cs="Calibri"/>
          <w:iCs/>
          <w:sz w:val="20"/>
          <w:szCs w:val="20"/>
          <w:lang w:val="es-CO"/>
        </w:rPr>
        <w:t>“</w:t>
      </w:r>
      <w:r>
        <w:rPr>
          <w:rStyle w:val="Fuentedeprrafopredeter"/>
          <w:rFonts w:ascii="Work Sans" w:eastAsia="Arial Narrow" w:hAnsi="Work Sans" w:cs="Calibri"/>
          <w:b/>
          <w:bCs/>
          <w:iCs/>
          <w:sz w:val="20"/>
          <w:szCs w:val="20"/>
          <w:lang w:val="es-CO"/>
        </w:rPr>
        <w:t>ARTÍCULO SEGUNDO:</w:t>
      </w:r>
      <w:r>
        <w:rPr>
          <w:rStyle w:val="Fuentedeprrafopredeter"/>
          <w:rFonts w:ascii="Work Sans" w:eastAsia="Arial Narrow" w:hAnsi="Work Sans" w:cs="Calibri"/>
          <w:iCs/>
          <w:sz w:val="20"/>
          <w:szCs w:val="20"/>
          <w:lang w:val="es-CO"/>
        </w:rPr>
        <w:t xml:space="preserve"> Establecer las siguientes categorías y tarifas de peaje que podrá cobrar el Concesionario en la estación de peaje Aburrá con sus dos puntos de recaudo San Cristóbal ubicado en el PR 44+800 y Palmitas ubicado en el PR 39+600:</w:t>
      </w:r>
    </w:p>
    <w:p w:rsidR="00092772" w:rsidRDefault="00092772">
      <w:pPr>
        <w:tabs>
          <w:tab w:val="left" w:pos="1134"/>
        </w:tabs>
        <w:jc w:val="both"/>
        <w:rPr>
          <w:rFonts w:ascii="Work Sans" w:hAnsi="Work Sans" w:cs="Calibri"/>
          <w:b/>
          <w:bCs/>
          <w:iCs/>
          <w:sz w:val="20"/>
          <w:szCs w:val="20"/>
          <w:u w:val="single"/>
          <w:lang w:val="es-CO"/>
        </w:rPr>
      </w:pPr>
    </w:p>
    <w:tbl>
      <w:tblPr>
        <w:tblW w:w="6658" w:type="dxa"/>
        <w:jc w:val="center"/>
        <w:tblCellMar>
          <w:left w:w="10" w:type="dxa"/>
          <w:right w:w="10" w:type="dxa"/>
        </w:tblCellMar>
        <w:tblLook w:val="0000" w:firstRow="0" w:lastRow="0" w:firstColumn="0" w:lastColumn="0" w:noHBand="0" w:noVBand="0"/>
      </w:tblPr>
      <w:tblGrid>
        <w:gridCol w:w="1500"/>
        <w:gridCol w:w="1614"/>
        <w:gridCol w:w="1701"/>
        <w:gridCol w:w="1843"/>
      </w:tblGrid>
      <w:tr w:rsidR="00092772">
        <w:tblPrEx>
          <w:tblCellMar>
            <w:top w:w="0" w:type="dxa"/>
            <w:bottom w:w="0" w:type="dxa"/>
          </w:tblCellMar>
        </w:tblPrEx>
        <w:trPr>
          <w:trHeight w:val="55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pPr>
            <w:r>
              <w:rPr>
                <w:rStyle w:val="Fuentedeprrafopredeter"/>
                <w:rFonts w:ascii="Work Sans" w:hAnsi="Work Sans" w:cs="Calibri"/>
                <w:b/>
                <w:bCs/>
                <w:iCs/>
                <w:color w:val="000000"/>
                <w:sz w:val="18"/>
                <w:szCs w:val="18"/>
                <w:lang w:val="es-CO"/>
              </w:rPr>
              <w:t>CATEG</w:t>
            </w:r>
            <w:r>
              <w:rPr>
                <w:rStyle w:val="Fuentedeprrafopredeter"/>
                <w:rFonts w:ascii="Work Sans" w:hAnsi="Work Sans" w:cs="Calibri"/>
                <w:b/>
                <w:bCs/>
                <w:iCs/>
                <w:color w:val="000000"/>
                <w:sz w:val="18"/>
                <w:szCs w:val="18"/>
                <w:lang w:val="es-CO"/>
              </w:rPr>
              <w:t>ORÍA</w:t>
            </w:r>
          </w:p>
        </w:tc>
        <w:tc>
          <w:tcPr>
            <w:tcW w:w="5158"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TARIFAS Pesos de diciembre de 2012 (No incluye FOSEVI)</w:t>
            </w:r>
          </w:p>
        </w:tc>
      </w:tr>
      <w:tr w:rsidR="00092772">
        <w:tblPrEx>
          <w:tblCellMar>
            <w:top w:w="0" w:type="dxa"/>
            <w:bottom w:w="0" w:type="dxa"/>
          </w:tblCellMar>
        </w:tblPrEx>
        <w:trPr>
          <w:trHeight w:val="300"/>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092772">
            <w:pPr>
              <w:jc w:val="center"/>
              <w:rPr>
                <w:rFonts w:ascii="Work Sans" w:hAnsi="Work Sans" w:cs="Calibri"/>
                <w:b/>
                <w:bCs/>
                <w:iCs/>
                <w:color w:val="000000"/>
                <w:sz w:val="18"/>
                <w:szCs w:val="18"/>
                <w:lang w:val="es-CO"/>
              </w:rPr>
            </w:pPr>
          </w:p>
        </w:tc>
        <w:tc>
          <w:tcPr>
            <w:tcW w:w="16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 xml:space="preserve">Desde el 16 de enero de 2023 hasta el 15 de enero de 2024 </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Desde el 16 de enero de 2024 hasta el 15 de enero de 2025</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92772" w:rsidRDefault="00D44972">
            <w:pPr>
              <w:jc w:val="center"/>
              <w:rPr>
                <w:rFonts w:ascii="Work Sans" w:hAnsi="Work Sans" w:cs="Calibri"/>
                <w:b/>
                <w:bCs/>
                <w:iCs/>
                <w:color w:val="000000"/>
                <w:sz w:val="18"/>
                <w:szCs w:val="18"/>
                <w:lang w:val="es-CO"/>
              </w:rPr>
            </w:pPr>
            <w:r>
              <w:rPr>
                <w:rFonts w:ascii="Work Sans" w:hAnsi="Work Sans" w:cs="Calibri"/>
                <w:b/>
                <w:bCs/>
                <w:iCs/>
                <w:color w:val="000000"/>
                <w:sz w:val="18"/>
                <w:szCs w:val="18"/>
                <w:lang w:val="es-CO"/>
              </w:rPr>
              <w:t>Desde el 16 de enero de 2025 hasta el 15 de enero de 2026</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xml:space="preserve">$           </w:t>
            </w:r>
            <w:r>
              <w:rPr>
                <w:rFonts w:ascii="Work Sans" w:hAnsi="Work Sans" w:cs="Calibri"/>
                <w:iCs/>
                <w:color w:val="000000"/>
                <w:sz w:val="18"/>
                <w:szCs w:val="18"/>
                <w:lang w:val="es-CO"/>
              </w:rPr>
              <w:t>13.654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15.280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16.500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IV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15.951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18.493</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20.400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V</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36.380</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xml:space="preserve">$ </w:t>
            </w:r>
            <w:r>
              <w:rPr>
                <w:rFonts w:ascii="Work Sans" w:hAnsi="Work Sans" w:cs="Calibri"/>
                <w:iCs/>
                <w:color w:val="000000"/>
                <w:sz w:val="18"/>
                <w:szCs w:val="18"/>
                <w:lang w:val="es-CO"/>
              </w:rPr>
              <w:t xml:space="preserve">          43.649</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49.100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VI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46.701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55.215</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61.600</w:t>
            </w:r>
          </w:p>
        </w:tc>
      </w:tr>
      <w:tr w:rsidR="00092772">
        <w:tblPrEx>
          <w:tblCellMar>
            <w:top w:w="0" w:type="dxa"/>
            <w:bottom w:w="0" w:type="dxa"/>
          </w:tblCellMar>
        </w:tblPrEx>
        <w:trPr>
          <w:trHeight w:val="300"/>
          <w:jc w:val="center"/>
        </w:trPr>
        <w:tc>
          <w:tcPr>
            <w:tcW w:w="1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VII</w:t>
            </w:r>
          </w:p>
        </w:tc>
        <w:tc>
          <w:tcPr>
            <w:tcW w:w="16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55.153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64.380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92772" w:rsidRDefault="00D44972">
            <w:pPr>
              <w:jc w:val="center"/>
              <w:rPr>
                <w:rFonts w:ascii="Work Sans" w:hAnsi="Work Sans" w:cs="Calibri"/>
                <w:iCs/>
                <w:color w:val="000000"/>
                <w:sz w:val="18"/>
                <w:szCs w:val="18"/>
                <w:lang w:val="es-CO"/>
              </w:rPr>
            </w:pPr>
            <w:r>
              <w:rPr>
                <w:rFonts w:ascii="Work Sans" w:hAnsi="Work Sans" w:cs="Calibri"/>
                <w:iCs/>
                <w:color w:val="000000"/>
                <w:sz w:val="18"/>
                <w:szCs w:val="18"/>
                <w:lang w:val="es-CO"/>
              </w:rPr>
              <w:t>$           71.300</w:t>
            </w:r>
          </w:p>
        </w:tc>
      </w:tr>
    </w:tbl>
    <w:p w:rsidR="00092772" w:rsidRDefault="00D44972">
      <w:pPr>
        <w:tabs>
          <w:tab w:val="left" w:pos="1134"/>
        </w:tabs>
        <w:ind w:left="567" w:hanging="141"/>
        <w:jc w:val="center"/>
      </w:pPr>
      <w:r>
        <w:rPr>
          <w:rStyle w:val="Fuentedeprrafopredeter"/>
          <w:rFonts w:ascii="Work Sans" w:hAnsi="Work Sans" w:cs="Arial"/>
          <w:iCs/>
          <w:sz w:val="18"/>
          <w:szCs w:val="18"/>
          <w:lang w:val="es-CO"/>
        </w:rPr>
        <w:t xml:space="preserve">*Las tarifas no incluyen el valor de del Fondo de Seguridad Vial y ninguna otra sobretasa o </w:t>
      </w:r>
      <w:r>
        <w:rPr>
          <w:rStyle w:val="Fuentedeprrafopredeter"/>
          <w:rFonts w:ascii="Work Sans" w:hAnsi="Work Sans" w:cs="Arial"/>
          <w:iCs/>
          <w:sz w:val="18"/>
          <w:szCs w:val="18"/>
          <w:lang w:val="es-CO"/>
        </w:rPr>
        <w:t>similar</w:t>
      </w:r>
    </w:p>
    <w:p w:rsidR="00092772" w:rsidRDefault="00092772">
      <w:pPr>
        <w:tabs>
          <w:tab w:val="left" w:pos="1134"/>
        </w:tabs>
        <w:jc w:val="both"/>
        <w:rPr>
          <w:rFonts w:ascii="Work Sans" w:hAnsi="Work Sans" w:cs="Calibri"/>
          <w:i/>
          <w:iCs/>
          <w:sz w:val="22"/>
          <w:szCs w:val="22"/>
          <w:lang w:val="es-CO"/>
        </w:rPr>
      </w:pPr>
    </w:p>
    <w:p w:rsidR="00092772" w:rsidRDefault="00D44972">
      <w:pPr>
        <w:jc w:val="both"/>
      </w:pPr>
      <w:r>
        <w:rPr>
          <w:rStyle w:val="Fuentedeprrafopredeter"/>
          <w:rFonts w:ascii="Work Sans" w:eastAsia="Caladea" w:hAnsi="Work Sans" w:cs="Caladea"/>
          <w:b/>
          <w:kern w:val="0"/>
          <w:sz w:val="20"/>
          <w:szCs w:val="20"/>
          <w:lang w:eastAsia="en-US" w:bidi="ar-SA"/>
        </w:rPr>
        <w:t>Parágrafo Primero:</w:t>
      </w:r>
      <w:r>
        <w:rPr>
          <w:rStyle w:val="Fuentedeprrafopredeter"/>
          <w:rFonts w:ascii="Work Sans" w:eastAsia="Caladea" w:hAnsi="Work Sans" w:cs="Caladea"/>
          <w:kern w:val="0"/>
          <w:sz w:val="20"/>
          <w:szCs w:val="20"/>
          <w:lang w:eastAsia="en-US" w:bidi="ar-SA"/>
        </w:rPr>
        <w:t xml:space="preserve"> Las tarifas diferenciales establecidas en el presente artículo no incluyen el valor correspondiente </w:t>
      </w:r>
      <w:r>
        <w:rPr>
          <w:rStyle w:val="Fuentedeprrafopredeter"/>
          <w:rFonts w:ascii="Work Sans" w:hAnsi="Work Sans"/>
          <w:sz w:val="20"/>
          <w:szCs w:val="20"/>
        </w:rPr>
        <w:t>al FOSEVI, sin embargo,</w:t>
      </w:r>
      <w:r>
        <w:rPr>
          <w:rStyle w:val="Fuentedeprrafopredeter"/>
          <w:rFonts w:ascii="Work Sans" w:hAnsi="Work Sans" w:cs="Calibri"/>
          <w:iCs/>
          <w:sz w:val="20"/>
          <w:szCs w:val="20"/>
          <w:lang w:val="es-CO"/>
        </w:rPr>
        <w:t xml:space="preserve"> a las tarifas de peaje se les adicionará el valor del FOSEVI del periodo de actualización, acorde con la</w:t>
      </w:r>
      <w:r>
        <w:rPr>
          <w:rStyle w:val="Fuentedeprrafopredeter"/>
          <w:rFonts w:ascii="Work Sans" w:hAnsi="Work Sans" w:cs="Calibri"/>
          <w:iCs/>
          <w:sz w:val="20"/>
          <w:szCs w:val="20"/>
          <w:lang w:val="es-CO"/>
        </w:rPr>
        <w:t xml:space="preserve"> Resolución del Ministerio de Transporte. </w:t>
      </w:r>
    </w:p>
    <w:p w:rsidR="00092772" w:rsidRDefault="00092772">
      <w:pPr>
        <w:tabs>
          <w:tab w:val="left" w:pos="1134"/>
        </w:tabs>
        <w:jc w:val="both"/>
        <w:rPr>
          <w:rFonts w:ascii="Work Sans" w:hAnsi="Work Sans"/>
          <w:sz w:val="20"/>
          <w:szCs w:val="20"/>
        </w:rPr>
      </w:pPr>
    </w:p>
    <w:p w:rsidR="00092772" w:rsidRDefault="00D44972">
      <w:pPr>
        <w:tabs>
          <w:tab w:val="left" w:pos="1134"/>
        </w:tabs>
        <w:jc w:val="both"/>
      </w:pPr>
      <w:r>
        <w:rPr>
          <w:rStyle w:val="Fuentedeprrafopredeter"/>
          <w:rFonts w:ascii="Work Sans" w:hAnsi="Work Sans" w:cs="Times New Roman"/>
          <w:b/>
          <w:bCs/>
          <w:sz w:val="20"/>
          <w:szCs w:val="20"/>
          <w:lang w:val="es-CO"/>
        </w:rPr>
        <w:t>Parágrafo segundo:</w:t>
      </w:r>
      <w:r>
        <w:rPr>
          <w:rStyle w:val="Fuentedeprrafopredeter"/>
          <w:rFonts w:ascii="Work Sans" w:hAnsi="Work Sans" w:cs="Times New Roman"/>
          <w:sz w:val="20"/>
          <w:szCs w:val="20"/>
          <w:lang w:val="es-CO"/>
        </w:rPr>
        <w:t xml:space="preserve"> Para determinar el valor a cobrar de la tarifa antes del FOSEVI a partir del año 2023 y hasta el año 2025, se tomará el valor descrito en las tablas contenidas en el presente artículo, </w:t>
      </w:r>
      <w:r>
        <w:rPr>
          <w:rStyle w:val="Fuentedeprrafopredeter"/>
          <w:rFonts w:ascii="Work Sans" w:hAnsi="Work Sans" w:cs="Times New Roman"/>
          <w:sz w:val="20"/>
          <w:szCs w:val="20"/>
          <w:lang w:val="es-CO"/>
        </w:rPr>
        <w:t>actualizando la tarifa con el IPC correspondiente al año en que se realice el incremento.</w:t>
      </w:r>
    </w:p>
    <w:p w:rsidR="00092772" w:rsidRDefault="00092772">
      <w:pPr>
        <w:tabs>
          <w:tab w:val="left" w:pos="1134"/>
        </w:tabs>
        <w:jc w:val="both"/>
        <w:rPr>
          <w:rFonts w:ascii="Work Sans" w:hAnsi="Work Sans" w:cs="Times New Roman"/>
          <w:iCs/>
          <w:sz w:val="20"/>
          <w:szCs w:val="20"/>
        </w:rPr>
      </w:pPr>
    </w:p>
    <w:p w:rsidR="00092772" w:rsidRDefault="00D44972">
      <w:pPr>
        <w:tabs>
          <w:tab w:val="left" w:pos="1134"/>
        </w:tabs>
        <w:jc w:val="both"/>
      </w:pPr>
      <w:r>
        <w:rPr>
          <w:rStyle w:val="Fuentedeprrafopredeter"/>
          <w:rFonts w:ascii="Work Sans" w:hAnsi="Work Sans" w:cs="Times New Roman"/>
          <w:b/>
          <w:bCs/>
          <w:iCs/>
          <w:sz w:val="20"/>
          <w:szCs w:val="20"/>
          <w:lang w:val="es-CO"/>
        </w:rPr>
        <w:t xml:space="preserve">Parágrafo tercero: </w:t>
      </w:r>
      <w:r>
        <w:rPr>
          <w:rStyle w:val="Fuentedeprrafopredeter"/>
          <w:rFonts w:ascii="Work Sans" w:hAnsi="Work Sans" w:cs="Times New Roman"/>
          <w:iCs/>
          <w:sz w:val="20"/>
          <w:szCs w:val="20"/>
          <w:lang w:val="es-CO"/>
        </w:rPr>
        <w:t xml:space="preserve">Las tarifas establecidas serán actualizadas el dieciséis (16) de enero de cada año. </w:t>
      </w:r>
    </w:p>
    <w:p w:rsidR="00092772" w:rsidRDefault="00092772">
      <w:pPr>
        <w:tabs>
          <w:tab w:val="left" w:pos="1134"/>
        </w:tabs>
        <w:jc w:val="both"/>
        <w:rPr>
          <w:rFonts w:ascii="Work Sans" w:hAnsi="Work Sans" w:cs="Times New Roman"/>
          <w:b/>
          <w:bCs/>
          <w:iCs/>
          <w:sz w:val="20"/>
          <w:szCs w:val="20"/>
          <w:lang w:val="es-CO"/>
        </w:rPr>
      </w:pPr>
    </w:p>
    <w:p w:rsidR="00092772" w:rsidRDefault="00D44972">
      <w:pPr>
        <w:tabs>
          <w:tab w:val="left" w:pos="1134"/>
        </w:tabs>
        <w:jc w:val="both"/>
      </w:pPr>
      <w:r>
        <w:rPr>
          <w:rStyle w:val="Fuentedeprrafopredeter"/>
          <w:rFonts w:ascii="Work Sans" w:hAnsi="Work Sans" w:cs="Times New Roman"/>
          <w:b/>
          <w:bCs/>
          <w:iCs/>
          <w:sz w:val="20"/>
          <w:szCs w:val="20"/>
          <w:lang w:val="es-CO"/>
        </w:rPr>
        <w:t xml:space="preserve">Parágrafo cuarto: </w:t>
      </w:r>
      <w:r>
        <w:rPr>
          <w:rStyle w:val="Fuentedeprrafopredeter"/>
          <w:rFonts w:ascii="Work Sans" w:hAnsi="Work Sans" w:cs="Times New Roman"/>
          <w:iCs/>
          <w:sz w:val="20"/>
          <w:szCs w:val="20"/>
          <w:lang w:val="es-CO"/>
        </w:rPr>
        <w:t>A partir del 16 de enero de</w:t>
      </w:r>
      <w:r>
        <w:rPr>
          <w:rStyle w:val="Fuentedeprrafopredeter"/>
          <w:rFonts w:ascii="Work Sans" w:hAnsi="Work Sans" w:cs="Times New Roman"/>
          <w:b/>
          <w:bCs/>
          <w:iCs/>
          <w:sz w:val="20"/>
          <w:szCs w:val="20"/>
          <w:lang w:val="es-CO"/>
        </w:rPr>
        <w:t xml:space="preserve"> </w:t>
      </w:r>
      <w:r>
        <w:rPr>
          <w:rStyle w:val="Fuentedeprrafopredeter"/>
          <w:rFonts w:ascii="Work Sans" w:hAnsi="Work Sans" w:cs="Times New Roman"/>
          <w:iCs/>
          <w:sz w:val="20"/>
          <w:szCs w:val="20"/>
          <w:lang w:val="es-CO"/>
        </w:rPr>
        <w:t xml:space="preserve">2026 y para </w:t>
      </w:r>
      <w:r>
        <w:rPr>
          <w:rStyle w:val="Fuentedeprrafopredeter"/>
          <w:rFonts w:ascii="Work Sans" w:hAnsi="Work Sans" w:cs="Times New Roman"/>
          <w:iCs/>
          <w:sz w:val="20"/>
          <w:szCs w:val="20"/>
          <w:lang w:val="es-CO"/>
        </w:rPr>
        <w:t>los siguientes años, el incremento de las tarifas de los peajes se realizará de acuerdo con el IPC de cierre de cada año, siguiendo el procedimiento definido en la Sección 4.2(e) de la Parte Especial del Contrato de Concesión No. 014 de 2015.</w:t>
      </w:r>
    </w:p>
    <w:p w:rsidR="00092772" w:rsidRDefault="00092772">
      <w:pPr>
        <w:jc w:val="both"/>
        <w:rPr>
          <w:rFonts w:ascii="Work Sans" w:hAnsi="Work Sans" w:cs="Calibri"/>
          <w:iCs/>
          <w:sz w:val="20"/>
          <w:szCs w:val="20"/>
          <w:lang w:val="es-CO"/>
        </w:rPr>
      </w:pPr>
    </w:p>
    <w:p w:rsidR="00092772" w:rsidRDefault="00D44972">
      <w:pPr>
        <w:jc w:val="both"/>
      </w:pPr>
      <w:r>
        <w:rPr>
          <w:rStyle w:val="Fuentedeprrafopredeter"/>
          <w:rFonts w:ascii="Work Sans" w:hAnsi="Work Sans" w:cs="Times New Roman"/>
          <w:b/>
          <w:bCs/>
          <w:iCs/>
          <w:sz w:val="20"/>
          <w:szCs w:val="20"/>
          <w:lang w:val="es-CO"/>
        </w:rPr>
        <w:t>Parágrafo qu</w:t>
      </w:r>
      <w:r>
        <w:rPr>
          <w:rStyle w:val="Fuentedeprrafopredeter"/>
          <w:rFonts w:ascii="Work Sans" w:hAnsi="Work Sans" w:cs="Times New Roman"/>
          <w:b/>
          <w:bCs/>
          <w:iCs/>
          <w:sz w:val="20"/>
          <w:szCs w:val="20"/>
          <w:lang w:val="es-CO"/>
        </w:rPr>
        <w:t>into:</w:t>
      </w:r>
      <w:r>
        <w:rPr>
          <w:rStyle w:val="Fuentedeprrafopredeter"/>
          <w:rFonts w:ascii="Work Sans" w:hAnsi="Work Sans" w:cs="Times New Roman"/>
          <w:iCs/>
          <w:sz w:val="20"/>
          <w:szCs w:val="20"/>
          <w:lang w:val="es-CO"/>
        </w:rPr>
        <w:t xml:space="preserve"> Las tarifas de peaje previstas en esta resolución deberán ser ajustadas a la centena más cercana, una vez efectuada la operación de actualización, de acuerdo con lo señalado en la Sección 4.2 de la Parte Especial del Contrato de Concesión No. 014 de </w:t>
      </w:r>
      <w:r>
        <w:rPr>
          <w:rStyle w:val="Fuentedeprrafopredeter"/>
          <w:rFonts w:ascii="Work Sans" w:hAnsi="Work Sans" w:cs="Times New Roman"/>
          <w:iCs/>
          <w:sz w:val="20"/>
          <w:szCs w:val="20"/>
          <w:lang w:val="es-CO"/>
        </w:rPr>
        <w:t xml:space="preserve">2015. </w:t>
      </w:r>
    </w:p>
    <w:p w:rsidR="00092772" w:rsidRDefault="00092772">
      <w:pPr>
        <w:jc w:val="both"/>
        <w:rPr>
          <w:rFonts w:ascii="Work Sans" w:hAnsi="Work Sans" w:cs="Calibri"/>
          <w:iCs/>
          <w:sz w:val="20"/>
          <w:szCs w:val="20"/>
          <w:lang w:val="es-CO"/>
        </w:rPr>
      </w:pPr>
    </w:p>
    <w:bookmarkEnd w:id="5"/>
    <w:bookmarkEnd w:id="6"/>
    <w:p w:rsidR="00092772" w:rsidRDefault="00D44972">
      <w:pPr>
        <w:widowControl/>
        <w:autoSpaceDE w:val="0"/>
        <w:jc w:val="both"/>
      </w:pPr>
      <w:r>
        <w:rPr>
          <w:rStyle w:val="Fuentedeprrafopredeter"/>
          <w:rFonts w:ascii="Work Sans" w:eastAsia="Arial Narrow" w:hAnsi="Work Sans" w:cs="Calibri"/>
          <w:b/>
          <w:bCs/>
          <w:sz w:val="20"/>
          <w:szCs w:val="20"/>
          <w:lang w:val="es-CO"/>
        </w:rPr>
        <w:t>Artículo 22</w:t>
      </w:r>
      <w:r>
        <w:rPr>
          <w:rStyle w:val="Fuentedeprrafopredeter"/>
          <w:rFonts w:ascii="Work Sans" w:eastAsia="Arial Narrow" w:hAnsi="Work Sans" w:cs="Calibri"/>
          <w:sz w:val="20"/>
          <w:szCs w:val="20"/>
          <w:lang w:val="es-CO"/>
        </w:rPr>
        <w:t>.- La presente Resolución rige a partir de la fecha de su publicación en el Diario Oficial y deroga la Resolución número 3025 de agosto 27 de 2015.</w:t>
      </w:r>
    </w:p>
    <w:p w:rsidR="00092772" w:rsidRDefault="00092772">
      <w:pPr>
        <w:widowControl/>
        <w:jc w:val="both"/>
        <w:rPr>
          <w:rFonts w:ascii="Work Sans" w:eastAsia="Arial Narrow" w:hAnsi="Work Sans" w:cs="Calibri"/>
          <w:sz w:val="20"/>
          <w:szCs w:val="20"/>
          <w:lang w:val="es-CO"/>
        </w:rPr>
      </w:pPr>
    </w:p>
    <w:p w:rsidR="00092772" w:rsidRDefault="00092772">
      <w:pPr>
        <w:widowControl/>
        <w:jc w:val="both"/>
        <w:rPr>
          <w:rFonts w:ascii="Work Sans" w:eastAsia="Arial Narrow" w:hAnsi="Work Sans" w:cs="Calibri"/>
          <w:sz w:val="22"/>
          <w:szCs w:val="22"/>
          <w:lang w:val="es-CO"/>
        </w:rPr>
      </w:pPr>
    </w:p>
    <w:p w:rsidR="00092772" w:rsidRDefault="00092772">
      <w:pPr>
        <w:widowControl/>
        <w:jc w:val="both"/>
        <w:rPr>
          <w:rFonts w:ascii="Work Sans" w:eastAsia="Arial Narrow" w:hAnsi="Work Sans" w:cs="Calibri"/>
          <w:sz w:val="22"/>
          <w:szCs w:val="22"/>
          <w:lang w:val="es-CO"/>
        </w:rPr>
      </w:pPr>
    </w:p>
    <w:p w:rsidR="00092772" w:rsidRDefault="00D44972">
      <w:pPr>
        <w:widowControl/>
        <w:autoSpaceDE w:val="0"/>
        <w:jc w:val="center"/>
        <w:rPr>
          <w:rFonts w:ascii="Work Sans" w:eastAsia="Arial Narrow" w:hAnsi="Work Sans" w:cs="Calibri"/>
          <w:b/>
          <w:sz w:val="22"/>
          <w:szCs w:val="22"/>
          <w:lang w:val="es-CO"/>
        </w:rPr>
      </w:pPr>
      <w:r>
        <w:rPr>
          <w:rFonts w:ascii="Work Sans" w:eastAsia="Arial Narrow" w:hAnsi="Work Sans" w:cs="Calibri"/>
          <w:b/>
          <w:sz w:val="22"/>
          <w:szCs w:val="22"/>
          <w:lang w:val="es-CO"/>
        </w:rPr>
        <w:t>PUBLÍQUESE, CÚMPLASE</w:t>
      </w:r>
    </w:p>
    <w:p w:rsidR="00092772" w:rsidRDefault="00092772">
      <w:pPr>
        <w:widowControl/>
        <w:autoSpaceDE w:val="0"/>
        <w:jc w:val="both"/>
        <w:rPr>
          <w:rFonts w:ascii="Work Sans" w:eastAsia="Arial Narrow" w:hAnsi="Work Sans" w:cs="Calibri"/>
          <w:sz w:val="22"/>
          <w:szCs w:val="22"/>
          <w:lang w:val="es-CO"/>
        </w:rPr>
      </w:pPr>
    </w:p>
    <w:p w:rsidR="00092772" w:rsidRDefault="00092772">
      <w:pPr>
        <w:widowControl/>
        <w:autoSpaceDE w:val="0"/>
        <w:jc w:val="both"/>
        <w:rPr>
          <w:rFonts w:ascii="Work Sans" w:eastAsia="Arial Narrow" w:hAnsi="Work Sans" w:cs="Calibri"/>
          <w:sz w:val="22"/>
          <w:szCs w:val="22"/>
          <w:lang w:val="es-CO"/>
        </w:rPr>
      </w:pPr>
    </w:p>
    <w:p w:rsidR="00092772" w:rsidRDefault="00092772">
      <w:pPr>
        <w:jc w:val="center"/>
        <w:rPr>
          <w:rFonts w:ascii="Work Sans" w:eastAsia="Arial Narrow" w:hAnsi="Work Sans" w:cs="Calibri"/>
          <w:sz w:val="22"/>
          <w:szCs w:val="22"/>
          <w:lang w:val="es-CO"/>
        </w:rPr>
      </w:pPr>
    </w:p>
    <w:p w:rsidR="00092772" w:rsidRDefault="00092772">
      <w:pPr>
        <w:widowControl/>
        <w:autoSpaceDE w:val="0"/>
        <w:ind w:left="-142"/>
        <w:jc w:val="center"/>
        <w:rPr>
          <w:rFonts w:ascii="Work Sans" w:hAnsi="Work Sans" w:cs="Calibri"/>
          <w:sz w:val="22"/>
          <w:szCs w:val="22"/>
          <w:lang w:val="es-CO" w:bidi="ar-SA"/>
        </w:rPr>
      </w:pPr>
    </w:p>
    <w:p w:rsidR="00092772" w:rsidRDefault="00092772">
      <w:pPr>
        <w:widowControl/>
        <w:jc w:val="center"/>
        <w:textAlignment w:val="auto"/>
        <w:rPr>
          <w:rFonts w:ascii="Work Sans" w:hAnsi="Work Sans" w:cs="Calibri"/>
          <w:kern w:val="0"/>
          <w:sz w:val="22"/>
          <w:szCs w:val="22"/>
          <w:lang w:val="es-CO" w:eastAsia="en-US" w:bidi="ar-SA"/>
        </w:rPr>
      </w:pPr>
    </w:p>
    <w:p w:rsidR="00092772" w:rsidRDefault="00D44972">
      <w:pPr>
        <w:jc w:val="center"/>
        <w:rPr>
          <w:rFonts w:ascii="Work Sans" w:hAnsi="Work Sans" w:cs="Arial-BoldMT"/>
          <w:b/>
          <w:bCs/>
          <w:sz w:val="22"/>
          <w:szCs w:val="22"/>
          <w:lang w:val="es-CO" w:eastAsia="es-CO"/>
        </w:rPr>
      </w:pPr>
      <w:r>
        <w:rPr>
          <w:rFonts w:ascii="Work Sans" w:hAnsi="Work Sans" w:cs="Arial-BoldMT"/>
          <w:b/>
          <w:bCs/>
          <w:sz w:val="22"/>
          <w:szCs w:val="22"/>
          <w:lang w:val="es-CO" w:eastAsia="es-CO"/>
        </w:rPr>
        <w:t>GUILLERMO FRANCISCO REYES GONZÁLEZ</w:t>
      </w:r>
    </w:p>
    <w:p w:rsidR="00092772" w:rsidRDefault="00092772">
      <w:pPr>
        <w:widowControl/>
        <w:rPr>
          <w:rFonts w:ascii="Work Sans" w:hAnsi="Work Sans" w:cs="Calibri"/>
          <w:sz w:val="22"/>
          <w:szCs w:val="22"/>
          <w:lang w:val="es-CO" w:bidi="ar-SA"/>
        </w:rPr>
      </w:pPr>
    </w:p>
    <w:p w:rsidR="00092772" w:rsidRDefault="00092772">
      <w:pPr>
        <w:widowControl/>
        <w:rPr>
          <w:rFonts w:ascii="Calibri" w:hAnsi="Calibri" w:cs="Calibri"/>
          <w:sz w:val="12"/>
          <w:szCs w:val="12"/>
          <w:lang w:val="es-CO" w:bidi="ar-SA"/>
        </w:rPr>
      </w:pPr>
    </w:p>
    <w:p w:rsidR="00092772" w:rsidRDefault="00092772">
      <w:pPr>
        <w:pStyle w:val="Standard"/>
        <w:rPr>
          <w:lang w:val="es-CO"/>
        </w:rPr>
      </w:pPr>
    </w:p>
    <w:p w:rsidR="00092772" w:rsidRDefault="00092772">
      <w:pPr>
        <w:pStyle w:val="Standard"/>
        <w:rPr>
          <w:lang w:val="es-CO"/>
        </w:rPr>
      </w:pPr>
    </w:p>
    <w:p w:rsidR="00092772" w:rsidRDefault="00092772">
      <w:pPr>
        <w:widowControl/>
        <w:tabs>
          <w:tab w:val="left" w:pos="3717"/>
        </w:tabs>
        <w:spacing w:line="276" w:lineRule="auto"/>
        <w:ind w:left="20"/>
        <w:jc w:val="both"/>
        <w:textAlignment w:val="auto"/>
        <w:rPr>
          <w:rFonts w:ascii="Work Sans" w:eastAsia="DengXian Light" w:hAnsi="Work Sans" w:cs="Arial"/>
          <w:color w:val="000000"/>
          <w:sz w:val="12"/>
          <w:szCs w:val="12"/>
        </w:rPr>
      </w:pPr>
    </w:p>
    <w:p w:rsidR="00092772" w:rsidRDefault="00092772">
      <w:pPr>
        <w:widowControl/>
        <w:tabs>
          <w:tab w:val="left" w:pos="3717"/>
        </w:tabs>
        <w:spacing w:line="276" w:lineRule="auto"/>
        <w:ind w:left="20"/>
        <w:jc w:val="both"/>
        <w:textAlignment w:val="auto"/>
        <w:rPr>
          <w:rFonts w:ascii="Work Sans" w:eastAsia="DengXian Light" w:hAnsi="Work Sans" w:cs="Arial"/>
          <w:color w:val="000000"/>
          <w:sz w:val="12"/>
          <w:szCs w:val="12"/>
        </w:rPr>
      </w:pPr>
    </w:p>
    <w:tbl>
      <w:tblPr>
        <w:tblW w:w="7513" w:type="dxa"/>
        <w:tblInd w:w="562" w:type="dxa"/>
        <w:tblCellMar>
          <w:left w:w="10" w:type="dxa"/>
          <w:right w:w="10" w:type="dxa"/>
        </w:tblCellMar>
        <w:tblLook w:val="0000" w:firstRow="0" w:lastRow="0" w:firstColumn="0" w:lastColumn="0" w:noHBand="0" w:noVBand="0"/>
      </w:tblPr>
      <w:tblGrid>
        <w:gridCol w:w="736"/>
        <w:gridCol w:w="2215"/>
        <w:gridCol w:w="4143"/>
        <w:gridCol w:w="419"/>
      </w:tblGrid>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V.B.</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 xml:space="preserve">William </w:t>
            </w:r>
            <w:r>
              <w:rPr>
                <w:rStyle w:val="Fuentedeprrafopredeter"/>
                <w:rFonts w:ascii="Work Sans" w:hAnsi="Work Sans" w:cs="Arial"/>
                <w:sz w:val="12"/>
                <w:szCs w:val="12"/>
                <w:lang w:eastAsia="es-CO"/>
              </w:rPr>
              <w:t>Fernando Camargo Triana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Presidente Agencia Nacional de Infraestructura</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Fernando Ramírez Laguado</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Vicepresidente Jurídico, Agencia Nacional de Infraestructura</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Proyectó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lang w:eastAsia="es-CO"/>
              </w:rPr>
            </w:pPr>
            <w:r>
              <w:rPr>
                <w:rFonts w:ascii="Work Sans" w:hAnsi="Work Sans" w:cs="Arial"/>
                <w:sz w:val="12"/>
                <w:szCs w:val="12"/>
                <w:lang w:eastAsia="es-CO"/>
              </w:rPr>
              <w:t>Carlos Andrés Ortega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lang w:eastAsia="es-CO"/>
              </w:rPr>
            </w:pPr>
            <w:r>
              <w:rPr>
                <w:rFonts w:ascii="Work Sans" w:hAnsi="Work Sans" w:cs="Arial"/>
                <w:sz w:val="12"/>
                <w:szCs w:val="12"/>
                <w:lang w:eastAsia="es-CO"/>
              </w:rPr>
              <w:t>Apoyo Jurídico Vicepresidencia Jurídica</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 xml:space="preserve">Carolina </w:t>
            </w:r>
            <w:r>
              <w:rPr>
                <w:rFonts w:ascii="Work Sans" w:hAnsi="Work Sans" w:cs="Arial"/>
                <w:sz w:val="12"/>
                <w:szCs w:val="12"/>
              </w:rPr>
              <w:t>Palacio Montoya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rPr>
              <w:t>Jefe Oficina Asesora de Jurídica, Ministerio de Transporte (E)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Sol Ángel Cala Acosta</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Asesora Despacho del ministro, Ministerio de Transporte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Julián Soto Ocampo</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Jefe de Oficina de Regulación Económica, Ministerio de Transpo</w:t>
            </w:r>
            <w:r>
              <w:rPr>
                <w:rStyle w:val="Fuentedeprrafopredeter"/>
                <w:rFonts w:ascii="Work Sans" w:hAnsi="Work Sans" w:cs="Arial"/>
                <w:sz w:val="12"/>
                <w:szCs w:val="12"/>
                <w:lang w:eastAsia="es-CO"/>
              </w:rPr>
              <w:t>rte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r w:rsidR="00092772">
        <w:tblPrEx>
          <w:tblCellMar>
            <w:top w:w="0" w:type="dxa"/>
            <w:bottom w:w="0" w:type="dxa"/>
          </w:tblCellMar>
        </w:tblPrEx>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pPr>
              <w:rPr>
                <w:rFonts w:ascii="Work Sans" w:hAnsi="Work Sans" w:cs="Arial"/>
                <w:sz w:val="12"/>
                <w:szCs w:val="12"/>
              </w:rPr>
            </w:pPr>
            <w:r>
              <w:rPr>
                <w:rFonts w:ascii="Work Sans" w:hAnsi="Work Sans" w:cs="Arial"/>
                <w:sz w:val="12"/>
                <w:szCs w:val="12"/>
              </w:rPr>
              <w:t>Revisó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cs="Arial"/>
                <w:sz w:val="12"/>
                <w:szCs w:val="12"/>
                <w:lang w:eastAsia="es-CO"/>
              </w:rPr>
              <w:t>Magda Paola Suárez Alejo</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772" w:rsidRDefault="00D44972">
            <w:r>
              <w:rPr>
                <w:rStyle w:val="Fuentedeprrafopredeter"/>
                <w:rFonts w:ascii="Work Sans" w:hAnsi="Work Sans"/>
                <w:sz w:val="12"/>
                <w:szCs w:val="12"/>
              </w:rPr>
              <w:t>Abg</w:t>
            </w:r>
            <w:r>
              <w:rPr>
                <w:rStyle w:val="Fuentedeprrafopredeter"/>
                <w:rFonts w:ascii="Work Sans" w:hAnsi="Work Sans" w:cs="Arial"/>
                <w:sz w:val="12"/>
                <w:szCs w:val="12"/>
                <w:lang w:eastAsia="es-CO"/>
              </w:rPr>
              <w:t xml:space="preserve"> Grupo de Conceptos, Oficina Asesora de Juridica, Ministerio de Transporte</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772" w:rsidRDefault="00092772">
            <w:pPr>
              <w:rPr>
                <w:rFonts w:ascii="Work Sans" w:hAnsi="Work Sans" w:cs="Arial"/>
                <w:sz w:val="12"/>
                <w:szCs w:val="12"/>
              </w:rPr>
            </w:pPr>
          </w:p>
        </w:tc>
      </w:tr>
    </w:tbl>
    <w:p w:rsidR="00092772" w:rsidRDefault="00092772">
      <w:pPr>
        <w:pStyle w:val="Standard"/>
        <w:rPr>
          <w:lang w:val="es-CO"/>
        </w:rPr>
      </w:pPr>
    </w:p>
    <w:p w:rsidR="00092772" w:rsidRDefault="00092772">
      <w:pPr>
        <w:pStyle w:val="Standard"/>
        <w:rPr>
          <w:lang w:val="es-CO"/>
        </w:rPr>
      </w:pPr>
    </w:p>
    <w:p w:rsidR="00092772" w:rsidRDefault="00092772">
      <w:pPr>
        <w:pStyle w:val="Standard"/>
        <w:rPr>
          <w:lang w:val="es-CO"/>
        </w:rPr>
      </w:pPr>
    </w:p>
    <w:p w:rsidR="00092772" w:rsidRDefault="00092772">
      <w:pPr>
        <w:pStyle w:val="Standard"/>
        <w:rPr>
          <w:lang w:val="es-CO"/>
        </w:rPr>
      </w:pPr>
    </w:p>
    <w:p w:rsidR="00092772" w:rsidRDefault="00092772">
      <w:pPr>
        <w:pStyle w:val="Standard"/>
        <w:rPr>
          <w:lang w:val="es-CO"/>
        </w:rPr>
      </w:pPr>
    </w:p>
    <w:p w:rsidR="00092772" w:rsidRDefault="00092772">
      <w:pPr>
        <w:pStyle w:val="Standard"/>
        <w:rPr>
          <w:lang w:val="es-CO"/>
        </w:rPr>
      </w:pPr>
    </w:p>
    <w:sectPr w:rsidR="00092772">
      <w:headerReference w:type="default" r:id="rId16"/>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4972">
      <w:r>
        <w:separator/>
      </w:r>
    </w:p>
  </w:endnote>
  <w:endnote w:type="continuationSeparator" w:id="0">
    <w:p w:rsidR="00000000" w:rsidRDefault="00D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ohit Devanagari">
    <w:charset w:val="00"/>
    <w:family w:val="auto"/>
    <w:pitch w:val="variable"/>
  </w:font>
  <w:font w:name="Mangal">
    <w:panose1 w:val="00000400000000000000"/>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Work Sans">
    <w:altName w:val="Courier New"/>
    <w:charset w:val="00"/>
    <w:family w:val="auto"/>
    <w:pitch w:val="variable"/>
  </w:font>
  <w:font w:name="DengXian Light">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adea">
    <w:charset w:val="00"/>
    <w:family w:val="auto"/>
    <w:pitch w:val="variable"/>
  </w:font>
  <w:font w:name="Arial-BoldMT">
    <w:charset w:val="00"/>
    <w:family w:val="auto"/>
    <w:pitch w:val="default"/>
  </w:font>
  <w:font w:name="Code3of9">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4972">
      <w:r>
        <w:rPr>
          <w:color w:val="000000"/>
        </w:rPr>
        <w:separator/>
      </w:r>
    </w:p>
  </w:footnote>
  <w:footnote w:type="continuationSeparator" w:id="0">
    <w:p w:rsidR="00000000" w:rsidRDefault="00D4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5F" w:rsidRDefault="00D44972">
    <w:r>
      <w:rPr>
        <w:rStyle w:val="Fuentedeprrafopredeter"/>
        <w:noProof/>
        <w:lang w:val="en-US" w:eastAsia="en-US" w:bidi="ar-SA"/>
      </w:rPr>
      <w:drawing>
        <wp:inline distT="0" distB="0" distL="0" distR="0">
          <wp:extent cx="2552757" cy="447836"/>
          <wp:effectExtent l="0" t="0" r="0" b="9364"/>
          <wp:docPr id="1" name="Imagen 2" descr="C:\Users\cecampos\Downloads\17. Ministerio de Transport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52757" cy="447836"/>
                  </a:xfrm>
                  <a:prstGeom prst="rect">
                    <a:avLst/>
                  </a:prstGeom>
                  <a:noFill/>
                  <a:ln>
                    <a:noFill/>
                    <a:prstDash/>
                  </a:ln>
                </pic:spPr>
              </pic:pic>
            </a:graphicData>
          </a:graphic>
        </wp:inline>
      </w:drawing>
    </w:r>
  </w:p>
  <w:p w:rsidR="00085E5F" w:rsidRDefault="00D44972">
    <w:pPr>
      <w:pStyle w:val="Encabezado"/>
      <w:jc w:val="center"/>
    </w:pPr>
    <w:r>
      <w:rPr>
        <w:rStyle w:val="Fuentedeprrafopredeter"/>
        <w:rFonts w:ascii="Work Sans" w:hAnsi="Work Sans" w:cs="Arial"/>
        <w:b/>
      </w:rPr>
      <w:t>RESOLUCIÓN NÚMERO</w:t>
    </w:r>
    <w:r>
      <w:rPr>
        <w:rStyle w:val="Fuentedeprrafopredeter"/>
        <w:rFonts w:ascii="Work Sans" w:hAnsi="Work Sans" w:cs="Arial"/>
        <w:b/>
        <w:sz w:val="36"/>
      </w:rPr>
      <w:t xml:space="preserve"> </w:t>
    </w:r>
    <w:r>
      <w:rPr>
        <w:rStyle w:val="Fuentedeprrafopredeter"/>
        <w:rFonts w:ascii="Work Sans" w:hAnsi="Work Sans"/>
        <w:b/>
        <w:sz w:val="28"/>
      </w:rPr>
      <w:t>*RAD_S*</w:t>
    </w:r>
  </w:p>
  <w:p w:rsidR="00085E5F" w:rsidRDefault="00D44972">
    <w:pPr>
      <w:pStyle w:val="Encabezado"/>
      <w:jc w:val="center"/>
    </w:pPr>
    <w:r>
      <w:rPr>
        <w:rStyle w:val="Fuentedeprrafopredeter"/>
        <w:rFonts w:ascii="Work Sans" w:hAnsi="Work Sans"/>
        <w:sz w:val="20"/>
      </w:rPr>
      <w:t xml:space="preserve">de </w:t>
    </w:r>
    <w:r>
      <w:rPr>
        <w:rStyle w:val="Fuentedeprrafopredeter"/>
        <w:rFonts w:ascii="Work Sans" w:hAnsi="Work Sans" w:cs="Arial"/>
        <w:sz w:val="20"/>
        <w:lang w:val="es-CO"/>
      </w:rPr>
      <w:t>*F_RAD_S*</w:t>
    </w:r>
  </w:p>
  <w:p w:rsidR="00085E5F" w:rsidRDefault="00D44972">
    <w:pPr>
      <w:pStyle w:val="Encabezado"/>
      <w:jc w:val="center"/>
      <w:rPr>
        <w:rFonts w:ascii="Code3of9" w:hAnsi="Code3of9" w:cs="Tahoma"/>
        <w:sz w:val="36"/>
        <w:szCs w:val="40"/>
      </w:rPr>
    </w:pPr>
    <w:r>
      <w:rPr>
        <w:rFonts w:ascii="Code3of9" w:hAnsi="Code3of9" w:cs="Tahoma"/>
        <w:sz w:val="36"/>
        <w:szCs w:val="40"/>
      </w:rPr>
      <w:t>**RAD_S**</w:t>
    </w:r>
  </w:p>
  <w:p w:rsidR="00085E5F" w:rsidRDefault="00D44972">
    <w:pPr>
      <w:pStyle w:val="Encabezado"/>
      <w:jc w:val="center"/>
      <w:rPr>
        <w:rFonts w:ascii="Code3of9" w:hAnsi="Code3of9" w:cs="Tahoma"/>
        <w:sz w:val="36"/>
        <w:szCs w:val="40"/>
      </w:rPr>
    </w:pPr>
  </w:p>
  <w:p w:rsidR="00085E5F" w:rsidRDefault="00D44972">
    <w:pPr>
      <w:tabs>
        <w:tab w:val="left" w:pos="4320"/>
      </w:tabs>
      <w:ind w:right="215"/>
      <w:jc w:val="center"/>
    </w:pPr>
    <w:r>
      <w:rPr>
        <w:rStyle w:val="Fuentedeprrafopredeter"/>
        <w:rFonts w:ascii="Work Sans" w:hAnsi="Work Sans"/>
        <w:i/>
        <w:iCs/>
        <w:spacing w:val="-3"/>
        <w:sz w:val="20"/>
        <w:szCs w:val="20"/>
      </w:rPr>
      <w:t>“Por la cual se modifica la Resolución</w:t>
    </w:r>
    <w:r>
      <w:rPr>
        <w:rStyle w:val="Fuentedeprrafopredeter"/>
        <w:rFonts w:ascii="Work Sans" w:eastAsia="Arial Narrow" w:hAnsi="Work Sans" w:cs="Times New Roman"/>
        <w:i/>
        <w:iCs/>
        <w:sz w:val="20"/>
        <w:szCs w:val="20"/>
      </w:rPr>
      <w:t xml:space="preserve"> 0001546 de mayo 27 de 2015</w:t>
    </w:r>
    <w:r>
      <w:rPr>
        <w:rStyle w:val="Fuentedeprrafopredeter"/>
        <w:rFonts w:ascii="Work Sans" w:hAnsi="Work Sans"/>
        <w:i/>
        <w:spacing w:val="-3"/>
        <w:sz w:val="20"/>
        <w:szCs w:val="20"/>
      </w:rPr>
      <w:t xml:space="preserve"> y se dictan otras disposiciones, modificada por la Resolución 3025 de 2015”</w:t>
    </w:r>
  </w:p>
  <w:p w:rsidR="00085E5F" w:rsidRDefault="00D44972">
    <w:pPr>
      <w:pStyle w:val="Standard"/>
      <w:autoSpaceDE w:val="0"/>
      <w:rPr>
        <w:rFonts w:ascii="Work Sans" w:hAnsi="Work San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A9"/>
    <w:multiLevelType w:val="multilevel"/>
    <w:tmpl w:val="216C9208"/>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E6A29E2"/>
    <w:multiLevelType w:val="multilevel"/>
    <w:tmpl w:val="146A882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10E854C1"/>
    <w:multiLevelType w:val="multilevel"/>
    <w:tmpl w:val="5AC8006E"/>
    <w:lvl w:ilvl="0">
      <w:start w:val="2"/>
      <w:numFmt w:val="decimal"/>
      <w:lvlText w:val="%1"/>
      <w:lvlJc w:val="left"/>
      <w:pPr>
        <w:ind w:left="360" w:hanging="360"/>
      </w:pPr>
      <w:rPr>
        <w:rFonts w:eastAsia="Arial Narrow" w:cs="Arial Narrow"/>
      </w:rPr>
    </w:lvl>
    <w:lvl w:ilvl="1">
      <w:start w:val="2"/>
      <w:numFmt w:val="decimal"/>
      <w:lvlText w:val="%1.%2"/>
      <w:lvlJc w:val="left"/>
      <w:pPr>
        <w:ind w:left="1080" w:hanging="360"/>
      </w:pPr>
      <w:rPr>
        <w:rFonts w:eastAsia="Arial Narrow" w:cs="Arial Narrow"/>
      </w:rPr>
    </w:lvl>
    <w:lvl w:ilvl="2">
      <w:start w:val="1"/>
      <w:numFmt w:val="decimal"/>
      <w:lvlText w:val="%1.%2.%3"/>
      <w:lvlJc w:val="left"/>
      <w:pPr>
        <w:ind w:left="2160" w:hanging="720"/>
      </w:pPr>
      <w:rPr>
        <w:rFonts w:eastAsia="Arial Narrow" w:cs="Arial Narrow"/>
      </w:rPr>
    </w:lvl>
    <w:lvl w:ilvl="3">
      <w:start w:val="1"/>
      <w:numFmt w:val="decimal"/>
      <w:lvlText w:val="%1.%2.%3.%4"/>
      <w:lvlJc w:val="left"/>
      <w:pPr>
        <w:ind w:left="2880" w:hanging="720"/>
      </w:pPr>
      <w:rPr>
        <w:rFonts w:eastAsia="Arial Narrow" w:cs="Arial Narrow"/>
      </w:rPr>
    </w:lvl>
    <w:lvl w:ilvl="4">
      <w:start w:val="1"/>
      <w:numFmt w:val="decimal"/>
      <w:lvlText w:val="%1.%2.%3.%4.%5"/>
      <w:lvlJc w:val="left"/>
      <w:pPr>
        <w:ind w:left="3600" w:hanging="720"/>
      </w:pPr>
      <w:rPr>
        <w:rFonts w:eastAsia="Arial Narrow" w:cs="Arial Narrow"/>
      </w:rPr>
    </w:lvl>
    <w:lvl w:ilvl="5">
      <w:start w:val="1"/>
      <w:numFmt w:val="decimal"/>
      <w:lvlText w:val="%1.%2.%3.%4.%5.%6"/>
      <w:lvlJc w:val="left"/>
      <w:pPr>
        <w:ind w:left="4680" w:hanging="1080"/>
      </w:pPr>
      <w:rPr>
        <w:rFonts w:eastAsia="Arial Narrow" w:cs="Arial Narrow"/>
      </w:rPr>
    </w:lvl>
    <w:lvl w:ilvl="6">
      <w:start w:val="1"/>
      <w:numFmt w:val="decimal"/>
      <w:lvlText w:val="%1.%2.%3.%4.%5.%6.%7"/>
      <w:lvlJc w:val="left"/>
      <w:pPr>
        <w:ind w:left="5400" w:hanging="1080"/>
      </w:pPr>
      <w:rPr>
        <w:rFonts w:eastAsia="Arial Narrow" w:cs="Arial Narrow"/>
      </w:rPr>
    </w:lvl>
    <w:lvl w:ilvl="7">
      <w:start w:val="1"/>
      <w:numFmt w:val="decimal"/>
      <w:lvlText w:val="%1.%2.%3.%4.%5.%6.%7.%8"/>
      <w:lvlJc w:val="left"/>
      <w:pPr>
        <w:ind w:left="6480" w:hanging="1440"/>
      </w:pPr>
      <w:rPr>
        <w:rFonts w:eastAsia="Arial Narrow" w:cs="Arial Narrow"/>
      </w:rPr>
    </w:lvl>
    <w:lvl w:ilvl="8">
      <w:start w:val="1"/>
      <w:numFmt w:val="decimal"/>
      <w:lvlText w:val="%1.%2.%3.%4.%5.%6.%7.%8.%9"/>
      <w:lvlJc w:val="left"/>
      <w:pPr>
        <w:ind w:left="7200" w:hanging="1440"/>
      </w:pPr>
      <w:rPr>
        <w:rFonts w:eastAsia="Arial Narrow" w:cs="Arial Narrow"/>
      </w:rPr>
    </w:lvl>
  </w:abstractNum>
  <w:abstractNum w:abstractNumId="3" w15:restartNumberingAfterBreak="0">
    <w:nsid w:val="12241E5C"/>
    <w:multiLevelType w:val="multilevel"/>
    <w:tmpl w:val="CFC8D3A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2C134C0"/>
    <w:multiLevelType w:val="multilevel"/>
    <w:tmpl w:val="C706C08E"/>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39C04E4"/>
    <w:multiLevelType w:val="multilevel"/>
    <w:tmpl w:val="96246A5E"/>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164B0048"/>
    <w:multiLevelType w:val="multilevel"/>
    <w:tmpl w:val="DEC0210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42301"/>
    <w:multiLevelType w:val="multilevel"/>
    <w:tmpl w:val="3B1CE9E4"/>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1FC27A12"/>
    <w:multiLevelType w:val="multilevel"/>
    <w:tmpl w:val="A47A53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3947647"/>
    <w:multiLevelType w:val="multilevel"/>
    <w:tmpl w:val="C674E018"/>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3A7D7DD3"/>
    <w:multiLevelType w:val="multilevel"/>
    <w:tmpl w:val="9FD6865E"/>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3A9E0746"/>
    <w:multiLevelType w:val="multilevel"/>
    <w:tmpl w:val="64DCC69A"/>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3B7128C8"/>
    <w:multiLevelType w:val="multilevel"/>
    <w:tmpl w:val="99EC6DB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3EA16CF1"/>
    <w:multiLevelType w:val="multilevel"/>
    <w:tmpl w:val="6A48DC68"/>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44B81B3D"/>
    <w:multiLevelType w:val="multilevel"/>
    <w:tmpl w:val="5516AE08"/>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472753B5"/>
    <w:multiLevelType w:val="multilevel"/>
    <w:tmpl w:val="FE92EA00"/>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4B536887"/>
    <w:multiLevelType w:val="multilevel"/>
    <w:tmpl w:val="C2B2DE0E"/>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4D0A3D56"/>
    <w:multiLevelType w:val="multilevel"/>
    <w:tmpl w:val="ADF40D66"/>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4DE75358"/>
    <w:multiLevelType w:val="multilevel"/>
    <w:tmpl w:val="442A8A70"/>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551954A7"/>
    <w:multiLevelType w:val="multilevel"/>
    <w:tmpl w:val="7F02CE20"/>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AAD2E4E"/>
    <w:multiLevelType w:val="multilevel"/>
    <w:tmpl w:val="2ABA9F9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6EDA74F1"/>
    <w:multiLevelType w:val="multilevel"/>
    <w:tmpl w:val="01B8438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7BEB490D"/>
    <w:multiLevelType w:val="multilevel"/>
    <w:tmpl w:val="94A889E6"/>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9"/>
  </w:num>
  <w:num w:numId="2">
    <w:abstractNumId w:val="19"/>
  </w:num>
  <w:num w:numId="3">
    <w:abstractNumId w:val="5"/>
  </w:num>
  <w:num w:numId="4">
    <w:abstractNumId w:val="0"/>
  </w:num>
  <w:num w:numId="5">
    <w:abstractNumId w:val="20"/>
  </w:num>
  <w:num w:numId="6">
    <w:abstractNumId w:val="12"/>
  </w:num>
  <w:num w:numId="7">
    <w:abstractNumId w:val="21"/>
  </w:num>
  <w:num w:numId="8">
    <w:abstractNumId w:val="18"/>
  </w:num>
  <w:num w:numId="9">
    <w:abstractNumId w:val="15"/>
  </w:num>
  <w:num w:numId="10">
    <w:abstractNumId w:val="16"/>
  </w:num>
  <w:num w:numId="11">
    <w:abstractNumId w:val="7"/>
  </w:num>
  <w:num w:numId="12">
    <w:abstractNumId w:val="13"/>
  </w:num>
  <w:num w:numId="13">
    <w:abstractNumId w:val="1"/>
  </w:num>
  <w:num w:numId="14">
    <w:abstractNumId w:val="10"/>
  </w:num>
  <w:num w:numId="15">
    <w:abstractNumId w:val="4"/>
  </w:num>
  <w:num w:numId="16">
    <w:abstractNumId w:val="17"/>
  </w:num>
  <w:num w:numId="17">
    <w:abstractNumId w:val="11"/>
  </w:num>
  <w:num w:numId="18">
    <w:abstractNumId w:val="14"/>
  </w:num>
  <w:num w:numId="19">
    <w:abstractNumId w:val="22"/>
  </w:num>
  <w:num w:numId="20">
    <w:abstractNumId w:val="3"/>
  </w:num>
  <w:num w:numId="21">
    <w:abstractNumId w:val="8"/>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92772"/>
    <w:rsid w:val="00092772"/>
    <w:rsid w:val="00D4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7A51702-84C1-4E52-A64B-BF6A3FF2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cs="Lohit Devanagari"/>
      <w:kern w:val="3"/>
      <w:sz w:val="24"/>
      <w:szCs w:val="24"/>
      <w:lang w:val="es-E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Ttulo1">
    <w:name w:val="Título 1"/>
    <w:basedOn w:val="Standard"/>
    <w:next w:val="Standard"/>
    <w:pPr>
      <w:keepNext/>
      <w:tabs>
        <w:tab w:val="left" w:pos="-720"/>
        <w:tab w:val="left" w:pos="4395"/>
      </w:tabs>
      <w:jc w:val="center"/>
      <w:outlineLvl w:val="0"/>
    </w:pPr>
    <w:rPr>
      <w:rFonts w:ascii="Arial" w:eastAsia="Arial" w:hAnsi="Arial" w:cs="Arial"/>
      <w:b/>
      <w:spacing w:val="-3"/>
      <w:sz w:val="28"/>
    </w:rPr>
  </w:style>
  <w:style w:type="paragraph" w:customStyle="1" w:styleId="Ttulo2">
    <w:name w:val="Título 2"/>
    <w:basedOn w:val="Standard"/>
    <w:next w:val="Standard"/>
    <w:pPr>
      <w:keepNext/>
      <w:widowControl w:val="0"/>
      <w:jc w:val="center"/>
      <w:outlineLvl w:val="1"/>
    </w:pPr>
    <w:rPr>
      <w:rFonts w:ascii="Arial" w:eastAsia="Arial" w:hAnsi="Arial" w:cs="Arial"/>
      <w:b/>
    </w:rPr>
  </w:style>
  <w:style w:type="paragraph" w:customStyle="1" w:styleId="Ttulo3">
    <w:name w:val="Título 3"/>
    <w:basedOn w:val="Standard"/>
    <w:next w:val="Standard"/>
    <w:pPr>
      <w:keepNext/>
      <w:tabs>
        <w:tab w:val="left" w:pos="-720"/>
        <w:tab w:val="right" w:pos="8080"/>
      </w:tabs>
      <w:jc w:val="both"/>
      <w:outlineLvl w:val="2"/>
    </w:pPr>
    <w:rPr>
      <w:rFonts w:ascii="Arial" w:eastAsia="Arial" w:hAnsi="Arial" w:cs="Arial"/>
      <w:spacing w:val="-3"/>
      <w:sz w:val="28"/>
    </w:rPr>
  </w:style>
  <w:style w:type="paragraph" w:customStyle="1" w:styleId="Ttulo4">
    <w:name w:val="Título 4"/>
    <w:basedOn w:val="Standard"/>
    <w:next w:val="Standard"/>
    <w:pPr>
      <w:keepNext/>
      <w:tabs>
        <w:tab w:val="left" w:pos="-720"/>
      </w:tabs>
      <w:ind w:right="851"/>
      <w:jc w:val="both"/>
      <w:outlineLvl w:val="3"/>
    </w:pPr>
    <w:rPr>
      <w:rFonts w:ascii="Arial" w:eastAsia="Arial" w:hAnsi="Arial" w:cs="Arial"/>
      <w:b/>
      <w:bCs/>
      <w:spacing w:val="-3"/>
      <w:sz w:val="28"/>
    </w:rPr>
  </w:style>
  <w:style w:type="paragraph" w:customStyle="1" w:styleId="Ttulo5">
    <w:name w:val="Título 5"/>
    <w:basedOn w:val="Standard"/>
    <w:next w:val="Standard"/>
    <w:pPr>
      <w:keepNext/>
      <w:outlineLvl w:val="4"/>
    </w:pPr>
    <w:rPr>
      <w:rFonts w:ascii="Arial" w:eastAsia="Arial" w:hAnsi="Arial" w:cs="Arial"/>
      <w:b/>
      <w:bCs/>
      <w:sz w:val="28"/>
    </w:rPr>
  </w:style>
  <w:style w:type="paragraph" w:customStyle="1" w:styleId="Ttulo6">
    <w:name w:val="Título 6"/>
    <w:basedOn w:val="Standard"/>
    <w:next w:val="Standard"/>
    <w:pPr>
      <w:keepNext/>
      <w:tabs>
        <w:tab w:val="left" w:pos="-720"/>
      </w:tabs>
      <w:jc w:val="both"/>
      <w:outlineLvl w:val="5"/>
    </w:pPr>
    <w:rPr>
      <w:rFonts w:ascii="Arial" w:eastAsia="Arial" w:hAnsi="Arial" w:cs="Arial"/>
      <w:spacing w:val="-3"/>
      <w:sz w:val="28"/>
    </w:rPr>
  </w:style>
  <w:style w:type="paragraph" w:customStyle="1" w:styleId="Ttulo7">
    <w:name w:val="Título 7"/>
    <w:basedOn w:val="Standard"/>
    <w:next w:val="Standard"/>
    <w:pPr>
      <w:keepNext/>
      <w:outlineLvl w:val="6"/>
    </w:pPr>
    <w:rPr>
      <w:rFonts w:ascii="Arial" w:eastAsia="Arial" w:hAnsi="Arial" w:cs="Arial"/>
    </w:rPr>
  </w:style>
  <w:style w:type="paragraph" w:customStyle="1" w:styleId="Ttulo8">
    <w:name w:val="Título 8"/>
    <w:basedOn w:val="Standard"/>
    <w:next w:val="Standard"/>
    <w:pPr>
      <w:keepNext/>
      <w:tabs>
        <w:tab w:val="left" w:pos="-720"/>
      </w:tabs>
      <w:jc w:val="center"/>
      <w:outlineLvl w:val="7"/>
    </w:pPr>
    <w:rPr>
      <w:sz w:val="28"/>
    </w:rPr>
  </w:style>
  <w:style w:type="paragraph" w:customStyle="1" w:styleId="Ttulo9">
    <w:name w:val="Título 9"/>
    <w:basedOn w:val="Standard"/>
    <w:next w:val="Standard"/>
    <w:pPr>
      <w:keepNext/>
      <w:tabs>
        <w:tab w:val="left" w:pos="-720"/>
        <w:tab w:val="left" w:pos="4395"/>
      </w:tabs>
      <w:jc w:val="both"/>
      <w:outlineLvl w:val="8"/>
    </w:pPr>
    <w:rPr>
      <w:rFonts w:ascii="Arial" w:eastAsia="Arial" w:hAnsi="Arial" w:cs="Arial"/>
      <w:b/>
      <w:sz w:val="28"/>
    </w:rPr>
  </w:style>
  <w:style w:type="character" w:customStyle="1" w:styleId="Fuentedeprrafopredeter">
    <w:name w:val="Fuente de párrafo predete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customStyle="1" w:styleId="Lista">
    <w:name w:val="Lista"/>
    <w:basedOn w:val="Standard"/>
    <w:pPr>
      <w:ind w:left="283" w:hanging="283"/>
    </w:pPr>
    <w:rPr>
      <w:rFonts w:ascii="Times New Roman" w:eastAsia="Times New Roman" w:hAnsi="Times New Roman" w:cs="Times New Roman"/>
      <w:lang w:val="es-CO"/>
    </w:rPr>
  </w:style>
  <w:style w:type="paragraph" w:customStyle="1" w:styleId="Descripcin">
    <w:name w:val="Descripció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customStyle="1" w:styleId="ndice10">
    <w:name w:val="Índice 1"/>
    <w:basedOn w:val="Standard"/>
    <w:next w:val="Standard"/>
    <w:pPr>
      <w:tabs>
        <w:tab w:val="right" w:pos="4867"/>
      </w:tabs>
      <w:ind w:left="240" w:hanging="240"/>
    </w:pPr>
    <w:rPr>
      <w:rFonts w:ascii="Times New Roman" w:eastAsia="Times New Roman" w:hAnsi="Times New Roman" w:cs="Times New Roman"/>
      <w:sz w:val="18"/>
    </w:rPr>
  </w:style>
  <w:style w:type="paragraph" w:customStyle="1" w:styleId="ndice20">
    <w:name w:val="Índice 2"/>
    <w:basedOn w:val="Standard"/>
    <w:next w:val="Standard"/>
    <w:pPr>
      <w:tabs>
        <w:tab w:val="right" w:pos="5107"/>
      </w:tabs>
      <w:ind w:left="480" w:hanging="240"/>
    </w:pPr>
    <w:rPr>
      <w:rFonts w:ascii="Times New Roman" w:eastAsia="Times New Roman" w:hAnsi="Times New Roman" w:cs="Times New Roman"/>
      <w:sz w:val="18"/>
    </w:rPr>
  </w:style>
  <w:style w:type="paragraph" w:customStyle="1" w:styleId="ndice3">
    <w:name w:val="Índice 3"/>
    <w:basedOn w:val="Standard"/>
    <w:next w:val="Standard"/>
    <w:pPr>
      <w:tabs>
        <w:tab w:val="right" w:pos="5347"/>
      </w:tabs>
      <w:ind w:left="720" w:hanging="240"/>
    </w:pPr>
    <w:rPr>
      <w:rFonts w:ascii="Times New Roman" w:eastAsia="Times New Roman" w:hAnsi="Times New Roman" w:cs="Times New Roman"/>
      <w:sz w:val="18"/>
    </w:rPr>
  </w:style>
  <w:style w:type="paragraph" w:customStyle="1" w:styleId="ndice4">
    <w:name w:val="Índice 4"/>
    <w:basedOn w:val="Standard"/>
    <w:next w:val="Standard"/>
    <w:pPr>
      <w:tabs>
        <w:tab w:val="right" w:pos="5587"/>
      </w:tabs>
      <w:ind w:left="960" w:hanging="240"/>
    </w:pPr>
    <w:rPr>
      <w:rFonts w:ascii="Times New Roman" w:eastAsia="Times New Roman" w:hAnsi="Times New Roman" w:cs="Times New Roman"/>
      <w:sz w:val="18"/>
    </w:rPr>
  </w:style>
  <w:style w:type="paragraph" w:customStyle="1" w:styleId="ndice5">
    <w:name w:val="Índice 5"/>
    <w:basedOn w:val="Standard"/>
    <w:next w:val="Standard"/>
    <w:pPr>
      <w:tabs>
        <w:tab w:val="right" w:pos="5827"/>
      </w:tabs>
      <w:ind w:left="1200" w:hanging="240"/>
    </w:pPr>
    <w:rPr>
      <w:rFonts w:ascii="Times New Roman" w:eastAsia="Times New Roman" w:hAnsi="Times New Roman" w:cs="Times New Roman"/>
      <w:sz w:val="18"/>
    </w:rPr>
  </w:style>
  <w:style w:type="paragraph" w:customStyle="1" w:styleId="ndice6">
    <w:name w:val="Índice 6"/>
    <w:basedOn w:val="Standard"/>
    <w:next w:val="Standard"/>
    <w:pPr>
      <w:tabs>
        <w:tab w:val="right" w:pos="6067"/>
      </w:tabs>
      <w:ind w:left="1440" w:hanging="240"/>
    </w:pPr>
    <w:rPr>
      <w:rFonts w:ascii="Times New Roman" w:eastAsia="Times New Roman" w:hAnsi="Times New Roman" w:cs="Times New Roman"/>
      <w:sz w:val="18"/>
    </w:rPr>
  </w:style>
  <w:style w:type="paragraph" w:customStyle="1" w:styleId="ndice7">
    <w:name w:val="Índice 7"/>
    <w:basedOn w:val="Standard"/>
    <w:next w:val="Standard"/>
    <w:pPr>
      <w:tabs>
        <w:tab w:val="right" w:pos="6307"/>
      </w:tabs>
      <w:ind w:left="1680" w:hanging="240"/>
    </w:pPr>
    <w:rPr>
      <w:rFonts w:ascii="Times New Roman" w:eastAsia="Times New Roman" w:hAnsi="Times New Roman" w:cs="Times New Roman"/>
      <w:sz w:val="18"/>
    </w:rPr>
  </w:style>
  <w:style w:type="paragraph" w:customStyle="1" w:styleId="ndice8">
    <w:name w:val="Índice 8"/>
    <w:basedOn w:val="Standard"/>
    <w:next w:val="Standard"/>
    <w:pPr>
      <w:tabs>
        <w:tab w:val="right" w:pos="6547"/>
      </w:tabs>
      <w:ind w:left="1920" w:hanging="240"/>
    </w:pPr>
    <w:rPr>
      <w:rFonts w:ascii="Times New Roman" w:eastAsia="Times New Roman" w:hAnsi="Times New Roman" w:cs="Times New Roman"/>
      <w:sz w:val="18"/>
    </w:rPr>
  </w:style>
  <w:style w:type="paragraph" w:customStyle="1" w:styleId="ndice9">
    <w:name w:val="Índice 9"/>
    <w:basedOn w:val="Standard"/>
    <w:next w:val="Standard"/>
    <w:pPr>
      <w:tabs>
        <w:tab w:val="right" w:pos="6787"/>
      </w:tabs>
      <w:ind w:left="2160" w:hanging="240"/>
    </w:pPr>
    <w:rPr>
      <w:rFonts w:ascii="Times New Roman" w:eastAsia="Times New Roman" w:hAnsi="Times New Roman" w:cs="Times New Roman"/>
      <w:sz w:val="18"/>
    </w:rPr>
  </w:style>
  <w:style w:type="paragraph" w:customStyle="1" w:styleId="Ttulodendice">
    <w:name w:val="Título de índice"/>
    <w:basedOn w:val="Standard"/>
    <w:next w:val="ndice10"/>
    <w:pPr>
      <w:spacing w:before="240" w:after="120"/>
      <w:jc w:val="center"/>
    </w:pPr>
    <w:rPr>
      <w:rFonts w:ascii="Times New Roman" w:eastAsia="Times New Roman" w:hAnsi="Times New Roman" w:cs="Times New Roman"/>
      <w:b/>
      <w:sz w:val="26"/>
    </w:rPr>
  </w:style>
  <w:style w:type="paragraph" w:customStyle="1" w:styleId="Encabezado">
    <w:name w:val="Encabezado"/>
    <w:basedOn w:val="HeaderandFooter"/>
  </w:style>
  <w:style w:type="paragraph" w:customStyle="1" w:styleId="HeaderandFooter">
    <w:name w:val="Header and Footer"/>
    <w:basedOn w:val="Standard"/>
    <w:pPr>
      <w:suppressLineNumbers/>
      <w:tabs>
        <w:tab w:val="center" w:pos="4819"/>
        <w:tab w:val="right" w:pos="9638"/>
      </w:tabs>
    </w:pPr>
  </w:style>
  <w:style w:type="paragraph" w:customStyle="1" w:styleId="Piedepgina">
    <w:name w:val="Pie de página"/>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customStyle="1" w:styleId="Textoindependiente2">
    <w:name w:val="Texto independiente 2"/>
    <w:basedOn w:val="Standard"/>
    <w:pPr>
      <w:tabs>
        <w:tab w:val="left" w:pos="-720"/>
      </w:tabs>
      <w:ind w:right="851"/>
      <w:jc w:val="both"/>
    </w:pPr>
    <w:rPr>
      <w:rFonts w:ascii="Arial" w:eastAsia="Arial" w:hAnsi="Arial" w:cs="Arial"/>
      <w:spacing w:val="-3"/>
      <w:sz w:val="28"/>
    </w:rPr>
  </w:style>
  <w:style w:type="paragraph" w:customStyle="1" w:styleId="Textoindependiente3">
    <w:name w:val="Texto independiente 3"/>
    <w:basedOn w:val="Standard"/>
    <w:rPr>
      <w:rFonts w:ascii="Arial" w:eastAsia="Arial" w:hAnsi="Arial" w:cs="Arial"/>
      <w:sz w:val="28"/>
    </w:rPr>
  </w:style>
  <w:style w:type="paragraph" w:customStyle="1" w:styleId="Textodebloque">
    <w:name w:val="Texto de bloque"/>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customStyle="1" w:styleId="Textocomentario">
    <w:name w:val="Texto comentario"/>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customStyle="1" w:styleId="Sinespaciado">
    <w:name w:val="Sin espaciado"/>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customStyle="1" w:styleId="Prrafodelista">
    <w:name w:val="Párrafo de lista"/>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customStyle="1" w:styleId="Textodeglobo">
    <w:name w:val="Texto de globo"/>
    <w:basedOn w:val="Normal"/>
    <w:rPr>
      <w:rFonts w:ascii="Tahoma" w:eastAsia="Tahoma" w:hAnsi="Tahoma" w:cs="Mangal"/>
      <w:sz w:val="16"/>
      <w:szCs w:val="14"/>
    </w:rPr>
  </w:style>
  <w:style w:type="paragraph" w:customStyle="1" w:styleId="Asuntodelcomentario">
    <w:name w:val="Asunto del comentario"/>
    <w:basedOn w:val="Textocomentario"/>
    <w:next w:val="Textocomentario"/>
    <w:pPr>
      <w:widowControl w:val="0"/>
    </w:pPr>
    <w:rPr>
      <w:rFonts w:ascii="Liberation Serif" w:eastAsia="Liberation Serif" w:hAnsi="Liberation Serif" w:cs="Mangal"/>
      <w:b/>
      <w:bCs/>
      <w:szCs w:val="18"/>
      <w:lang w:bidi="hi-IN"/>
    </w:rPr>
  </w:style>
  <w:style w:type="paragraph" w:customStyle="1" w:styleId="HTMLconformatoprevio">
    <w:name w:val="HTML con formato previo"/>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customStyle="1" w:styleId="Revisin">
    <w:name w:val="Revisió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customStyle="1" w:styleId="Textonotaalfinal">
    <w:name w:val="Texto nota al final"/>
    <w:basedOn w:val="Normal"/>
    <w:rPr>
      <w:rFonts w:cs="Mangal"/>
      <w:sz w:val="20"/>
      <w:szCs w:val="18"/>
    </w:rPr>
  </w:style>
  <w:style w:type="paragraph" w:customStyle="1" w:styleId="Textonotapie">
    <w:name w:val="Texto nota pie"/>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customStyle="1" w:styleId="Nmerodepgina">
    <w:name w:val="Número de página"/>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Refdecomentario">
    <w:name w:val="Ref. de comentario"/>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customStyle="1" w:styleId="Hipervnculo">
    <w:name w:val="Hipervínculo"/>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customStyle="1" w:styleId="Refdenotaalfinal">
    <w:name w:val="Ref. de nota al final"/>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customStyle="1" w:styleId="Refdenotaalpie">
    <w:name w:val="Ref. de nota al pie"/>
    <w:basedOn w:val="Fuentedeprrafopredeter"/>
    <w:rPr>
      <w:position w:val="0"/>
      <w:vertAlign w:val="superscript"/>
    </w:rPr>
  </w:style>
  <w:style w:type="character" w:customStyle="1" w:styleId="Textoennegrita">
    <w:name w:val="Texto en negrita"/>
    <w:basedOn w:val="Fuentedeprrafopredeter"/>
    <w:rPr>
      <w:b/>
      <w:bCs/>
    </w:rPr>
  </w:style>
  <w:style w:type="character" w:customStyle="1" w:styleId="spelle">
    <w:name w:val="spelle"/>
    <w:basedOn w:val="Fuentedeprrafopredete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NoList"/>
    <w:pPr>
      <w:numPr>
        <w:numId w:val="1"/>
      </w:numPr>
    </w:pPr>
  </w:style>
  <w:style w:type="numbering" w:customStyle="1" w:styleId="WW8Num14">
    <w:name w:val="WW8Num14"/>
    <w:basedOn w:val="NoList"/>
    <w:pPr>
      <w:numPr>
        <w:numId w:val="2"/>
      </w:numPr>
    </w:pPr>
  </w:style>
  <w:style w:type="numbering" w:customStyle="1" w:styleId="WW8Num1">
    <w:name w:val="WW8Num1"/>
    <w:basedOn w:val="NoList"/>
    <w:pPr>
      <w:numPr>
        <w:numId w:val="3"/>
      </w:numPr>
    </w:pPr>
  </w:style>
  <w:style w:type="numbering" w:customStyle="1" w:styleId="WW8Num10">
    <w:name w:val="WW8Num10"/>
    <w:basedOn w:val="NoList"/>
    <w:pPr>
      <w:numPr>
        <w:numId w:val="4"/>
      </w:numPr>
    </w:pPr>
  </w:style>
  <w:style w:type="numbering" w:customStyle="1" w:styleId="WW8Num18">
    <w:name w:val="WW8Num18"/>
    <w:basedOn w:val="NoList"/>
    <w:pPr>
      <w:numPr>
        <w:numId w:val="5"/>
      </w:numPr>
    </w:pPr>
  </w:style>
  <w:style w:type="numbering" w:customStyle="1" w:styleId="WW8Num8">
    <w:name w:val="WW8Num8"/>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7">
    <w:name w:val="WW8Num7"/>
    <w:basedOn w:val="NoList"/>
    <w:pPr>
      <w:numPr>
        <w:numId w:val="9"/>
      </w:numPr>
    </w:pPr>
  </w:style>
  <w:style w:type="numbering" w:customStyle="1" w:styleId="WW8Num5">
    <w:name w:val="WW8Num5"/>
    <w:basedOn w:val="NoList"/>
    <w:pPr>
      <w:numPr>
        <w:numId w:val="10"/>
      </w:numPr>
    </w:pPr>
  </w:style>
  <w:style w:type="numbering" w:customStyle="1" w:styleId="WW8Num13">
    <w:name w:val="WW8Num13"/>
    <w:basedOn w:val="NoList"/>
    <w:pPr>
      <w:numPr>
        <w:numId w:val="11"/>
      </w:numPr>
    </w:pPr>
  </w:style>
  <w:style w:type="numbering" w:customStyle="1" w:styleId="WW8Num6">
    <w:name w:val="WW8Num6"/>
    <w:basedOn w:val="NoList"/>
    <w:pPr>
      <w:numPr>
        <w:numId w:val="12"/>
      </w:numPr>
    </w:pPr>
  </w:style>
  <w:style w:type="numbering" w:customStyle="1" w:styleId="WW8Num12">
    <w:name w:val="WW8Num12"/>
    <w:basedOn w:val="NoList"/>
    <w:pPr>
      <w:numPr>
        <w:numId w:val="13"/>
      </w:numPr>
    </w:pPr>
  </w:style>
  <w:style w:type="numbering" w:customStyle="1" w:styleId="WW8Num11">
    <w:name w:val="WW8Num11"/>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9">
    <w:name w:val="WW8Num19"/>
    <w:basedOn w:val="NoList"/>
    <w:pPr>
      <w:numPr>
        <w:numId w:val="17"/>
      </w:numPr>
    </w:pPr>
  </w:style>
  <w:style w:type="numbering" w:customStyle="1" w:styleId="WW8Num9">
    <w:name w:val="WW8Num9"/>
    <w:basedOn w:val="NoList"/>
    <w:pPr>
      <w:numPr>
        <w:numId w:val="18"/>
      </w:numPr>
    </w:pPr>
  </w:style>
  <w:style w:type="numbering" w:customStyle="1" w:styleId="WW8Num17">
    <w:name w:val="WW8Num17"/>
    <w:basedOn w:val="NoList"/>
    <w:pPr>
      <w:numPr>
        <w:numId w:val="19"/>
      </w:numPr>
    </w:pPr>
  </w:style>
  <w:style w:type="paragraph" w:styleId="Header">
    <w:name w:val="header"/>
    <w:basedOn w:val="Normal"/>
    <w:link w:val="HeaderChar"/>
    <w:uiPriority w:val="99"/>
    <w:unhideWhenUsed/>
    <w:pPr>
      <w:tabs>
        <w:tab w:val="center" w:pos="4680"/>
        <w:tab w:val="right" w:pos="9360"/>
      </w:tabs>
    </w:pPr>
    <w:rPr>
      <w:rFonts w:cs="Mangal"/>
      <w:szCs w:val="21"/>
    </w:rPr>
  </w:style>
  <w:style w:type="character" w:customStyle="1" w:styleId="HeaderChar">
    <w:name w:val="Header Char"/>
    <w:basedOn w:val="DefaultParagraphFont"/>
    <w:link w:val="Header"/>
    <w:uiPriority w:val="99"/>
    <w:rPr>
      <w:rFonts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Resoluciones/Min-Transporte/2015/R3025de2015.htm" TargetMode="External"/><Relationship Id="rId13" Type="http://schemas.openxmlformats.org/officeDocument/2006/relationships/hyperlink" Target="https://orfeo.ani.gov.co/bodega/2022/409/2022409137936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exbase.biz/lexbase/normas/Resoluciones/Min-Transporte/2015/R1546de2015.ht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7790</Words>
  <Characters>44404</Characters>
  <Application>Microsoft Office Word</Application>
  <DocSecurity>4</DocSecurity>
  <Lines>370</Lines>
  <Paragraphs>104</Paragraphs>
  <ScaleCrop>false</ScaleCrop>
  <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word</cp:lastModifiedBy>
  <cp:revision>2</cp:revision>
  <cp:lastPrinted>2020-04-03T23:17:00Z</cp:lastPrinted>
  <dcterms:created xsi:type="dcterms:W3CDTF">2022-12-30T01:38:00Z</dcterms:created>
  <dcterms:modified xsi:type="dcterms:W3CDTF">2022-12-30T01:38:00Z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