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FCF7" w14:textId="77777777" w:rsidR="00EB08C8" w:rsidRPr="003E698E" w:rsidRDefault="00EB08C8" w:rsidP="00EB08C8">
      <w:pPr>
        <w:spacing w:before="100" w:beforeAutospacing="1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25F2FCF8" w14:textId="77777777" w:rsidR="00005223" w:rsidRPr="003E698E" w:rsidRDefault="00EB08C8" w:rsidP="00EB08C8">
      <w:pPr>
        <w:spacing w:before="100" w:beforeAutospacing="1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E698E">
        <w:rPr>
          <w:rFonts w:asciiTheme="minorHAnsi" w:hAnsiTheme="minorHAnsi" w:cs="Arial"/>
          <w:sz w:val="22"/>
          <w:szCs w:val="22"/>
        </w:rPr>
        <w:t xml:space="preserve">Yo, _________________________________identificado como aparece al pie de mi correspondiente firma, declaro ante </w:t>
      </w:r>
      <w:r w:rsidR="007F1F9A" w:rsidRPr="003E698E">
        <w:rPr>
          <w:rFonts w:asciiTheme="minorHAnsi" w:hAnsiTheme="minorHAnsi" w:cs="Arial"/>
          <w:sz w:val="22"/>
          <w:szCs w:val="22"/>
        </w:rPr>
        <w:t>la Agencia Nacional de Infraestructura</w:t>
      </w:r>
      <w:r w:rsidR="009764FE" w:rsidRPr="003E698E">
        <w:rPr>
          <w:rFonts w:asciiTheme="minorHAnsi" w:hAnsiTheme="minorHAnsi" w:cs="Arial"/>
          <w:sz w:val="22"/>
          <w:szCs w:val="22"/>
        </w:rPr>
        <w:t>, bajo la gravedad de juramento, q</w:t>
      </w:r>
      <w:r w:rsidRPr="003E698E">
        <w:rPr>
          <w:rFonts w:asciiTheme="minorHAnsi" w:hAnsiTheme="minorHAnsi" w:cs="Arial"/>
          <w:sz w:val="22"/>
          <w:szCs w:val="22"/>
        </w:rPr>
        <w:t xml:space="preserve">ue </w:t>
      </w:r>
      <w:r w:rsidR="0071079E" w:rsidRPr="003E698E">
        <w:rPr>
          <w:rFonts w:asciiTheme="minorHAnsi" w:hAnsiTheme="minorHAnsi" w:cs="Arial"/>
          <w:sz w:val="22"/>
          <w:szCs w:val="22"/>
        </w:rPr>
        <w:t xml:space="preserve">la única vivienda que poseo como bien patrimonial, es la que </w:t>
      </w:r>
      <w:r w:rsidR="00E57A08" w:rsidRPr="003E698E">
        <w:rPr>
          <w:rFonts w:asciiTheme="minorHAnsi" w:hAnsiTheme="minorHAnsi" w:cs="Arial"/>
          <w:sz w:val="22"/>
          <w:szCs w:val="22"/>
        </w:rPr>
        <w:t>está</w:t>
      </w:r>
      <w:r w:rsidR="0071079E" w:rsidRPr="003E698E">
        <w:rPr>
          <w:rFonts w:asciiTheme="minorHAnsi" w:hAnsiTheme="minorHAnsi" w:cs="Arial"/>
          <w:sz w:val="22"/>
          <w:szCs w:val="22"/>
        </w:rPr>
        <w:t xml:space="preserve"> siendo objeto del proceso de adquisición predial por el Concesionario, la cual se encuentra ubicada en el predio denominado___________________________________, en el municipio de __________________ e identificado con la matricula inmobiliaria numero _______________</w:t>
      </w:r>
    </w:p>
    <w:p w14:paraId="25F2FCF9" w14:textId="77777777" w:rsidR="006A582E" w:rsidRPr="003E698E" w:rsidRDefault="006A582E" w:rsidP="00EB08C8">
      <w:pPr>
        <w:spacing w:before="100" w:beforeAutospacing="1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E698E">
        <w:rPr>
          <w:rFonts w:asciiTheme="minorHAnsi" w:hAnsiTheme="minorHAnsi" w:cs="Arial"/>
          <w:sz w:val="22"/>
          <w:szCs w:val="22"/>
        </w:rPr>
        <w:t xml:space="preserve">Lo anterior de conformidad con lo establecido en el </w:t>
      </w:r>
      <w:r w:rsidR="00E57A08" w:rsidRPr="003E698E">
        <w:rPr>
          <w:rFonts w:asciiTheme="minorHAnsi" w:hAnsiTheme="minorHAnsi" w:cs="Arial"/>
          <w:sz w:val="22"/>
          <w:szCs w:val="22"/>
        </w:rPr>
        <w:t>Artículo</w:t>
      </w:r>
      <w:r w:rsidRPr="003E698E">
        <w:rPr>
          <w:rFonts w:asciiTheme="minorHAnsi" w:hAnsiTheme="minorHAnsi" w:cs="Arial"/>
          <w:sz w:val="22"/>
          <w:szCs w:val="22"/>
        </w:rPr>
        <w:t xml:space="preserve"> 25 de la Ley 962 de 2005, mediante la cual se dictan disposiciones sobre racionalización de trámites y procedimientos administrativos de los organismos y entidades del Estado y para el cumplimiento de los requisitos establecidos en la Resolución INCO 545 de 2008, para la aplicación del Plan de Compensaciones Socioeconómicas.</w:t>
      </w:r>
    </w:p>
    <w:p w14:paraId="25F2FCFA" w14:textId="77777777" w:rsidR="00EB08C8" w:rsidRPr="003E698E" w:rsidRDefault="00EB08C8" w:rsidP="00EB08C8">
      <w:pPr>
        <w:spacing w:before="100" w:beforeAutospacing="1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E698E">
        <w:rPr>
          <w:rFonts w:asciiTheme="minorHAnsi" w:hAnsiTheme="minorHAnsi" w:cs="Arial"/>
          <w:sz w:val="22"/>
          <w:szCs w:val="22"/>
        </w:rPr>
        <w:t>Para constancia se firma la presente declaración en _________________ a los</w:t>
      </w:r>
      <w:r w:rsidR="00E57A08">
        <w:rPr>
          <w:rFonts w:asciiTheme="minorHAnsi" w:hAnsiTheme="minorHAnsi" w:cs="Arial"/>
          <w:sz w:val="22"/>
          <w:szCs w:val="22"/>
        </w:rPr>
        <w:t xml:space="preserve"> </w:t>
      </w:r>
      <w:r w:rsidRPr="003E698E">
        <w:rPr>
          <w:rFonts w:asciiTheme="minorHAnsi" w:hAnsiTheme="minorHAnsi" w:cs="Arial"/>
          <w:sz w:val="22"/>
          <w:szCs w:val="22"/>
        </w:rPr>
        <w:t>______</w:t>
      </w:r>
      <w:r w:rsidR="00E57A08">
        <w:rPr>
          <w:rFonts w:asciiTheme="minorHAnsi" w:hAnsiTheme="minorHAnsi" w:cs="Arial"/>
          <w:sz w:val="22"/>
          <w:szCs w:val="22"/>
        </w:rPr>
        <w:t xml:space="preserve"> </w:t>
      </w:r>
      <w:r w:rsidRPr="003E698E">
        <w:rPr>
          <w:rFonts w:asciiTheme="minorHAnsi" w:hAnsiTheme="minorHAnsi" w:cs="Arial"/>
          <w:sz w:val="22"/>
          <w:szCs w:val="22"/>
        </w:rPr>
        <w:t>días del mes de___________________ del año 20</w:t>
      </w:r>
      <w:r w:rsidR="00C01739" w:rsidRPr="003E698E">
        <w:rPr>
          <w:rFonts w:asciiTheme="minorHAnsi" w:hAnsiTheme="minorHAnsi" w:cs="Arial"/>
          <w:sz w:val="22"/>
          <w:szCs w:val="22"/>
        </w:rPr>
        <w:t>__</w:t>
      </w:r>
      <w:r w:rsidRPr="003E698E">
        <w:rPr>
          <w:rFonts w:asciiTheme="minorHAnsi" w:hAnsiTheme="minorHAnsi" w:cs="Arial"/>
          <w:sz w:val="22"/>
          <w:szCs w:val="22"/>
        </w:rPr>
        <w:t>.</w:t>
      </w:r>
    </w:p>
    <w:p w14:paraId="25F2FCFB" w14:textId="77777777" w:rsidR="009A4788" w:rsidRPr="003E698E" w:rsidRDefault="009A4788">
      <w:pPr>
        <w:rPr>
          <w:rFonts w:asciiTheme="minorHAnsi" w:hAnsiTheme="minorHAnsi"/>
        </w:rPr>
      </w:pPr>
    </w:p>
    <w:p w14:paraId="25F2FCFC" w14:textId="77777777" w:rsidR="00EB08C8" w:rsidRPr="003E698E" w:rsidRDefault="00EB08C8">
      <w:pPr>
        <w:rPr>
          <w:rFonts w:asciiTheme="minorHAnsi" w:hAnsiTheme="minorHAnsi"/>
        </w:rPr>
      </w:pPr>
    </w:p>
    <w:p w14:paraId="25F2FCFD" w14:textId="77777777" w:rsidR="00EB08C8" w:rsidRPr="003E698E" w:rsidRDefault="00EB08C8" w:rsidP="00EB08C8">
      <w:pPr>
        <w:spacing w:before="100" w:beforeAutospacing="1" w:line="360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pPr w:leftFromText="141" w:rightFromText="141" w:vertAnchor="text" w:horzAnchor="page" w:tblpX="8069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</w:tblGrid>
      <w:tr w:rsidR="00EB08C8" w:rsidRPr="003E698E" w14:paraId="25F2FCFF" w14:textId="77777777" w:rsidTr="00FE711B">
        <w:trPr>
          <w:trHeight w:val="1608"/>
        </w:trPr>
        <w:tc>
          <w:tcPr>
            <w:tcW w:w="1320" w:type="dxa"/>
          </w:tcPr>
          <w:p w14:paraId="25F2FCFE" w14:textId="77777777" w:rsidR="00EB08C8" w:rsidRPr="003E698E" w:rsidRDefault="00EB08C8" w:rsidP="00EB08C8">
            <w:pPr>
              <w:spacing w:before="100" w:beforeAutospacing="1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5F2FD00" w14:textId="77777777" w:rsidR="00EB08C8" w:rsidRPr="003E698E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  <w:r w:rsidRPr="003E698E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</w:p>
    <w:p w14:paraId="25F2FD01" w14:textId="77777777" w:rsidR="00EB08C8" w:rsidRPr="003E698E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</w:p>
    <w:p w14:paraId="25F2FD02" w14:textId="77777777" w:rsidR="00EB08C8" w:rsidRPr="003E698E" w:rsidRDefault="00EB08C8" w:rsidP="00EB08C8">
      <w:pPr>
        <w:rPr>
          <w:rFonts w:asciiTheme="minorHAnsi" w:hAnsiTheme="minorHAnsi" w:cs="Arial"/>
          <w:sz w:val="22"/>
          <w:szCs w:val="22"/>
        </w:rPr>
      </w:pPr>
      <w:r w:rsidRPr="003E698E">
        <w:rPr>
          <w:rFonts w:asciiTheme="minorHAnsi" w:hAnsiTheme="minorHAnsi" w:cs="Arial"/>
          <w:sz w:val="22"/>
          <w:szCs w:val="22"/>
        </w:rPr>
        <w:tab/>
      </w:r>
    </w:p>
    <w:p w14:paraId="25F2FD03" w14:textId="77777777" w:rsidR="00EB08C8" w:rsidRPr="003E698E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  <w:r w:rsidRPr="003E698E">
        <w:rPr>
          <w:rFonts w:asciiTheme="minorHAnsi" w:hAnsiTheme="minorHAnsi" w:cs="Arial"/>
          <w:sz w:val="22"/>
          <w:szCs w:val="22"/>
        </w:rPr>
        <w:t>__________________________</w:t>
      </w:r>
      <w:r w:rsidR="00EF73DB" w:rsidRPr="003E698E">
        <w:rPr>
          <w:rFonts w:asciiTheme="minorHAnsi" w:hAnsiTheme="minorHAnsi" w:cs="Arial"/>
          <w:sz w:val="22"/>
          <w:szCs w:val="22"/>
        </w:rPr>
        <w:t>______</w:t>
      </w:r>
      <w:r w:rsidRPr="003E698E">
        <w:rPr>
          <w:rFonts w:asciiTheme="minorHAnsi" w:hAnsiTheme="minorHAnsi" w:cs="Arial"/>
          <w:sz w:val="22"/>
          <w:szCs w:val="22"/>
        </w:rPr>
        <w:t>_</w:t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</w:p>
    <w:p w14:paraId="25F2FD04" w14:textId="77777777" w:rsidR="00EB08C8" w:rsidRPr="003E698E" w:rsidRDefault="00EB08C8" w:rsidP="00EB08C8">
      <w:pPr>
        <w:rPr>
          <w:rFonts w:asciiTheme="minorHAnsi" w:hAnsiTheme="minorHAnsi" w:cs="Arial"/>
          <w:sz w:val="22"/>
          <w:szCs w:val="22"/>
        </w:rPr>
      </w:pPr>
      <w:r w:rsidRPr="003E698E">
        <w:rPr>
          <w:rFonts w:asciiTheme="minorHAnsi" w:hAnsiTheme="minorHAnsi" w:cs="Arial"/>
          <w:sz w:val="22"/>
          <w:szCs w:val="22"/>
        </w:rPr>
        <w:t xml:space="preserve">       </w:t>
      </w:r>
      <w:r w:rsidR="00EF73DB" w:rsidRPr="003E698E">
        <w:rPr>
          <w:rFonts w:asciiTheme="minorHAnsi" w:hAnsiTheme="minorHAnsi" w:cs="Arial"/>
          <w:sz w:val="22"/>
          <w:szCs w:val="22"/>
        </w:rPr>
        <w:t xml:space="preserve">      </w:t>
      </w:r>
      <w:r w:rsidRPr="003E698E">
        <w:rPr>
          <w:rFonts w:asciiTheme="minorHAnsi" w:hAnsiTheme="minorHAnsi" w:cs="Arial"/>
          <w:sz w:val="22"/>
          <w:szCs w:val="22"/>
        </w:rPr>
        <w:t xml:space="preserve">  Firma</w:t>
      </w:r>
      <w:r w:rsidR="00EF73DB" w:rsidRPr="003E698E">
        <w:rPr>
          <w:rFonts w:asciiTheme="minorHAnsi" w:hAnsiTheme="minorHAnsi" w:cs="Arial"/>
          <w:sz w:val="22"/>
          <w:szCs w:val="22"/>
        </w:rPr>
        <w:t xml:space="preserve"> del Propietario</w:t>
      </w:r>
    </w:p>
    <w:p w14:paraId="25F2FD05" w14:textId="77777777" w:rsidR="00EB08C8" w:rsidRPr="003E698E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</w:p>
    <w:p w14:paraId="25F2FD06" w14:textId="77777777" w:rsidR="00EB08C8" w:rsidRPr="003E698E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  <w:r w:rsidRPr="003E698E">
        <w:rPr>
          <w:rFonts w:asciiTheme="minorHAnsi" w:hAnsiTheme="minorHAnsi" w:cs="Arial"/>
          <w:sz w:val="22"/>
          <w:szCs w:val="22"/>
        </w:rPr>
        <w:t>Cedula:</w:t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ab/>
        <w:t xml:space="preserve"> </w:t>
      </w:r>
      <w:r w:rsidR="00FE711B" w:rsidRPr="003E698E">
        <w:rPr>
          <w:rFonts w:asciiTheme="minorHAnsi" w:hAnsiTheme="minorHAnsi" w:cs="Arial"/>
          <w:sz w:val="22"/>
          <w:szCs w:val="22"/>
        </w:rPr>
        <w:tab/>
      </w:r>
      <w:r w:rsidR="00FE711B" w:rsidRPr="003E698E">
        <w:rPr>
          <w:rFonts w:asciiTheme="minorHAnsi" w:hAnsiTheme="minorHAnsi" w:cs="Arial"/>
          <w:sz w:val="22"/>
          <w:szCs w:val="22"/>
        </w:rPr>
        <w:tab/>
      </w:r>
      <w:r w:rsidR="00FE711B" w:rsidRPr="003E698E">
        <w:rPr>
          <w:rFonts w:asciiTheme="minorHAnsi" w:hAnsiTheme="minorHAnsi" w:cs="Arial"/>
          <w:sz w:val="22"/>
          <w:szCs w:val="22"/>
        </w:rPr>
        <w:tab/>
      </w:r>
      <w:r w:rsidRPr="003E698E">
        <w:rPr>
          <w:rFonts w:asciiTheme="minorHAnsi" w:hAnsiTheme="minorHAnsi" w:cs="Arial"/>
          <w:sz w:val="22"/>
          <w:szCs w:val="22"/>
        </w:rPr>
        <w:t xml:space="preserve">   Huella Digital</w:t>
      </w:r>
    </w:p>
    <w:p w14:paraId="25F2FD07" w14:textId="77777777" w:rsidR="00EB08C8" w:rsidRPr="003E698E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  <w:r w:rsidRPr="003E698E">
        <w:rPr>
          <w:rFonts w:asciiTheme="minorHAnsi" w:hAnsiTheme="minorHAnsi" w:cs="Arial"/>
          <w:sz w:val="22"/>
          <w:szCs w:val="22"/>
        </w:rPr>
        <w:t>Teléfono:</w:t>
      </w:r>
    </w:p>
    <w:p w14:paraId="25F2FD08" w14:textId="77777777" w:rsidR="00EB08C8" w:rsidRPr="003E698E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</w:p>
    <w:p w14:paraId="25F2FD09" w14:textId="77777777" w:rsidR="00EB08C8" w:rsidRPr="003E698E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  <w:r w:rsidRPr="003E698E">
        <w:rPr>
          <w:rFonts w:asciiTheme="minorHAnsi" w:hAnsiTheme="minorHAnsi" w:cs="Arial"/>
          <w:sz w:val="22"/>
          <w:szCs w:val="22"/>
        </w:rPr>
        <w:t>Dirección:</w:t>
      </w:r>
    </w:p>
    <w:p w14:paraId="25F2FD0A" w14:textId="77777777" w:rsidR="00EB08C8" w:rsidRPr="003E698E" w:rsidRDefault="00EB08C8">
      <w:pPr>
        <w:rPr>
          <w:rFonts w:asciiTheme="minorHAnsi" w:hAnsiTheme="minorHAnsi"/>
        </w:rPr>
      </w:pPr>
    </w:p>
    <w:p w14:paraId="25F2FD0B" w14:textId="77777777" w:rsidR="00EF73DB" w:rsidRPr="003E698E" w:rsidRDefault="00EF73DB" w:rsidP="00690A04">
      <w:pPr>
        <w:rPr>
          <w:rFonts w:asciiTheme="minorHAnsi" w:hAnsiTheme="minorHAnsi"/>
          <w:sz w:val="18"/>
        </w:rPr>
      </w:pPr>
    </w:p>
    <w:sectPr w:rsidR="00EF73DB" w:rsidRPr="003E698E" w:rsidSect="00EB08C8">
      <w:headerReference w:type="default" r:id="rId6"/>
      <w:footerReference w:type="default" r:id="rId7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2FD0E" w14:textId="77777777" w:rsidR="003645A9" w:rsidRDefault="003645A9">
      <w:r>
        <w:separator/>
      </w:r>
    </w:p>
  </w:endnote>
  <w:endnote w:type="continuationSeparator" w:id="0">
    <w:p w14:paraId="25F2FD0F" w14:textId="77777777" w:rsidR="003645A9" w:rsidRDefault="0036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BDCF" w14:textId="77777777" w:rsidR="00EC1EED" w:rsidRPr="00A21280" w:rsidRDefault="00EC1EED" w:rsidP="00EC1EED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417F9E84" w14:textId="77777777" w:rsidR="00EC1EED" w:rsidRPr="00A21280" w:rsidRDefault="00EC1EED" w:rsidP="00EC1EED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25F2FD22" w14:textId="273717C4" w:rsidR="00E37B6A" w:rsidRPr="00EC1EED" w:rsidRDefault="00EC1EED" w:rsidP="00EC1EED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  <w:lang w:val="es-ES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  <w:lang w:val="es-ES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2FD0C" w14:textId="77777777" w:rsidR="003645A9" w:rsidRDefault="003645A9">
      <w:r>
        <w:separator/>
      </w:r>
    </w:p>
  </w:footnote>
  <w:footnote w:type="continuationSeparator" w:id="0">
    <w:p w14:paraId="25F2FD0D" w14:textId="77777777" w:rsidR="003645A9" w:rsidRDefault="0036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54" w:type="dxa"/>
      <w:jc w:val="center"/>
      <w:tblBorders>
        <w:top w:val="dotted" w:sz="4" w:space="0" w:color="000000"/>
        <w:left w:val="single" w:sz="4" w:space="0" w:color="000000"/>
        <w:right w:val="single" w:sz="4" w:space="0" w:color="000000"/>
        <w:insideV w:val="dotted" w:sz="4" w:space="0" w:color="000000"/>
      </w:tblBorders>
      <w:tblLook w:val="01E0" w:firstRow="1" w:lastRow="1" w:firstColumn="1" w:lastColumn="1" w:noHBand="0" w:noVBand="0"/>
    </w:tblPr>
    <w:tblGrid>
      <w:gridCol w:w="1260"/>
      <w:gridCol w:w="1577"/>
      <w:gridCol w:w="1177"/>
      <w:gridCol w:w="1223"/>
      <w:gridCol w:w="849"/>
      <w:gridCol w:w="992"/>
      <w:gridCol w:w="1276"/>
    </w:tblGrid>
    <w:tr w:rsidR="001A3E7D" w:rsidRPr="0043486B" w14:paraId="5331AC6A" w14:textId="77777777" w:rsidTr="004B675E">
      <w:trPr>
        <w:trHeight w:val="423"/>
        <w:jc w:val="center"/>
      </w:trPr>
      <w:tc>
        <w:tcPr>
          <w:tcW w:w="1260" w:type="dxa"/>
          <w:vMerge w:val="restart"/>
          <w:tcBorders>
            <w:top w:val="nil"/>
            <w:left w:val="nil"/>
            <w:right w:val="dotted" w:sz="4" w:space="0" w:color="000000"/>
          </w:tcBorders>
          <w:vAlign w:val="center"/>
        </w:tcPr>
        <w:p w14:paraId="4D6F8853" w14:textId="77777777" w:rsidR="001A3E7D" w:rsidRPr="0043486B" w:rsidRDefault="001A3E7D" w:rsidP="001A3E7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bookmarkStart w:id="0" w:name="_Hlk172219355"/>
          <w:r w:rsidRPr="001623EB">
            <w:rPr>
              <w:noProof/>
            </w:rPr>
            <w:drawing>
              <wp:inline distT="0" distB="0" distL="0" distR="0" wp14:anchorId="1ECAEC84" wp14:editId="69E03B53">
                <wp:extent cx="609600" cy="895350"/>
                <wp:effectExtent l="0" t="0" r="0" b="0"/>
                <wp:docPr id="307516256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516256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1" t="13853" r="16002" b="12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/>
          <w:vAlign w:val="center"/>
        </w:tcPr>
        <w:p w14:paraId="4ACDC5FF" w14:textId="77777777" w:rsidR="001A3E7D" w:rsidRPr="0043486B" w:rsidRDefault="001A3E7D" w:rsidP="001A3E7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3D7C72">
            <w:rPr>
              <w:rFonts w:ascii="Calibri" w:eastAsia="Calibri" w:hAnsi="Calibri" w:cs="Calibri"/>
              <w:b/>
              <w:sz w:val="28"/>
              <w:szCs w:val="21"/>
            </w:rPr>
            <w:t>VIVIENDA CONO BIEN UNICO DE HABITACION 1</w:t>
          </w:r>
        </w:p>
      </w:tc>
    </w:tr>
    <w:tr w:rsidR="001A3E7D" w:rsidRPr="0043486B" w14:paraId="6D607096" w14:textId="77777777" w:rsidTr="004B675E">
      <w:trPr>
        <w:trHeight w:val="401"/>
        <w:jc w:val="center"/>
      </w:trPr>
      <w:tc>
        <w:tcPr>
          <w:tcW w:w="1260" w:type="dxa"/>
          <w:vMerge/>
          <w:tcBorders>
            <w:top w:val="nil"/>
            <w:left w:val="nil"/>
            <w:right w:val="dotted" w:sz="4" w:space="0" w:color="000000"/>
          </w:tcBorders>
          <w:vAlign w:val="center"/>
        </w:tcPr>
        <w:p w14:paraId="33B0441D" w14:textId="77777777" w:rsidR="001A3E7D" w:rsidRPr="0043486B" w:rsidRDefault="001A3E7D" w:rsidP="001A3E7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</w:tc>
      <w:tc>
        <w:tcPr>
          <w:tcW w:w="709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C31CBB4" w14:textId="77777777" w:rsidR="001A3E7D" w:rsidRPr="00246D3A" w:rsidRDefault="001A3E7D" w:rsidP="001A3E7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43486B">
            <w:rPr>
              <w:rFonts w:ascii="Calibri" w:hAnsi="Calibri"/>
              <w:sz w:val="21"/>
              <w:szCs w:val="21"/>
            </w:rPr>
            <w:t>GESTIÓN CONTRACTUAL Y SEGUIMIENTO DE PROYECTOS DE INFRAESTRUCTURA DE TRANSPORTE</w:t>
          </w:r>
        </w:p>
      </w:tc>
    </w:tr>
    <w:tr w:rsidR="001A3E7D" w:rsidRPr="0043486B" w14:paraId="7592E0E7" w14:textId="77777777" w:rsidTr="004B675E">
      <w:trPr>
        <w:trHeight w:val="450"/>
        <w:jc w:val="center"/>
      </w:trPr>
      <w:tc>
        <w:tcPr>
          <w:tcW w:w="1260" w:type="dxa"/>
          <w:vMerge/>
          <w:tcBorders>
            <w:top w:val="nil"/>
            <w:left w:val="nil"/>
            <w:right w:val="dotted" w:sz="4" w:space="0" w:color="000000"/>
          </w:tcBorders>
          <w:vAlign w:val="center"/>
        </w:tcPr>
        <w:p w14:paraId="27CC0D2D" w14:textId="77777777" w:rsidR="001A3E7D" w:rsidRPr="0043486B" w:rsidRDefault="001A3E7D" w:rsidP="001A3E7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</w:tc>
      <w:tc>
        <w:tcPr>
          <w:tcW w:w="1577" w:type="dxa"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vAlign w:val="center"/>
        </w:tcPr>
        <w:p w14:paraId="5A22335D" w14:textId="77777777" w:rsidR="001A3E7D" w:rsidRPr="0043486B" w:rsidRDefault="001A3E7D" w:rsidP="001A3E7D">
          <w:pPr>
            <w:jc w:val="center"/>
            <w:rPr>
              <w:rFonts w:ascii="Calibri" w:eastAsia="Calibri" w:hAnsi="Calibri" w:cs="Calibri"/>
              <w:b/>
              <w:sz w:val="21"/>
              <w:szCs w:val="21"/>
            </w:rPr>
          </w:pPr>
          <w:r w:rsidRPr="0043486B">
            <w:rPr>
              <w:rFonts w:ascii="Calibri" w:hAnsi="Calibri" w:cs="Calibri"/>
              <w:b/>
              <w:bCs/>
              <w:spacing w:val="-6"/>
              <w:sz w:val="21"/>
              <w:szCs w:val="21"/>
            </w:rPr>
            <w:t>CÓDIGO</w:t>
          </w:r>
        </w:p>
      </w:tc>
      <w:tc>
        <w:tcPr>
          <w:tcW w:w="1177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6D196394" w14:textId="77777777" w:rsidR="001A3E7D" w:rsidRPr="0043486B" w:rsidRDefault="001A3E7D" w:rsidP="001A3E7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43486B">
            <w:rPr>
              <w:rFonts w:ascii="Calibri" w:hAnsi="Calibri" w:cs="Calibri"/>
              <w:bCs/>
              <w:spacing w:val="-6"/>
              <w:sz w:val="21"/>
              <w:szCs w:val="21"/>
            </w:rPr>
            <w:t>GCSP-F-</w:t>
          </w:r>
          <w:r>
            <w:rPr>
              <w:rFonts w:ascii="Calibri" w:hAnsi="Calibri" w:cs="Calibri"/>
              <w:bCs/>
              <w:spacing w:val="-6"/>
              <w:sz w:val="21"/>
              <w:szCs w:val="21"/>
            </w:rPr>
            <w:t>025</w:t>
          </w:r>
        </w:p>
      </w:tc>
      <w:tc>
        <w:tcPr>
          <w:tcW w:w="1223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020E1B15" w14:textId="77777777" w:rsidR="001A3E7D" w:rsidRPr="0043486B" w:rsidRDefault="001A3E7D" w:rsidP="001A3E7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246D3A">
            <w:rPr>
              <w:rFonts w:ascii="Calibri" w:eastAsia="Calibri" w:hAnsi="Calibri" w:cs="Calibri"/>
              <w:b/>
              <w:sz w:val="21"/>
              <w:szCs w:val="21"/>
            </w:rPr>
            <w:t>VERSIÓN</w:t>
          </w:r>
        </w:p>
      </w:tc>
      <w:tc>
        <w:tcPr>
          <w:tcW w:w="849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7231A0E9" w14:textId="77777777" w:rsidR="001A3E7D" w:rsidRPr="0043486B" w:rsidRDefault="001A3E7D" w:rsidP="001A3E7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002</w:t>
          </w:r>
        </w:p>
      </w:tc>
      <w:tc>
        <w:tcPr>
          <w:tcW w:w="992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74F6F1E5" w14:textId="77777777" w:rsidR="001A3E7D" w:rsidRPr="0043486B" w:rsidRDefault="001A3E7D" w:rsidP="001A3E7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246D3A">
            <w:rPr>
              <w:rFonts w:ascii="Calibri" w:eastAsia="Calibri" w:hAnsi="Calibri" w:cs="Calibri"/>
              <w:b/>
              <w:sz w:val="21"/>
              <w:szCs w:val="21"/>
            </w:rPr>
            <w:t>FECHA</w:t>
          </w:r>
        </w:p>
      </w:tc>
      <w:tc>
        <w:tcPr>
          <w:tcW w:w="1276" w:type="dxa"/>
          <w:tcBorders>
            <w:top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0AADAA6" w14:textId="77777777" w:rsidR="001A3E7D" w:rsidRPr="00A165D1" w:rsidRDefault="001A3E7D" w:rsidP="001A3E7D">
          <w:pPr>
            <w:jc w:val="center"/>
            <w:rPr>
              <w:rFonts w:ascii="Calibri" w:eastAsia="Calibri" w:hAnsi="Calibri" w:cs="Calibri"/>
              <w:sz w:val="21"/>
              <w:szCs w:val="21"/>
              <w:highlight w:val="yellow"/>
            </w:rPr>
          </w:pPr>
          <w:r w:rsidRPr="00E14336">
            <w:rPr>
              <w:rFonts w:ascii="Calibri" w:eastAsia="Calibri" w:hAnsi="Calibri" w:cs="Calibri"/>
              <w:bCs/>
              <w:sz w:val="21"/>
              <w:szCs w:val="21"/>
            </w:rPr>
            <w:t>26/07/2024</w:t>
          </w:r>
        </w:p>
      </w:tc>
    </w:tr>
    <w:bookmarkEnd w:id="0"/>
  </w:tbl>
  <w:p w14:paraId="25F2FD1E" w14:textId="77777777" w:rsidR="00985381" w:rsidRDefault="009853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C8"/>
    <w:rsid w:val="00005223"/>
    <w:rsid w:val="00026A16"/>
    <w:rsid w:val="000B3202"/>
    <w:rsid w:val="0010733B"/>
    <w:rsid w:val="001A3E7D"/>
    <w:rsid w:val="002A2D88"/>
    <w:rsid w:val="002B692A"/>
    <w:rsid w:val="002E2805"/>
    <w:rsid w:val="003319EC"/>
    <w:rsid w:val="00342695"/>
    <w:rsid w:val="003570B3"/>
    <w:rsid w:val="003645A9"/>
    <w:rsid w:val="003E115A"/>
    <w:rsid w:val="003E698E"/>
    <w:rsid w:val="00422A01"/>
    <w:rsid w:val="004C119B"/>
    <w:rsid w:val="004F64FC"/>
    <w:rsid w:val="0062487F"/>
    <w:rsid w:val="00690A04"/>
    <w:rsid w:val="006A1F84"/>
    <w:rsid w:val="006A582E"/>
    <w:rsid w:val="006D56CA"/>
    <w:rsid w:val="0071079E"/>
    <w:rsid w:val="00785020"/>
    <w:rsid w:val="007D182B"/>
    <w:rsid w:val="007D3CDF"/>
    <w:rsid w:val="007F1F9A"/>
    <w:rsid w:val="007F233E"/>
    <w:rsid w:val="008A4CFB"/>
    <w:rsid w:val="008F6337"/>
    <w:rsid w:val="00930C33"/>
    <w:rsid w:val="009764FE"/>
    <w:rsid w:val="0098184F"/>
    <w:rsid w:val="009834CD"/>
    <w:rsid w:val="00985381"/>
    <w:rsid w:val="009A4788"/>
    <w:rsid w:val="009F1F84"/>
    <w:rsid w:val="00B33162"/>
    <w:rsid w:val="00B7561D"/>
    <w:rsid w:val="00B8283E"/>
    <w:rsid w:val="00C01739"/>
    <w:rsid w:val="00C656A3"/>
    <w:rsid w:val="00CD6E2E"/>
    <w:rsid w:val="00CF5373"/>
    <w:rsid w:val="00E37B6A"/>
    <w:rsid w:val="00E57573"/>
    <w:rsid w:val="00E57A08"/>
    <w:rsid w:val="00EB08C8"/>
    <w:rsid w:val="00EC1EED"/>
    <w:rsid w:val="00EF3397"/>
    <w:rsid w:val="00EF73DB"/>
    <w:rsid w:val="00F26A05"/>
    <w:rsid w:val="00F27500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5F2FCF7"/>
  <w15:docId w15:val="{1BC0E433-3D70-4AE7-8E4D-0E64DF62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8C8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B08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08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EB08C8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locked/>
    <w:rsid w:val="00EB08C8"/>
    <w:rPr>
      <w:sz w:val="24"/>
      <w:szCs w:val="24"/>
      <w:lang w:val="es-ES" w:eastAsia="es-ES" w:bidi="ar-SA"/>
    </w:rPr>
  </w:style>
  <w:style w:type="paragraph" w:customStyle="1" w:styleId="ODEBRECHT1">
    <w:name w:val="ODEBRECHT1"/>
    <w:autoRedefine/>
    <w:rsid w:val="00EB08C8"/>
    <w:pPr>
      <w:tabs>
        <w:tab w:val="center" w:pos="4252"/>
        <w:tab w:val="right" w:pos="8504"/>
      </w:tabs>
      <w:jc w:val="center"/>
    </w:pPr>
    <w:rPr>
      <w:rFonts w:ascii="Arial" w:hAnsi="Arial" w:cs="Arial"/>
      <w:b/>
      <w:sz w:val="22"/>
      <w:szCs w:val="24"/>
      <w:lang w:eastAsia="es-ES"/>
    </w:rPr>
  </w:style>
  <w:style w:type="character" w:styleId="Hipervnculo">
    <w:name w:val="Hyperlink"/>
    <w:rsid w:val="00E37B6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E69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698E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conformidad con lo establecido en el Articulo 25 de la Ley 962 de 2005, mediante la cual se dictan disposiciones sobre racionalización de trámites y procedimientos administrativos de los organismos y entidades del Estado</vt:lpstr>
    </vt:vector>
  </TitlesOfParts>
  <Company>INCO</Company>
  <LinksUpToDate>false</LinksUpToDate>
  <CharactersWithSpaces>1294</CharactersWithSpaces>
  <SharedDoc>false</SharedDoc>
  <HLinks>
    <vt:vector size="6" baseType="variant"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conformidad con lo establecido en el Articulo 25 de la Ley 962 de 2005, mediante la cual se dictan disposiciones sobre racionalización de trámites y procedimientos administrativos de los organismos y entidades del Estado</dc:title>
  <dc:creator>mreyes</dc:creator>
  <cp:lastModifiedBy>Cristian Leandro Muñoz Claros</cp:lastModifiedBy>
  <cp:revision>5</cp:revision>
  <cp:lastPrinted>2011-07-06T14:56:00Z</cp:lastPrinted>
  <dcterms:created xsi:type="dcterms:W3CDTF">2013-11-15T21:40:00Z</dcterms:created>
  <dcterms:modified xsi:type="dcterms:W3CDTF">2024-07-29T16:45:00Z</dcterms:modified>
</cp:coreProperties>
</file>