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381E" w14:textId="371387B9" w:rsidR="00C43116" w:rsidRPr="0048643C" w:rsidRDefault="0048643C" w:rsidP="0048643C">
      <w:pPr>
        <w:pStyle w:val="Prrafodelista"/>
        <w:numPr>
          <w:ilvl w:val="0"/>
          <w:numId w:val="4"/>
        </w:numPr>
        <w:jc w:val="both"/>
        <w:rPr>
          <w:rFonts w:asciiTheme="minorHAnsi" w:hAnsiTheme="minorHAnsi"/>
          <w:b/>
          <w:sz w:val="22"/>
        </w:rPr>
      </w:pPr>
      <w:r w:rsidRPr="0048643C">
        <w:rPr>
          <w:rFonts w:asciiTheme="minorHAnsi" w:hAnsiTheme="minorHAnsi"/>
          <w:b/>
          <w:sz w:val="22"/>
        </w:rPr>
        <w:t>DATOS GENERALES</w:t>
      </w:r>
    </w:p>
    <w:p w14:paraId="508CAEDC" w14:textId="77777777" w:rsidR="0048643C" w:rsidRDefault="0048643C" w:rsidP="002777F3">
      <w:pPr>
        <w:jc w:val="both"/>
        <w:rPr>
          <w:rFonts w:asciiTheme="minorHAnsi" w:hAnsiTheme="minorHAnsi"/>
          <w:sz w:val="22"/>
        </w:rPr>
      </w:pPr>
    </w:p>
    <w:p w14:paraId="70C33830" w14:textId="678B6B37" w:rsidR="00C43116" w:rsidRPr="00142EF2" w:rsidRDefault="001437DD" w:rsidP="000F334D">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Pr>
          <w:rFonts w:asciiTheme="minorHAnsi" w:hAnsiTheme="minorHAnsi"/>
          <w:sz w:val="22"/>
        </w:rPr>
        <w:t xml:space="preserve">Informe de Auditoría: </w:t>
      </w:r>
      <w:r w:rsidRPr="001437DD">
        <w:rPr>
          <w:rFonts w:asciiTheme="minorHAnsi" w:hAnsiTheme="minorHAnsi"/>
          <w:sz w:val="22"/>
          <w:u w:val="single"/>
        </w:rPr>
        <w:t xml:space="preserve">Auditoría </w:t>
      </w:r>
      <w:r>
        <w:rPr>
          <w:rFonts w:asciiTheme="minorHAnsi" w:hAnsiTheme="minorHAnsi"/>
          <w:sz w:val="22"/>
          <w:u w:val="single"/>
        </w:rPr>
        <w:t>Especial 2011</w:t>
      </w:r>
      <w:r w:rsidRPr="001437DD">
        <w:rPr>
          <w:rFonts w:asciiTheme="minorHAnsi" w:hAnsiTheme="minorHAnsi"/>
          <w:sz w:val="22"/>
          <w:u w:val="single"/>
        </w:rPr>
        <w:t xml:space="preserve"> CGR</w:t>
      </w:r>
      <w:r w:rsidR="0048643C">
        <w:rPr>
          <w:rFonts w:asciiTheme="minorHAnsi" w:hAnsiTheme="minorHAnsi"/>
          <w:sz w:val="22"/>
        </w:rPr>
        <w:tab/>
        <w:t xml:space="preserve">Hallazgo </w:t>
      </w:r>
      <w:r>
        <w:rPr>
          <w:rFonts w:asciiTheme="minorHAnsi" w:hAnsiTheme="minorHAnsi"/>
          <w:sz w:val="22"/>
        </w:rPr>
        <w:t xml:space="preserve">asociado: </w:t>
      </w:r>
      <w:r w:rsidRPr="001437DD">
        <w:rPr>
          <w:rFonts w:asciiTheme="minorHAnsi" w:hAnsiTheme="minorHAnsi"/>
          <w:sz w:val="22"/>
          <w:u w:val="single"/>
        </w:rPr>
        <w:t>650-226</w:t>
      </w:r>
    </w:p>
    <w:p w14:paraId="32C1CF3F" w14:textId="7B6C0535" w:rsidR="000C4072" w:rsidRDefault="000C4072"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Concesión o área</w:t>
      </w:r>
      <w:r w:rsidR="00984F69" w:rsidRPr="00142EF2">
        <w:rPr>
          <w:rFonts w:asciiTheme="minorHAnsi" w:hAnsiTheme="minorHAnsi"/>
          <w:sz w:val="22"/>
        </w:rPr>
        <w:t>:</w:t>
      </w:r>
      <w:r w:rsidR="00CB2813">
        <w:rPr>
          <w:rFonts w:asciiTheme="minorHAnsi" w:hAnsiTheme="minorHAnsi"/>
          <w:sz w:val="22"/>
        </w:rPr>
        <w:t xml:space="preserve"> </w:t>
      </w:r>
      <w:r w:rsidR="001437DD" w:rsidRPr="001437DD">
        <w:rPr>
          <w:rFonts w:asciiTheme="minorHAnsi" w:hAnsiTheme="minorHAnsi"/>
          <w:sz w:val="22"/>
          <w:u w:val="single"/>
        </w:rPr>
        <w:t>Armenia – Pereira - Manizales</w:t>
      </w:r>
      <w:r w:rsidR="00C43116" w:rsidRPr="00142EF2">
        <w:rPr>
          <w:rFonts w:asciiTheme="minorHAnsi" w:hAnsiTheme="minorHAnsi"/>
          <w:sz w:val="22"/>
        </w:rPr>
        <w:t xml:space="preserve">  </w:t>
      </w:r>
    </w:p>
    <w:p w14:paraId="70C33832" w14:textId="55733A8D" w:rsidR="00C43116" w:rsidRDefault="000C4072"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 xml:space="preserve">Área Responsable: </w:t>
      </w:r>
      <w:r w:rsidR="001437DD" w:rsidRPr="001437DD">
        <w:rPr>
          <w:rFonts w:asciiTheme="minorHAnsi" w:hAnsiTheme="minorHAnsi"/>
          <w:sz w:val="22"/>
          <w:u w:val="single"/>
        </w:rPr>
        <w:t>Vicepresidencia de Gestión Contractual</w:t>
      </w:r>
    </w:p>
    <w:p w14:paraId="3F034301" w14:textId="738352FF" w:rsidR="000C4072" w:rsidRDefault="000C4072"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 xml:space="preserve">Estado del hallazgo ante la CGR: </w:t>
      </w:r>
      <w:r w:rsidR="001437DD">
        <w:rPr>
          <w:rFonts w:asciiTheme="minorHAnsi" w:hAnsiTheme="minorHAnsi"/>
          <w:sz w:val="22"/>
        </w:rPr>
        <w:t>Vigente, no revisado por la CGR</w:t>
      </w:r>
    </w:p>
    <w:p w14:paraId="49738512" w14:textId="27CBCD61" w:rsidR="000C4072" w:rsidRDefault="000C4072"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Fecha de ven</w:t>
      </w:r>
      <w:r w:rsidR="001437DD">
        <w:rPr>
          <w:rFonts w:asciiTheme="minorHAnsi" w:hAnsiTheme="minorHAnsi"/>
          <w:sz w:val="22"/>
        </w:rPr>
        <w:t>cimiento: 30 de abril de 2017</w:t>
      </w:r>
    </w:p>
    <w:p w14:paraId="3D60E5B7" w14:textId="079F120A" w:rsidR="000C4072" w:rsidRPr="001437DD" w:rsidRDefault="000C4072"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 xml:space="preserve">Avance en el </w:t>
      </w:r>
      <w:r w:rsidR="001437DD">
        <w:rPr>
          <w:rFonts w:asciiTheme="minorHAnsi" w:hAnsiTheme="minorHAnsi"/>
          <w:sz w:val="22"/>
        </w:rPr>
        <w:t xml:space="preserve">cumplimiento: </w:t>
      </w:r>
      <w:r w:rsidR="001437DD" w:rsidRPr="001437DD">
        <w:rPr>
          <w:rFonts w:asciiTheme="minorHAnsi" w:hAnsiTheme="minorHAnsi"/>
          <w:sz w:val="22"/>
          <w:u w:val="single"/>
        </w:rPr>
        <w:t>100%</w:t>
      </w:r>
      <w:r w:rsidR="001437DD">
        <w:rPr>
          <w:rFonts w:asciiTheme="minorHAnsi" w:hAnsiTheme="minorHAnsi"/>
          <w:sz w:val="22"/>
          <w:u w:val="single"/>
        </w:rPr>
        <w:t xml:space="preserve"> </w:t>
      </w:r>
      <w:r w:rsidR="001437DD">
        <w:rPr>
          <w:rFonts w:asciiTheme="minorHAnsi" w:hAnsiTheme="minorHAnsi"/>
          <w:sz w:val="22"/>
        </w:rPr>
        <w:t xml:space="preserve"> </w:t>
      </w:r>
    </w:p>
    <w:p w14:paraId="716761A3" w14:textId="77777777" w:rsidR="000C4072" w:rsidRDefault="000C4072" w:rsidP="004B3FCA">
      <w:pPr>
        <w:rPr>
          <w:rFonts w:asciiTheme="minorHAnsi" w:hAnsiTheme="minorHAnsi"/>
          <w:sz w:val="22"/>
        </w:rPr>
      </w:pPr>
    </w:p>
    <w:p w14:paraId="3CA2BECB" w14:textId="77777777" w:rsidR="001437DD" w:rsidRPr="001437DD" w:rsidRDefault="000C4072" w:rsidP="001437D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Descripción del hallazgo</w:t>
      </w:r>
      <w:r w:rsidR="001437DD">
        <w:rPr>
          <w:rFonts w:asciiTheme="minorHAnsi" w:hAnsiTheme="minorHAnsi"/>
          <w:sz w:val="22"/>
        </w:rPr>
        <w:t xml:space="preserve">. </w:t>
      </w:r>
      <w:r w:rsidR="001437DD" w:rsidRPr="001437DD">
        <w:rPr>
          <w:rFonts w:asciiTheme="minorHAnsi" w:hAnsiTheme="minorHAnsi"/>
          <w:sz w:val="22"/>
        </w:rPr>
        <w:t xml:space="preserve">H 137- 210 - AR2008 - Administrativo - Se evidenciaron inconsistencias en los supuestos del modelo financiero de la reestructuración del 15/06/05 de APM, situación que crea incertidumbre sobre si el plazo otorgado es el adecuado. Lo anterior se sustenta en los siguientes hechos: </w:t>
      </w:r>
    </w:p>
    <w:p w14:paraId="4A7E47EA" w14:textId="77777777" w:rsidR="001437DD" w:rsidRPr="001437DD" w:rsidRDefault="001437DD" w:rsidP="001437DD">
      <w:pPr>
        <w:pBdr>
          <w:top w:val="single" w:sz="4" w:space="1" w:color="auto"/>
          <w:left w:val="single" w:sz="4" w:space="4" w:color="auto"/>
          <w:bottom w:val="single" w:sz="4" w:space="1" w:color="auto"/>
          <w:right w:val="single" w:sz="4" w:space="4" w:color="auto"/>
        </w:pBdr>
        <w:rPr>
          <w:rFonts w:asciiTheme="minorHAnsi" w:hAnsiTheme="minorHAnsi"/>
          <w:sz w:val="22"/>
        </w:rPr>
      </w:pPr>
      <w:r w:rsidRPr="001437DD">
        <w:rPr>
          <w:rFonts w:asciiTheme="minorHAnsi" w:hAnsiTheme="minorHAnsi"/>
          <w:sz w:val="22"/>
        </w:rPr>
        <w:t>-Para deflactar los precios del flujo de caja y algunos de sus insumos, se utilizó una proyección de la inflación del 2004 en adelante del 7%, sin tener en cuenta el MFMP de  2004, elaborado por el MHCP. - Algunos de los costos de inversión incluidos y la línea de ingresos garantizados, en el modelo del 15/06/05, no coinciden con los establecidos en el Otrosí de la misma fecha.</w:t>
      </w:r>
    </w:p>
    <w:p w14:paraId="6999B180" w14:textId="77777777" w:rsidR="001437DD" w:rsidRPr="001437DD" w:rsidRDefault="001437DD" w:rsidP="001437DD">
      <w:pPr>
        <w:pBdr>
          <w:top w:val="single" w:sz="4" w:space="1" w:color="auto"/>
          <w:left w:val="single" w:sz="4" w:space="4" w:color="auto"/>
          <w:bottom w:val="single" w:sz="4" w:space="1" w:color="auto"/>
          <w:right w:val="single" w:sz="4" w:space="4" w:color="auto"/>
        </w:pBdr>
        <w:rPr>
          <w:rFonts w:asciiTheme="minorHAnsi" w:hAnsiTheme="minorHAnsi"/>
          <w:sz w:val="22"/>
        </w:rPr>
      </w:pPr>
    </w:p>
    <w:p w14:paraId="658C201B" w14:textId="28B88B99" w:rsidR="000C4072" w:rsidRDefault="001437DD" w:rsidP="000F334D">
      <w:pPr>
        <w:pBdr>
          <w:top w:val="single" w:sz="4" w:space="1" w:color="auto"/>
          <w:left w:val="single" w:sz="4" w:space="4" w:color="auto"/>
          <w:bottom w:val="single" w:sz="4" w:space="1" w:color="auto"/>
          <w:right w:val="single" w:sz="4" w:space="4" w:color="auto"/>
        </w:pBdr>
        <w:rPr>
          <w:rFonts w:asciiTheme="minorHAnsi" w:hAnsiTheme="minorHAnsi"/>
          <w:sz w:val="22"/>
        </w:rPr>
      </w:pPr>
      <w:r w:rsidRPr="001437DD">
        <w:rPr>
          <w:rFonts w:asciiTheme="minorHAnsi" w:hAnsiTheme="minorHAnsi"/>
          <w:sz w:val="22"/>
        </w:rPr>
        <w:t>Hallazgo 226. Administrativo (I.P.) - Ingeniería Financiera del Otrosí del 15 de Junio de 2005.Se evidencia un mayor beneficio para el Concesionario en cuantía de $91.681,30   Millones de diciembre de 2011, ocasionado por las diferencias o inconsistencias presentadas en el modelo financiero frente al valor pactado contractualmente, generando un desequilibrio de la ecuación contractual en contra de los intereses del Estado, debido a que la ecuación económica presentada por el concesionario refleja mayor construcción de obras e incrementos en los costos de mitigación ambiental, Construcción Infraestructura de Operación, Interventoría del Instituto durante la etapa de Construcción, Aseguramiento de Calidad durante las etapas de diseño y Programación de la Construcción, sin que se evidencie soporte legal que las respalde.</w:t>
      </w:r>
    </w:p>
    <w:p w14:paraId="01286044" w14:textId="77777777" w:rsidR="000C4072" w:rsidRDefault="000C4072" w:rsidP="004B3FCA">
      <w:pPr>
        <w:rPr>
          <w:rFonts w:asciiTheme="minorHAnsi" w:hAnsiTheme="minorHAnsi"/>
          <w:sz w:val="22"/>
        </w:rPr>
      </w:pPr>
    </w:p>
    <w:p w14:paraId="70C33833" w14:textId="629F917A" w:rsidR="00C43116" w:rsidRDefault="000C4072" w:rsidP="001437DD">
      <w:pPr>
        <w:pBdr>
          <w:top w:val="single" w:sz="4" w:space="1" w:color="auto"/>
          <w:left w:val="single" w:sz="4" w:space="4" w:color="auto"/>
          <w:bottom w:val="single" w:sz="4" w:space="1" w:color="auto"/>
          <w:right w:val="single" w:sz="4" w:space="4" w:color="auto"/>
        </w:pBdr>
        <w:rPr>
          <w:rFonts w:asciiTheme="minorHAnsi" w:hAnsiTheme="minorHAnsi"/>
          <w:sz w:val="22"/>
        </w:rPr>
      </w:pPr>
      <w:r>
        <w:rPr>
          <w:rFonts w:asciiTheme="minorHAnsi" w:hAnsiTheme="minorHAnsi"/>
          <w:sz w:val="22"/>
        </w:rPr>
        <w:t xml:space="preserve">Causa del hallazgo: </w:t>
      </w:r>
      <w:r w:rsidR="001437DD" w:rsidRPr="001437DD">
        <w:rPr>
          <w:rFonts w:asciiTheme="minorHAnsi" w:hAnsiTheme="minorHAnsi"/>
          <w:sz w:val="22"/>
        </w:rPr>
        <w:t>Falta de verificación de la ecuación contractual con las obras de construcción y otros conceptos pactadas en el otrosí del 15 de junio de 2005.</w:t>
      </w:r>
    </w:p>
    <w:p w14:paraId="326F9550" w14:textId="77777777" w:rsidR="000F334D" w:rsidRDefault="000F334D" w:rsidP="002777F3">
      <w:pPr>
        <w:jc w:val="both"/>
        <w:rPr>
          <w:rFonts w:asciiTheme="minorHAnsi" w:hAnsiTheme="minorHAnsi"/>
          <w:sz w:val="22"/>
        </w:rPr>
      </w:pPr>
    </w:p>
    <w:p w14:paraId="431AF448" w14:textId="1AD2A0D6" w:rsidR="000F334D" w:rsidRDefault="000F334D" w:rsidP="000F334D">
      <w:pPr>
        <w:pStyle w:val="Prrafodelista"/>
        <w:numPr>
          <w:ilvl w:val="0"/>
          <w:numId w:val="4"/>
        </w:numPr>
        <w:jc w:val="both"/>
        <w:rPr>
          <w:rFonts w:asciiTheme="minorHAnsi" w:hAnsiTheme="minorHAnsi"/>
          <w:b/>
          <w:sz w:val="22"/>
        </w:rPr>
      </w:pPr>
      <w:r w:rsidRPr="000F334D">
        <w:rPr>
          <w:rFonts w:asciiTheme="minorHAnsi" w:hAnsiTheme="minorHAnsi"/>
          <w:b/>
          <w:sz w:val="22"/>
        </w:rPr>
        <w:t>ANÁLISIS DE EFECTIVIDAD DE UNIDADES DE MEDIDA PROPUESTAS</w:t>
      </w:r>
    </w:p>
    <w:p w14:paraId="2BC5E4F4" w14:textId="77777777" w:rsidR="000F334D" w:rsidRDefault="000F334D" w:rsidP="000F334D">
      <w:pPr>
        <w:jc w:val="both"/>
        <w:rPr>
          <w:rFonts w:asciiTheme="minorHAnsi" w:hAnsiTheme="minorHAnsi"/>
          <w:b/>
          <w:sz w:val="22"/>
        </w:rPr>
      </w:pPr>
    </w:p>
    <w:p w14:paraId="695D8E9A" w14:textId="2FA1BFA0" w:rsidR="000F334D" w:rsidRDefault="000F334D" w:rsidP="000F334D">
      <w:pPr>
        <w:pStyle w:val="Prrafodelista"/>
        <w:numPr>
          <w:ilvl w:val="0"/>
          <w:numId w:val="5"/>
        </w:numPr>
        <w:jc w:val="both"/>
        <w:rPr>
          <w:rFonts w:asciiTheme="minorHAnsi" w:hAnsiTheme="minorHAnsi"/>
          <w:b/>
          <w:sz w:val="22"/>
        </w:rPr>
      </w:pPr>
      <w:r w:rsidRPr="000F334D">
        <w:rPr>
          <w:rFonts w:asciiTheme="minorHAnsi" w:hAnsiTheme="minorHAnsi"/>
          <w:b/>
          <w:sz w:val="22"/>
        </w:rPr>
        <w:t>Unidades de Medida correctivas:</w:t>
      </w:r>
    </w:p>
    <w:p w14:paraId="514CEFC0" w14:textId="77777777" w:rsidR="003A53CB" w:rsidRDefault="003A53CB" w:rsidP="003A53CB">
      <w:pPr>
        <w:jc w:val="both"/>
        <w:rPr>
          <w:rFonts w:asciiTheme="minorHAnsi" w:hAnsiTheme="minorHAnsi"/>
          <w:b/>
          <w:sz w:val="22"/>
        </w:rPr>
      </w:pPr>
    </w:p>
    <w:p w14:paraId="24CB1263" w14:textId="77777777" w:rsidR="003A53CB" w:rsidRPr="006E6B2B" w:rsidRDefault="003A53CB" w:rsidP="003A53C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t>Informe de interventoría.</w:t>
      </w:r>
    </w:p>
    <w:p w14:paraId="1D8D3430" w14:textId="77777777" w:rsidR="003A53CB" w:rsidRPr="00DF33B3" w:rsidRDefault="003A53CB" w:rsidP="003A53CB">
      <w:pPr>
        <w:pStyle w:val="Prrafodelista"/>
        <w:jc w:val="both"/>
        <w:rPr>
          <w:rFonts w:asciiTheme="minorHAnsi" w:hAnsiTheme="minorHAnsi"/>
          <w:sz w:val="22"/>
          <w:szCs w:val="22"/>
        </w:rPr>
      </w:pPr>
    </w:p>
    <w:p w14:paraId="4D17CF35" w14:textId="77777777" w:rsidR="003A53CB" w:rsidRDefault="003A53CB" w:rsidP="003A53CB">
      <w:pPr>
        <w:pStyle w:val="Prrafodelista"/>
        <w:numPr>
          <w:ilvl w:val="1"/>
          <w:numId w:val="7"/>
        </w:numPr>
        <w:jc w:val="both"/>
        <w:rPr>
          <w:rFonts w:asciiTheme="minorHAnsi" w:hAnsiTheme="minorHAnsi"/>
          <w:sz w:val="22"/>
          <w:szCs w:val="22"/>
        </w:rPr>
      </w:pPr>
      <w:r>
        <w:rPr>
          <w:rFonts w:asciiTheme="minorHAnsi" w:hAnsiTheme="minorHAnsi"/>
          <w:sz w:val="22"/>
          <w:szCs w:val="22"/>
        </w:rPr>
        <w:t xml:space="preserve"> </w:t>
      </w:r>
      <w:r w:rsidRPr="00DF33B3">
        <w:rPr>
          <w:rFonts w:asciiTheme="minorHAnsi" w:hAnsiTheme="minorHAnsi"/>
          <w:sz w:val="22"/>
          <w:szCs w:val="22"/>
        </w:rPr>
        <w:t xml:space="preserve">Radicado del 4 de abril de 2014 </w:t>
      </w:r>
      <w:r>
        <w:rPr>
          <w:rFonts w:asciiTheme="minorHAnsi" w:hAnsiTheme="minorHAnsi"/>
          <w:sz w:val="22"/>
          <w:szCs w:val="22"/>
        </w:rPr>
        <w:t xml:space="preserve">en el que se concluye que el valor de 154.524 MMCOP de septiembre de 1996 correspondiente a las obras incluidas en el otrosí del 15 de junio de 2015, son consistentes y están debidamente soportadas, valor que debió ser ajustado en el modelo financiero respecto del considerado de 172.597 MMCOP cifra </w:t>
      </w:r>
      <w:r>
        <w:rPr>
          <w:rFonts w:asciiTheme="minorHAnsi" w:hAnsiTheme="minorHAnsi"/>
          <w:sz w:val="22"/>
          <w:szCs w:val="22"/>
        </w:rPr>
        <w:lastRenderedPageBreak/>
        <w:t>que origina diferencias en tiempo para alcanzar los indicadores de rentabilidad del proyecto.</w:t>
      </w:r>
    </w:p>
    <w:p w14:paraId="2574FFD1" w14:textId="77777777" w:rsidR="003A53CB" w:rsidRDefault="003A53CB" w:rsidP="003A53CB">
      <w:pPr>
        <w:pStyle w:val="Prrafodelista"/>
        <w:ind w:left="1080"/>
        <w:jc w:val="both"/>
        <w:rPr>
          <w:rFonts w:asciiTheme="minorHAnsi" w:hAnsiTheme="minorHAnsi"/>
          <w:sz w:val="22"/>
          <w:szCs w:val="22"/>
        </w:rPr>
      </w:pPr>
    </w:p>
    <w:p w14:paraId="1486CD6B" w14:textId="77777777" w:rsidR="003A53CB" w:rsidRDefault="003A53CB" w:rsidP="003A53CB">
      <w:pPr>
        <w:pStyle w:val="Prrafodelista"/>
        <w:ind w:left="1080"/>
        <w:jc w:val="both"/>
        <w:rPr>
          <w:rFonts w:asciiTheme="minorHAnsi" w:hAnsiTheme="minorHAnsi"/>
          <w:sz w:val="22"/>
          <w:szCs w:val="22"/>
        </w:rPr>
      </w:pPr>
      <w:r w:rsidRPr="00AD6BDF">
        <w:rPr>
          <w:rFonts w:asciiTheme="minorHAnsi" w:hAnsiTheme="minorHAnsi"/>
          <w:sz w:val="22"/>
          <w:szCs w:val="22"/>
        </w:rPr>
        <w:t xml:space="preserve">Así mismo </w:t>
      </w:r>
      <w:r>
        <w:rPr>
          <w:rFonts w:asciiTheme="minorHAnsi" w:hAnsiTheme="minorHAnsi"/>
          <w:sz w:val="22"/>
          <w:szCs w:val="22"/>
        </w:rPr>
        <w:t xml:space="preserve">indica el informe </w:t>
      </w:r>
      <w:r w:rsidRPr="00AD6BDF">
        <w:rPr>
          <w:rFonts w:asciiTheme="minorHAnsi" w:hAnsiTheme="minorHAnsi"/>
          <w:sz w:val="22"/>
          <w:szCs w:val="22"/>
        </w:rPr>
        <w:t xml:space="preserve">que es necesario revisar la fecha de entrega de cada obra </w:t>
      </w:r>
      <w:r>
        <w:rPr>
          <w:rFonts w:asciiTheme="minorHAnsi" w:hAnsiTheme="minorHAnsi"/>
          <w:sz w:val="22"/>
          <w:szCs w:val="22"/>
        </w:rPr>
        <w:t>para</w:t>
      </w:r>
      <w:r w:rsidRPr="00AD6BDF">
        <w:rPr>
          <w:rFonts w:asciiTheme="minorHAnsi" w:hAnsiTheme="minorHAnsi"/>
          <w:sz w:val="22"/>
          <w:szCs w:val="22"/>
        </w:rPr>
        <w:t xml:space="preserve"> definir su año de inclusión en el modelo financiero y poder establecer el tiempo en el que se alcanzarían los indicadores de rentabilidad previstos en el mismo.</w:t>
      </w:r>
    </w:p>
    <w:p w14:paraId="12834935" w14:textId="77777777" w:rsidR="003A53CB" w:rsidRDefault="003A53CB" w:rsidP="003A53CB">
      <w:pPr>
        <w:pStyle w:val="Prrafodelista"/>
        <w:ind w:left="1080"/>
        <w:jc w:val="both"/>
        <w:rPr>
          <w:rFonts w:asciiTheme="minorHAnsi" w:hAnsiTheme="minorHAnsi"/>
          <w:sz w:val="22"/>
          <w:szCs w:val="22"/>
        </w:rPr>
      </w:pPr>
    </w:p>
    <w:p w14:paraId="519C26BB" w14:textId="77777777" w:rsidR="003A53CB" w:rsidRDefault="003A53CB" w:rsidP="003A53CB">
      <w:pPr>
        <w:pStyle w:val="Prrafodelista"/>
        <w:numPr>
          <w:ilvl w:val="1"/>
          <w:numId w:val="7"/>
        </w:numPr>
        <w:jc w:val="both"/>
        <w:rPr>
          <w:rFonts w:asciiTheme="minorHAnsi" w:hAnsiTheme="minorHAnsi"/>
          <w:sz w:val="22"/>
          <w:szCs w:val="22"/>
        </w:rPr>
      </w:pPr>
      <w:r>
        <w:rPr>
          <w:rFonts w:asciiTheme="minorHAnsi" w:hAnsiTheme="minorHAnsi"/>
          <w:sz w:val="22"/>
          <w:szCs w:val="22"/>
        </w:rPr>
        <w:t>Radicado del 3 de septiembre de 2014 en cuyas conclusiones se considera necesario el pronunciamiento y justificación del Concesionario aportando los soportes del caso, antes de realizar ajustes para incluir las diferencias de los ítems de reposición a la infraestructura de operación, interventoría del Instituto durante la etapa de construcción,  y aseguramiento de la Calidad durante las etapas de diseño y programación de la construcción.</w:t>
      </w:r>
    </w:p>
    <w:p w14:paraId="6E86C1C7" w14:textId="77777777" w:rsidR="003A53CB" w:rsidRDefault="003A53CB" w:rsidP="003A53CB">
      <w:pPr>
        <w:pStyle w:val="Prrafodelista"/>
        <w:ind w:left="1080"/>
        <w:jc w:val="both"/>
        <w:rPr>
          <w:rFonts w:asciiTheme="minorHAnsi" w:hAnsiTheme="minorHAnsi"/>
          <w:sz w:val="22"/>
          <w:szCs w:val="22"/>
        </w:rPr>
      </w:pPr>
    </w:p>
    <w:p w14:paraId="42C4D412" w14:textId="77777777" w:rsidR="003A53CB" w:rsidRDefault="003A53CB" w:rsidP="003A53CB">
      <w:pPr>
        <w:pStyle w:val="Prrafodelista"/>
        <w:ind w:left="1080"/>
        <w:jc w:val="both"/>
        <w:rPr>
          <w:rFonts w:asciiTheme="minorHAnsi" w:hAnsiTheme="minorHAnsi"/>
          <w:sz w:val="22"/>
          <w:szCs w:val="22"/>
        </w:rPr>
      </w:pPr>
      <w:r>
        <w:rPr>
          <w:rFonts w:asciiTheme="minorHAnsi" w:hAnsiTheme="minorHAnsi"/>
          <w:sz w:val="22"/>
          <w:szCs w:val="22"/>
        </w:rPr>
        <w:t>Con relación a la diferencia de los costos de construcción pactados y descritos en el modelo y el ajuste al modelo AKF de octubre de 2004, concluye que la TIR pactada se logra en el año 2013.</w:t>
      </w:r>
    </w:p>
    <w:p w14:paraId="14089C38" w14:textId="77777777" w:rsidR="003A53CB" w:rsidRDefault="003A53CB" w:rsidP="003A53CB">
      <w:pPr>
        <w:jc w:val="both"/>
        <w:rPr>
          <w:rFonts w:asciiTheme="minorHAnsi" w:hAnsiTheme="minorHAnsi"/>
          <w:sz w:val="22"/>
          <w:szCs w:val="22"/>
        </w:rPr>
      </w:pPr>
    </w:p>
    <w:p w14:paraId="295DD67A" w14:textId="77777777" w:rsidR="003A53CB" w:rsidRPr="006E6B2B" w:rsidRDefault="003A53CB" w:rsidP="003A53C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t>Informe técnico</w:t>
      </w:r>
    </w:p>
    <w:p w14:paraId="0FF9E0C3" w14:textId="77777777" w:rsidR="003A53CB" w:rsidRDefault="003A53CB" w:rsidP="003A53CB">
      <w:pPr>
        <w:pStyle w:val="Prrafodelista"/>
        <w:jc w:val="both"/>
        <w:rPr>
          <w:rFonts w:asciiTheme="minorHAnsi" w:hAnsiTheme="minorHAnsi"/>
          <w:sz w:val="22"/>
          <w:szCs w:val="22"/>
        </w:rPr>
      </w:pPr>
    </w:p>
    <w:p w14:paraId="00305589" w14:textId="77777777" w:rsidR="003A53CB" w:rsidRDefault="003A53CB" w:rsidP="003A53CB">
      <w:pPr>
        <w:pStyle w:val="Prrafodelista"/>
        <w:jc w:val="both"/>
        <w:rPr>
          <w:rFonts w:asciiTheme="minorHAnsi" w:hAnsiTheme="minorHAnsi"/>
          <w:sz w:val="22"/>
          <w:szCs w:val="22"/>
        </w:rPr>
      </w:pPr>
      <w:r w:rsidRPr="002B4D81">
        <w:rPr>
          <w:rFonts w:asciiTheme="minorHAnsi" w:hAnsiTheme="minorHAnsi"/>
          <w:sz w:val="22"/>
          <w:szCs w:val="22"/>
        </w:rPr>
        <w:t xml:space="preserve">Informe técnico de la Gerencia de Proyectos VGC en el que se concluye que el valor total de las obras básicas del contrato (154.524 MMCOP de septiembre de 1996) son acordes con los resultados del acuerdo conciliatorio del Tribunal de Arbitramento del año 2004. </w:t>
      </w:r>
    </w:p>
    <w:p w14:paraId="594E2130" w14:textId="77777777" w:rsidR="003A53CB" w:rsidRDefault="003A53CB" w:rsidP="003A53CB">
      <w:pPr>
        <w:pStyle w:val="Prrafodelista"/>
        <w:jc w:val="both"/>
        <w:rPr>
          <w:rFonts w:asciiTheme="minorHAnsi" w:hAnsiTheme="minorHAnsi"/>
          <w:sz w:val="22"/>
          <w:szCs w:val="22"/>
        </w:rPr>
      </w:pPr>
    </w:p>
    <w:p w14:paraId="255C2607" w14:textId="77777777" w:rsidR="003A53CB" w:rsidRPr="00512083" w:rsidRDefault="003A53CB" w:rsidP="003A53CB">
      <w:pPr>
        <w:pStyle w:val="Prrafodelista"/>
        <w:numPr>
          <w:ilvl w:val="0"/>
          <w:numId w:val="7"/>
        </w:numPr>
        <w:jc w:val="both"/>
        <w:rPr>
          <w:rFonts w:asciiTheme="minorHAnsi" w:hAnsiTheme="minorHAnsi"/>
          <w:szCs w:val="22"/>
        </w:rPr>
      </w:pPr>
      <w:r w:rsidRPr="00512083">
        <w:rPr>
          <w:rFonts w:asciiTheme="minorHAnsi" w:hAnsiTheme="minorHAnsi"/>
          <w:sz w:val="22"/>
          <w:szCs w:val="22"/>
        </w:rPr>
        <w:t>Evaluación financiera sobre el impacto en el plazo de la TIR contractual del proyecto.</w:t>
      </w:r>
    </w:p>
    <w:p w14:paraId="5B2B9882" w14:textId="77777777" w:rsidR="003A53CB" w:rsidRDefault="003A53CB" w:rsidP="003A53CB">
      <w:pPr>
        <w:pStyle w:val="Prrafodelista"/>
        <w:jc w:val="both"/>
        <w:rPr>
          <w:rFonts w:asciiTheme="minorHAnsi" w:hAnsiTheme="minorHAnsi"/>
          <w:sz w:val="20"/>
          <w:szCs w:val="22"/>
        </w:rPr>
      </w:pPr>
    </w:p>
    <w:p w14:paraId="32869562" w14:textId="77777777" w:rsidR="003A53CB" w:rsidRPr="004F0C15" w:rsidRDefault="003A53CB" w:rsidP="003A53CB">
      <w:pPr>
        <w:ind w:left="709"/>
        <w:jc w:val="both"/>
        <w:rPr>
          <w:rFonts w:asciiTheme="minorHAnsi" w:hAnsiTheme="minorHAnsi"/>
          <w:sz w:val="22"/>
          <w:szCs w:val="22"/>
        </w:rPr>
      </w:pPr>
      <w:r>
        <w:rPr>
          <w:rFonts w:asciiTheme="minorHAnsi" w:hAnsiTheme="minorHAnsi"/>
          <w:sz w:val="22"/>
          <w:szCs w:val="22"/>
        </w:rPr>
        <w:t>La unidad de medida se cumple con el informe</w:t>
      </w:r>
      <w:r w:rsidRPr="00350ADD">
        <w:rPr>
          <w:rFonts w:asciiTheme="minorHAnsi" w:hAnsiTheme="minorHAnsi"/>
          <w:sz w:val="22"/>
          <w:szCs w:val="22"/>
        </w:rPr>
        <w:t xml:space="preserve"> financiero del 1 de julio de 2015 que evalúa el flujo de inversiones ajustado </w:t>
      </w:r>
      <w:r>
        <w:rPr>
          <w:rFonts w:asciiTheme="minorHAnsi" w:hAnsiTheme="minorHAnsi"/>
          <w:sz w:val="22"/>
          <w:szCs w:val="22"/>
        </w:rPr>
        <w:t>por parte de la b</w:t>
      </w:r>
      <w:r w:rsidRPr="00350ADD">
        <w:rPr>
          <w:rFonts w:asciiTheme="minorHAnsi" w:hAnsiTheme="minorHAnsi"/>
          <w:sz w:val="22"/>
          <w:szCs w:val="22"/>
        </w:rPr>
        <w:t xml:space="preserve">anca de </w:t>
      </w:r>
      <w:r>
        <w:rPr>
          <w:rFonts w:asciiTheme="minorHAnsi" w:hAnsiTheme="minorHAnsi"/>
          <w:sz w:val="22"/>
          <w:szCs w:val="22"/>
        </w:rPr>
        <w:t>i</w:t>
      </w:r>
      <w:r w:rsidRPr="00350ADD">
        <w:rPr>
          <w:rFonts w:asciiTheme="minorHAnsi" w:hAnsiTheme="minorHAnsi"/>
          <w:sz w:val="22"/>
          <w:szCs w:val="22"/>
        </w:rPr>
        <w:t>nversión contratada para este fin, en el que se concluye que hay desequilibrio económico de la ecuación contractual</w:t>
      </w:r>
      <w:r>
        <w:rPr>
          <w:rFonts w:asciiTheme="minorHAnsi" w:hAnsiTheme="minorHAnsi"/>
          <w:sz w:val="22"/>
          <w:szCs w:val="22"/>
        </w:rPr>
        <w:t>,</w:t>
      </w:r>
      <w:r w:rsidRPr="00350ADD">
        <w:rPr>
          <w:rFonts w:asciiTheme="minorHAnsi" w:hAnsiTheme="minorHAnsi"/>
          <w:sz w:val="22"/>
          <w:szCs w:val="22"/>
        </w:rPr>
        <w:t xml:space="preserve"> toda vez que la TIR pactada se alcanza en un periodo mucho menor al estimado o</w:t>
      </w:r>
      <w:r>
        <w:rPr>
          <w:rFonts w:asciiTheme="minorHAnsi" w:hAnsiTheme="minorHAnsi"/>
          <w:sz w:val="22"/>
          <w:szCs w:val="22"/>
        </w:rPr>
        <w:t>ficialmente,</w:t>
      </w:r>
      <w:r w:rsidRPr="00350ADD">
        <w:rPr>
          <w:rFonts w:asciiTheme="minorHAnsi" w:hAnsiTheme="minorHAnsi"/>
          <w:sz w:val="22"/>
          <w:szCs w:val="22"/>
        </w:rPr>
        <w:t xml:space="preserve"> como resultado de una mala fo</w:t>
      </w:r>
      <w:r>
        <w:rPr>
          <w:rFonts w:asciiTheme="minorHAnsi" w:hAnsiTheme="minorHAnsi"/>
          <w:sz w:val="22"/>
          <w:szCs w:val="22"/>
        </w:rPr>
        <w:t>rmulación del modelo financiero que implícitamente</w:t>
      </w:r>
      <w:r w:rsidRPr="002529F6">
        <w:rPr>
          <w:rFonts w:asciiTheme="minorHAnsi" w:hAnsiTheme="minorHAnsi"/>
          <w:sz w:val="22"/>
          <w:szCs w:val="22"/>
        </w:rPr>
        <w:t xml:space="preserve"> involucra el efecto financiero de los despl</w:t>
      </w:r>
      <w:r>
        <w:rPr>
          <w:rFonts w:asciiTheme="minorHAnsi" w:hAnsiTheme="minorHAnsi"/>
          <w:sz w:val="22"/>
          <w:szCs w:val="22"/>
        </w:rPr>
        <w:t>azamientos de inversión.</w:t>
      </w:r>
    </w:p>
    <w:p w14:paraId="701DA87D" w14:textId="77777777" w:rsidR="003A53CB" w:rsidRPr="0037310E" w:rsidRDefault="003A53CB" w:rsidP="003A53CB">
      <w:pPr>
        <w:pStyle w:val="Prrafodelista"/>
        <w:jc w:val="both"/>
        <w:rPr>
          <w:rFonts w:asciiTheme="minorHAnsi" w:hAnsiTheme="minorHAnsi"/>
          <w:sz w:val="22"/>
          <w:szCs w:val="22"/>
          <w:lang w:val="es-ES"/>
        </w:rPr>
      </w:pPr>
    </w:p>
    <w:p w14:paraId="3CD5C616" w14:textId="77777777" w:rsidR="003A53CB" w:rsidRPr="006E6B2B" w:rsidRDefault="003A53CB" w:rsidP="003A53CB">
      <w:pPr>
        <w:pStyle w:val="Prrafodelista"/>
        <w:numPr>
          <w:ilvl w:val="0"/>
          <w:numId w:val="7"/>
        </w:numPr>
        <w:jc w:val="both"/>
        <w:rPr>
          <w:rFonts w:asciiTheme="minorHAnsi" w:hAnsiTheme="minorHAnsi"/>
          <w:b/>
          <w:szCs w:val="22"/>
        </w:rPr>
      </w:pPr>
      <w:r w:rsidRPr="006E6B2B">
        <w:rPr>
          <w:rFonts w:asciiTheme="minorHAnsi" w:hAnsiTheme="minorHAnsi"/>
          <w:b/>
          <w:sz w:val="22"/>
          <w:szCs w:val="22"/>
        </w:rPr>
        <w:t>Concepto jurídico.</w:t>
      </w:r>
    </w:p>
    <w:p w14:paraId="701D0B70" w14:textId="77777777" w:rsidR="003A53CB" w:rsidRDefault="003A53CB" w:rsidP="003A53CB">
      <w:pPr>
        <w:pStyle w:val="Prrafodelista"/>
        <w:jc w:val="both"/>
        <w:rPr>
          <w:rFonts w:asciiTheme="minorHAnsi" w:hAnsiTheme="minorHAnsi"/>
          <w:sz w:val="22"/>
          <w:szCs w:val="22"/>
        </w:rPr>
      </w:pPr>
    </w:p>
    <w:p w14:paraId="254CB28A" w14:textId="77777777" w:rsidR="003A53CB" w:rsidRDefault="003A53CB" w:rsidP="003A53CB">
      <w:pPr>
        <w:pStyle w:val="Prrafodelista"/>
        <w:jc w:val="both"/>
        <w:rPr>
          <w:rFonts w:asciiTheme="minorHAnsi" w:hAnsiTheme="minorHAnsi"/>
          <w:sz w:val="22"/>
          <w:szCs w:val="22"/>
        </w:rPr>
      </w:pPr>
      <w:r>
        <w:rPr>
          <w:rFonts w:asciiTheme="minorHAnsi" w:hAnsiTheme="minorHAnsi"/>
          <w:sz w:val="22"/>
          <w:szCs w:val="22"/>
        </w:rPr>
        <w:t>Documento del 1 de septiembre de 2015 de la Gerencia de Asesoría Legal en el que se conceptúa:</w:t>
      </w:r>
    </w:p>
    <w:p w14:paraId="0A6A0C83" w14:textId="77777777" w:rsidR="003A53CB" w:rsidRDefault="003A53CB" w:rsidP="003A53CB">
      <w:pPr>
        <w:pStyle w:val="Prrafodelista"/>
        <w:jc w:val="both"/>
        <w:rPr>
          <w:rFonts w:asciiTheme="minorHAnsi" w:hAnsiTheme="minorHAnsi"/>
          <w:sz w:val="22"/>
          <w:szCs w:val="22"/>
        </w:rPr>
      </w:pPr>
    </w:p>
    <w:p w14:paraId="216EAFCB" w14:textId="77777777" w:rsidR="003A53CB" w:rsidRDefault="003A53CB" w:rsidP="003A53CB">
      <w:pPr>
        <w:pStyle w:val="Prrafodelista"/>
        <w:numPr>
          <w:ilvl w:val="0"/>
          <w:numId w:val="8"/>
        </w:numPr>
        <w:jc w:val="both"/>
        <w:rPr>
          <w:rFonts w:asciiTheme="minorHAnsi" w:hAnsiTheme="minorHAnsi"/>
          <w:sz w:val="22"/>
          <w:szCs w:val="22"/>
        </w:rPr>
      </w:pPr>
      <w:r>
        <w:rPr>
          <w:rFonts w:asciiTheme="minorHAnsi" w:hAnsiTheme="minorHAnsi"/>
          <w:sz w:val="22"/>
          <w:szCs w:val="22"/>
        </w:rPr>
        <w:t>Que los valores del otrosí de 2005 priman para efectos de evaluar el modelo financiero.</w:t>
      </w:r>
    </w:p>
    <w:p w14:paraId="2E5ACD0C" w14:textId="77777777" w:rsidR="003A53CB" w:rsidRDefault="003A53CB" w:rsidP="003A53CB">
      <w:pPr>
        <w:jc w:val="both"/>
        <w:rPr>
          <w:rFonts w:asciiTheme="minorHAnsi" w:hAnsiTheme="minorHAnsi"/>
          <w:sz w:val="22"/>
          <w:szCs w:val="22"/>
        </w:rPr>
      </w:pPr>
    </w:p>
    <w:p w14:paraId="6C791814" w14:textId="77777777" w:rsidR="003A53CB" w:rsidRDefault="003A53CB" w:rsidP="003A53CB">
      <w:pPr>
        <w:pStyle w:val="Prrafodelista"/>
        <w:numPr>
          <w:ilvl w:val="0"/>
          <w:numId w:val="8"/>
        </w:numPr>
        <w:jc w:val="both"/>
        <w:rPr>
          <w:rFonts w:asciiTheme="minorHAnsi" w:hAnsiTheme="minorHAnsi"/>
          <w:sz w:val="22"/>
          <w:szCs w:val="22"/>
        </w:rPr>
      </w:pPr>
      <w:r>
        <w:rPr>
          <w:rFonts w:asciiTheme="minorHAnsi" w:hAnsiTheme="minorHAnsi"/>
          <w:sz w:val="22"/>
          <w:szCs w:val="22"/>
          <w:lang w:val="es-ES"/>
        </w:rPr>
        <w:t>Que l</w:t>
      </w:r>
      <w:r>
        <w:rPr>
          <w:rFonts w:asciiTheme="minorHAnsi" w:hAnsiTheme="minorHAnsi"/>
          <w:sz w:val="22"/>
          <w:szCs w:val="22"/>
        </w:rPr>
        <w:t xml:space="preserve">as áreas financiera y técnica deben determinar si se afecta el plazo y la línea de ingreso del contrato, con el fin de que el área jurídica remita el expediente al área de </w:t>
      </w:r>
      <w:r>
        <w:rPr>
          <w:rFonts w:asciiTheme="minorHAnsi" w:hAnsiTheme="minorHAnsi"/>
          <w:sz w:val="22"/>
          <w:szCs w:val="22"/>
        </w:rPr>
        <w:lastRenderedPageBreak/>
        <w:t>defensa judicial explicando la necesidad de ventilar ante el respectivo tribunal de arbitramento los hechos que son objeto de discusión en el hallazgo.</w:t>
      </w:r>
    </w:p>
    <w:p w14:paraId="7C9DA57B" w14:textId="77777777" w:rsidR="003A53CB" w:rsidRPr="00CE39AD" w:rsidRDefault="003A53CB" w:rsidP="003A53CB">
      <w:pPr>
        <w:pStyle w:val="Prrafodelista"/>
        <w:rPr>
          <w:rFonts w:asciiTheme="minorHAnsi" w:hAnsiTheme="minorHAnsi"/>
          <w:sz w:val="22"/>
          <w:szCs w:val="22"/>
        </w:rPr>
      </w:pPr>
    </w:p>
    <w:p w14:paraId="46E26761" w14:textId="77777777" w:rsidR="003A53CB" w:rsidRPr="006E6B2B" w:rsidRDefault="003A53CB" w:rsidP="003A53C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t>Planteamiento de Controversia.</w:t>
      </w:r>
    </w:p>
    <w:p w14:paraId="76A4CC47" w14:textId="77777777" w:rsidR="003A53CB" w:rsidRDefault="003A53CB" w:rsidP="003A53CB">
      <w:pPr>
        <w:jc w:val="both"/>
        <w:rPr>
          <w:rFonts w:asciiTheme="minorHAnsi" w:hAnsiTheme="minorHAnsi"/>
          <w:sz w:val="20"/>
          <w:szCs w:val="22"/>
        </w:rPr>
      </w:pPr>
    </w:p>
    <w:p w14:paraId="2B3DAA0B" w14:textId="77777777" w:rsidR="003A53CB" w:rsidRDefault="003A53CB" w:rsidP="003A53CB">
      <w:pPr>
        <w:pStyle w:val="Prrafodelista"/>
        <w:numPr>
          <w:ilvl w:val="0"/>
          <w:numId w:val="9"/>
        </w:numPr>
        <w:jc w:val="both"/>
        <w:rPr>
          <w:rFonts w:asciiTheme="minorHAnsi" w:hAnsiTheme="minorHAnsi"/>
          <w:sz w:val="22"/>
          <w:szCs w:val="22"/>
        </w:rPr>
      </w:pPr>
      <w:r w:rsidRPr="00551651">
        <w:rPr>
          <w:rFonts w:asciiTheme="minorHAnsi" w:hAnsiTheme="minorHAnsi"/>
          <w:sz w:val="22"/>
          <w:szCs w:val="22"/>
        </w:rPr>
        <w:t xml:space="preserve">Comunicación del </w:t>
      </w:r>
      <w:r>
        <w:rPr>
          <w:rFonts w:asciiTheme="minorHAnsi" w:hAnsiTheme="minorHAnsi"/>
          <w:sz w:val="22"/>
          <w:szCs w:val="22"/>
        </w:rPr>
        <w:t>21 de agosto de 2015 mediante la</w:t>
      </w:r>
      <w:r w:rsidRPr="00551651">
        <w:rPr>
          <w:rFonts w:asciiTheme="minorHAnsi" w:hAnsiTheme="minorHAnsi"/>
          <w:sz w:val="22"/>
          <w:szCs w:val="22"/>
        </w:rPr>
        <w:t xml:space="preserve"> cual la ANI le informa al Concesionario que</w:t>
      </w:r>
      <w:r>
        <w:rPr>
          <w:rFonts w:asciiTheme="minorHAnsi" w:hAnsiTheme="minorHAnsi"/>
          <w:sz w:val="22"/>
          <w:szCs w:val="22"/>
        </w:rPr>
        <w:t>,</w:t>
      </w:r>
      <w:r w:rsidRPr="00551651">
        <w:rPr>
          <w:rFonts w:asciiTheme="minorHAnsi" w:hAnsiTheme="minorHAnsi"/>
          <w:sz w:val="22"/>
          <w:szCs w:val="22"/>
        </w:rPr>
        <w:t xml:space="preserve"> en cumplimiento de la cláusula Vigésima, Anexo 1 Acta de acuerdo 18 de abril de 2000, la Banca de Inversión “Ernst &amp; Young” realizó el ejercicio financiero incorporando los datos reales del IPC a diciembre de 2014 con el fin de efectuar el cálculo de la fecha de la TIR del proyecto dando como resultado el 27 de agosto de 2024.</w:t>
      </w:r>
    </w:p>
    <w:p w14:paraId="77B13159" w14:textId="77777777" w:rsidR="003A53CB" w:rsidRDefault="003A53CB" w:rsidP="003A53CB">
      <w:pPr>
        <w:pStyle w:val="Prrafodelista"/>
        <w:ind w:left="1080"/>
        <w:jc w:val="both"/>
        <w:rPr>
          <w:rFonts w:asciiTheme="minorHAnsi" w:hAnsiTheme="minorHAnsi"/>
          <w:sz w:val="22"/>
          <w:szCs w:val="22"/>
        </w:rPr>
      </w:pPr>
    </w:p>
    <w:p w14:paraId="63BF1CDD" w14:textId="77777777" w:rsidR="003A53CB" w:rsidRDefault="003A53CB" w:rsidP="003A53CB">
      <w:pPr>
        <w:pStyle w:val="Prrafodelista"/>
        <w:ind w:left="1080"/>
        <w:jc w:val="both"/>
        <w:rPr>
          <w:rFonts w:asciiTheme="minorHAnsi" w:hAnsiTheme="minorHAnsi"/>
          <w:sz w:val="22"/>
          <w:szCs w:val="22"/>
        </w:rPr>
      </w:pPr>
      <w:r>
        <w:rPr>
          <w:rFonts w:asciiTheme="minorHAnsi" w:hAnsiTheme="minorHAnsi"/>
          <w:sz w:val="22"/>
          <w:szCs w:val="22"/>
        </w:rPr>
        <w:t>No obstante lo anterior, en el informe de interventoría, al que se refiere el numeral 1.2 del presente escrito, se concluye que la TIR pactada se logra en el año 2013, y en este sentido observa la OCI una diferencia de once años frente al ejercicio financiero hecho por la Banca de Inversión.</w:t>
      </w:r>
    </w:p>
    <w:p w14:paraId="35C33C1A" w14:textId="77777777" w:rsidR="003A53CB" w:rsidRDefault="003A53CB" w:rsidP="003A53CB">
      <w:pPr>
        <w:pStyle w:val="Prrafodelista"/>
        <w:ind w:left="1080"/>
        <w:jc w:val="both"/>
        <w:rPr>
          <w:rFonts w:asciiTheme="minorHAnsi" w:hAnsiTheme="minorHAnsi"/>
          <w:sz w:val="22"/>
          <w:szCs w:val="22"/>
        </w:rPr>
      </w:pPr>
    </w:p>
    <w:p w14:paraId="1DE587EA" w14:textId="77777777" w:rsidR="003A53CB" w:rsidRDefault="003A53CB" w:rsidP="003A53CB">
      <w:pPr>
        <w:pStyle w:val="Prrafodelista"/>
        <w:numPr>
          <w:ilvl w:val="0"/>
          <w:numId w:val="9"/>
        </w:numPr>
        <w:jc w:val="both"/>
        <w:rPr>
          <w:rFonts w:asciiTheme="minorHAnsi" w:hAnsiTheme="minorHAnsi"/>
          <w:sz w:val="22"/>
          <w:szCs w:val="22"/>
        </w:rPr>
      </w:pPr>
      <w:r>
        <w:rPr>
          <w:rFonts w:asciiTheme="minorHAnsi" w:hAnsiTheme="minorHAnsi"/>
          <w:sz w:val="22"/>
          <w:szCs w:val="22"/>
        </w:rPr>
        <w:t>La ANI le solicita al concesionario mediante comunicación del 21 de agosto de 2015 que efectúe los ajustes necesarios para restablecer la ecuación financiera del contrato, y que proceda al restablecimiento de la ecuación financiera del contrato con ocasión de los desplazamientos financieros hallados con base en la información consolidada por parte de la Vicepresidencia de Gestión Contractual para proceder a la respectiva evaluación.</w:t>
      </w:r>
    </w:p>
    <w:p w14:paraId="099BE704" w14:textId="77777777" w:rsidR="003A53CB" w:rsidRDefault="003A53CB" w:rsidP="003A53CB">
      <w:pPr>
        <w:pStyle w:val="Prrafodelista"/>
        <w:rPr>
          <w:rFonts w:asciiTheme="minorHAnsi" w:hAnsiTheme="minorHAnsi"/>
          <w:sz w:val="22"/>
          <w:szCs w:val="22"/>
        </w:rPr>
      </w:pPr>
    </w:p>
    <w:p w14:paraId="3CFA311C" w14:textId="77777777" w:rsidR="003A53CB" w:rsidRPr="00D74A5C" w:rsidRDefault="003A53CB" w:rsidP="003A53CB">
      <w:pPr>
        <w:ind w:left="360"/>
        <w:jc w:val="both"/>
        <w:rPr>
          <w:rFonts w:asciiTheme="minorHAnsi" w:hAnsiTheme="minorHAnsi"/>
          <w:sz w:val="22"/>
          <w:szCs w:val="22"/>
        </w:rPr>
      </w:pPr>
      <w:r w:rsidRPr="00D74A5C">
        <w:rPr>
          <w:rFonts w:asciiTheme="minorHAnsi" w:hAnsiTheme="minorHAnsi"/>
          <w:sz w:val="22"/>
          <w:szCs w:val="22"/>
        </w:rPr>
        <w:t xml:space="preserve">A partir de los dos anteriores antecedentes se ha instaurado la demanda arbitral </w:t>
      </w:r>
      <w:r>
        <w:rPr>
          <w:rFonts w:asciiTheme="minorHAnsi" w:hAnsiTheme="minorHAnsi"/>
          <w:sz w:val="22"/>
          <w:szCs w:val="22"/>
        </w:rPr>
        <w:t xml:space="preserve">el pasado 17 de mayo de 2016, </w:t>
      </w:r>
      <w:r w:rsidRPr="00D74A5C">
        <w:rPr>
          <w:rFonts w:asciiTheme="minorHAnsi" w:hAnsiTheme="minorHAnsi"/>
          <w:sz w:val="22"/>
          <w:szCs w:val="22"/>
        </w:rPr>
        <w:t>que completa la unidad de medida correspondiente</w:t>
      </w:r>
      <w:r>
        <w:rPr>
          <w:rFonts w:asciiTheme="minorHAnsi" w:hAnsiTheme="minorHAnsi"/>
          <w:sz w:val="22"/>
          <w:szCs w:val="22"/>
        </w:rPr>
        <w:t>.</w:t>
      </w:r>
    </w:p>
    <w:p w14:paraId="4C7AF9B9" w14:textId="77777777" w:rsidR="003A53CB" w:rsidRPr="003A53CB" w:rsidRDefault="003A53CB" w:rsidP="003A53CB">
      <w:pPr>
        <w:jc w:val="both"/>
        <w:rPr>
          <w:rFonts w:asciiTheme="minorHAnsi" w:hAnsiTheme="minorHAnsi"/>
          <w:b/>
          <w:sz w:val="22"/>
        </w:rPr>
      </w:pPr>
    </w:p>
    <w:p w14:paraId="52D950C9" w14:textId="77777777" w:rsidR="000F334D" w:rsidRDefault="000F334D" w:rsidP="000F334D">
      <w:pPr>
        <w:jc w:val="both"/>
        <w:rPr>
          <w:rFonts w:asciiTheme="minorHAnsi" w:hAnsiTheme="minorHAnsi"/>
          <w:b/>
          <w:sz w:val="22"/>
        </w:rPr>
      </w:pPr>
    </w:p>
    <w:p w14:paraId="1EB3A89F" w14:textId="7903B91A" w:rsidR="000F334D" w:rsidRPr="000F334D" w:rsidRDefault="000F334D" w:rsidP="000F334D">
      <w:pPr>
        <w:pStyle w:val="Prrafodelista"/>
        <w:numPr>
          <w:ilvl w:val="0"/>
          <w:numId w:val="5"/>
        </w:numPr>
        <w:jc w:val="both"/>
        <w:rPr>
          <w:rFonts w:asciiTheme="minorHAnsi" w:hAnsiTheme="minorHAnsi"/>
          <w:b/>
          <w:sz w:val="22"/>
        </w:rPr>
      </w:pPr>
      <w:r w:rsidRPr="000F334D">
        <w:rPr>
          <w:rFonts w:asciiTheme="minorHAnsi" w:hAnsiTheme="minorHAnsi"/>
          <w:b/>
          <w:sz w:val="22"/>
        </w:rPr>
        <w:t xml:space="preserve">Unidades de Medida </w:t>
      </w:r>
      <w:r>
        <w:rPr>
          <w:rFonts w:asciiTheme="minorHAnsi" w:hAnsiTheme="minorHAnsi"/>
          <w:b/>
          <w:sz w:val="22"/>
        </w:rPr>
        <w:t>preven</w:t>
      </w:r>
      <w:r w:rsidRPr="000F334D">
        <w:rPr>
          <w:rFonts w:asciiTheme="minorHAnsi" w:hAnsiTheme="minorHAnsi"/>
          <w:b/>
          <w:sz w:val="22"/>
        </w:rPr>
        <w:t>tivas:</w:t>
      </w:r>
    </w:p>
    <w:p w14:paraId="39734F8F" w14:textId="77777777" w:rsidR="000F334D" w:rsidRDefault="000F334D" w:rsidP="000F334D">
      <w:pPr>
        <w:jc w:val="both"/>
        <w:rPr>
          <w:rFonts w:asciiTheme="minorHAnsi" w:hAnsiTheme="minorHAnsi"/>
          <w:b/>
          <w:sz w:val="22"/>
        </w:rPr>
      </w:pPr>
    </w:p>
    <w:p w14:paraId="2EE18B89" w14:textId="77777777" w:rsidR="003A53CB" w:rsidRPr="006E6B2B" w:rsidRDefault="003A53CB" w:rsidP="003A53C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t>Manual de Contratación.</w:t>
      </w:r>
    </w:p>
    <w:p w14:paraId="1DB2DCDD" w14:textId="77777777" w:rsidR="003A53CB" w:rsidRPr="00D74A5C" w:rsidRDefault="003A53CB" w:rsidP="003A53CB">
      <w:pPr>
        <w:ind w:left="360"/>
        <w:jc w:val="both"/>
        <w:rPr>
          <w:rFonts w:asciiTheme="minorHAnsi" w:hAnsiTheme="minorHAnsi"/>
          <w:sz w:val="22"/>
          <w:szCs w:val="22"/>
        </w:rPr>
      </w:pPr>
    </w:p>
    <w:p w14:paraId="71CFD8CF" w14:textId="77777777" w:rsidR="003A53CB" w:rsidRPr="0047402D" w:rsidRDefault="003A53CB" w:rsidP="003A53CB">
      <w:pPr>
        <w:ind w:left="360"/>
        <w:jc w:val="both"/>
        <w:rPr>
          <w:rFonts w:asciiTheme="minorHAnsi" w:hAnsiTheme="minorHAnsi"/>
          <w:sz w:val="22"/>
          <w:szCs w:val="22"/>
        </w:rPr>
      </w:pPr>
      <w:r>
        <w:rPr>
          <w:rFonts w:asciiTheme="minorHAnsi" w:hAnsiTheme="minorHAnsi"/>
          <w:sz w:val="22"/>
          <w:szCs w:val="22"/>
        </w:rPr>
        <w:t>La reciente versión de e</w:t>
      </w:r>
      <w:r w:rsidRPr="0047402D">
        <w:rPr>
          <w:rFonts w:asciiTheme="minorHAnsi" w:hAnsiTheme="minorHAnsi"/>
          <w:sz w:val="22"/>
          <w:szCs w:val="22"/>
        </w:rPr>
        <w:t xml:space="preserve">ste documento </w:t>
      </w:r>
      <w:r>
        <w:rPr>
          <w:rFonts w:asciiTheme="minorHAnsi" w:hAnsiTheme="minorHAnsi"/>
          <w:sz w:val="22"/>
          <w:szCs w:val="22"/>
        </w:rPr>
        <w:t xml:space="preserve">mejora los controles asociados a </w:t>
      </w:r>
      <w:r w:rsidRPr="0047402D">
        <w:rPr>
          <w:rFonts w:asciiTheme="minorHAnsi" w:hAnsiTheme="minorHAnsi"/>
          <w:sz w:val="22"/>
          <w:szCs w:val="22"/>
        </w:rPr>
        <w:t>las modificaciones contractuales, estableciendo el procedimiento, roles y responsabilidades para su ejecución.</w:t>
      </w:r>
    </w:p>
    <w:p w14:paraId="4DBD64D3" w14:textId="77777777" w:rsidR="003A53CB" w:rsidRPr="000362E1" w:rsidRDefault="003A53CB" w:rsidP="003A53CB">
      <w:pPr>
        <w:tabs>
          <w:tab w:val="left" w:pos="3795"/>
        </w:tabs>
        <w:rPr>
          <w:rFonts w:asciiTheme="minorHAnsi" w:hAnsiTheme="minorHAnsi"/>
          <w:sz w:val="22"/>
          <w:szCs w:val="22"/>
        </w:rPr>
      </w:pPr>
      <w:r w:rsidRPr="000362E1">
        <w:rPr>
          <w:rFonts w:asciiTheme="minorHAnsi" w:hAnsiTheme="minorHAnsi"/>
          <w:sz w:val="22"/>
          <w:szCs w:val="22"/>
        </w:rPr>
        <w:tab/>
        <w:t xml:space="preserve"> </w:t>
      </w:r>
    </w:p>
    <w:p w14:paraId="75D1D495" w14:textId="77777777" w:rsidR="003A53CB" w:rsidRPr="00512083" w:rsidRDefault="003A53CB" w:rsidP="003A53CB">
      <w:pPr>
        <w:pStyle w:val="Prrafodelista"/>
        <w:numPr>
          <w:ilvl w:val="0"/>
          <w:numId w:val="7"/>
        </w:numPr>
        <w:jc w:val="both"/>
        <w:rPr>
          <w:rFonts w:asciiTheme="minorHAnsi" w:hAnsiTheme="minorHAnsi"/>
          <w:sz w:val="22"/>
          <w:szCs w:val="22"/>
        </w:rPr>
      </w:pPr>
      <w:r w:rsidRPr="00512083">
        <w:rPr>
          <w:rFonts w:asciiTheme="minorHAnsi" w:hAnsiTheme="minorHAnsi"/>
          <w:sz w:val="22"/>
          <w:szCs w:val="22"/>
        </w:rPr>
        <w:t>Resolución que crea y reglamenta el Comité de Contratación</w:t>
      </w:r>
      <w:r>
        <w:rPr>
          <w:rFonts w:asciiTheme="minorHAnsi" w:hAnsiTheme="minorHAnsi"/>
          <w:sz w:val="22"/>
          <w:szCs w:val="22"/>
        </w:rPr>
        <w:t xml:space="preserve"> en calidad de medida preventiva</w:t>
      </w:r>
      <w:r w:rsidRPr="00512083">
        <w:rPr>
          <w:rFonts w:asciiTheme="minorHAnsi" w:hAnsiTheme="minorHAnsi"/>
          <w:sz w:val="22"/>
          <w:szCs w:val="22"/>
        </w:rPr>
        <w:t>.</w:t>
      </w:r>
    </w:p>
    <w:p w14:paraId="0DD5417B" w14:textId="77777777" w:rsidR="003A53CB" w:rsidRPr="00512083" w:rsidRDefault="003A53CB" w:rsidP="003A53CB">
      <w:pPr>
        <w:jc w:val="both"/>
        <w:rPr>
          <w:rFonts w:asciiTheme="minorHAnsi" w:hAnsiTheme="minorHAnsi"/>
          <w:sz w:val="22"/>
          <w:szCs w:val="22"/>
        </w:rPr>
      </w:pPr>
    </w:p>
    <w:p w14:paraId="493DCE25" w14:textId="77777777" w:rsidR="003A53CB" w:rsidRPr="0047402D" w:rsidRDefault="003A53CB" w:rsidP="003A53CB">
      <w:pPr>
        <w:ind w:left="360"/>
        <w:jc w:val="both"/>
        <w:rPr>
          <w:rFonts w:asciiTheme="minorHAnsi" w:hAnsiTheme="minorHAnsi"/>
          <w:sz w:val="22"/>
          <w:szCs w:val="22"/>
        </w:rPr>
      </w:pPr>
      <w:r w:rsidRPr="0047402D">
        <w:rPr>
          <w:rFonts w:asciiTheme="minorHAnsi" w:hAnsiTheme="minorHAnsi"/>
          <w:sz w:val="22"/>
          <w:szCs w:val="22"/>
        </w:rPr>
        <w:t>Como soporte de la unidad de medida se encuentra la Resolución 1113 del 30 de junio de 2015 en la que se adopta el Manual de Contratación de la ANI y se regula el Comité de Contratación</w:t>
      </w:r>
      <w:r>
        <w:rPr>
          <w:rFonts w:asciiTheme="minorHAnsi" w:hAnsiTheme="minorHAnsi"/>
          <w:sz w:val="22"/>
          <w:szCs w:val="22"/>
        </w:rPr>
        <w:t xml:space="preserve"> que, se constituye como un órgano colegiado que no permite que se adopten decisiones de alto impacto sin el concurso de varios servidores públicos de alto nivel y sin que medie una justificación técnica, jurídica y financiera al respecto, lo cual no procedía en el pasado.</w:t>
      </w:r>
    </w:p>
    <w:p w14:paraId="631A3FB3" w14:textId="77777777" w:rsidR="003A53CB" w:rsidRPr="00512083" w:rsidRDefault="003A53CB" w:rsidP="003A53CB">
      <w:pPr>
        <w:jc w:val="both"/>
        <w:rPr>
          <w:rFonts w:asciiTheme="minorHAnsi" w:hAnsiTheme="minorHAnsi"/>
          <w:sz w:val="22"/>
          <w:szCs w:val="22"/>
        </w:rPr>
      </w:pPr>
    </w:p>
    <w:p w14:paraId="010AA334" w14:textId="77777777" w:rsidR="003A53CB" w:rsidRPr="006E6B2B" w:rsidRDefault="003A53CB" w:rsidP="003A53C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lastRenderedPageBreak/>
        <w:t>Resolución 959 de 2015 - Bitácora del proyecto.</w:t>
      </w:r>
    </w:p>
    <w:p w14:paraId="1023A7F5" w14:textId="77777777" w:rsidR="003A53CB" w:rsidRPr="00512083" w:rsidRDefault="003A53CB" w:rsidP="003A53CB">
      <w:pPr>
        <w:pStyle w:val="Prrafodelista"/>
        <w:jc w:val="both"/>
        <w:rPr>
          <w:rFonts w:asciiTheme="minorHAnsi" w:hAnsiTheme="minorHAnsi"/>
          <w:sz w:val="22"/>
          <w:szCs w:val="22"/>
        </w:rPr>
      </w:pPr>
    </w:p>
    <w:p w14:paraId="42EF1FF9" w14:textId="77777777" w:rsidR="003A53CB" w:rsidRDefault="003A53CB" w:rsidP="003A53CB">
      <w:pPr>
        <w:ind w:left="360"/>
        <w:jc w:val="both"/>
        <w:rPr>
          <w:rFonts w:asciiTheme="minorHAnsi" w:hAnsiTheme="minorHAnsi"/>
          <w:sz w:val="22"/>
          <w:szCs w:val="22"/>
        </w:rPr>
      </w:pPr>
      <w:r w:rsidRPr="00026E32">
        <w:rPr>
          <w:rFonts w:asciiTheme="minorHAnsi" w:hAnsiTheme="minorHAnsi"/>
          <w:sz w:val="22"/>
          <w:szCs w:val="22"/>
        </w:rPr>
        <w:t xml:space="preserve">Para el cumplimiento de esta unidad de medida se allega la Resolución 959 de 2015 mediante la cual se adopta la Bitácora del proyecto </w:t>
      </w:r>
      <w:r>
        <w:rPr>
          <w:rFonts w:asciiTheme="minorHAnsi" w:hAnsiTheme="minorHAnsi"/>
          <w:sz w:val="22"/>
          <w:szCs w:val="22"/>
        </w:rPr>
        <w:t xml:space="preserve">como el mecanismo que </w:t>
      </w:r>
      <w:r w:rsidRPr="00026E32">
        <w:rPr>
          <w:rFonts w:asciiTheme="minorHAnsi" w:hAnsiTheme="minorHAnsi"/>
          <w:sz w:val="22"/>
          <w:szCs w:val="22"/>
        </w:rPr>
        <w:t>establece lineamientos específicos sobre los registros documentales que deben producirse y mantenerse para las fases de estructuración, contratación y modificaciones contractuales.</w:t>
      </w:r>
      <w:r>
        <w:rPr>
          <w:rFonts w:asciiTheme="minorHAnsi" w:hAnsiTheme="minorHAnsi"/>
          <w:sz w:val="22"/>
          <w:szCs w:val="22"/>
        </w:rPr>
        <w:t xml:space="preserve"> De esta manera, para el caso que nos ocupa, se busca contar con toda la trazabilidad y soporte de las evaluaciones de impacto (técnico, jurídico y financiero) que sustentan las modificaciones contractuales.</w:t>
      </w:r>
    </w:p>
    <w:p w14:paraId="276E20CA" w14:textId="77777777" w:rsidR="006E6B2B" w:rsidRDefault="006E6B2B" w:rsidP="003A53CB">
      <w:pPr>
        <w:ind w:left="360"/>
        <w:jc w:val="both"/>
        <w:rPr>
          <w:rFonts w:asciiTheme="minorHAnsi" w:hAnsiTheme="minorHAnsi"/>
          <w:sz w:val="22"/>
          <w:szCs w:val="22"/>
        </w:rPr>
      </w:pPr>
    </w:p>
    <w:p w14:paraId="46ECBDB9" w14:textId="02511130" w:rsidR="006E6B2B" w:rsidRPr="006E6B2B" w:rsidRDefault="006E6B2B" w:rsidP="006E6B2B">
      <w:pPr>
        <w:pStyle w:val="Prrafodelista"/>
        <w:numPr>
          <w:ilvl w:val="0"/>
          <w:numId w:val="7"/>
        </w:numPr>
        <w:jc w:val="both"/>
        <w:rPr>
          <w:rFonts w:asciiTheme="minorHAnsi" w:hAnsiTheme="minorHAnsi"/>
          <w:b/>
          <w:sz w:val="22"/>
          <w:szCs w:val="22"/>
        </w:rPr>
      </w:pPr>
      <w:r w:rsidRPr="006E6B2B">
        <w:rPr>
          <w:rFonts w:asciiTheme="minorHAnsi" w:hAnsiTheme="minorHAnsi"/>
          <w:b/>
          <w:sz w:val="22"/>
          <w:szCs w:val="22"/>
        </w:rPr>
        <w:t>Informe de Cierre.</w:t>
      </w:r>
    </w:p>
    <w:p w14:paraId="7B0D0FAA" w14:textId="77777777" w:rsidR="006E6B2B" w:rsidRDefault="006E6B2B" w:rsidP="006E6B2B">
      <w:pPr>
        <w:ind w:left="360"/>
        <w:jc w:val="both"/>
        <w:rPr>
          <w:rFonts w:asciiTheme="minorHAnsi" w:hAnsiTheme="minorHAnsi"/>
          <w:sz w:val="22"/>
          <w:szCs w:val="22"/>
        </w:rPr>
      </w:pPr>
    </w:p>
    <w:p w14:paraId="224E811E" w14:textId="684759BE" w:rsidR="006E6B2B" w:rsidRPr="006E6B2B" w:rsidRDefault="006E6B2B" w:rsidP="006E6B2B">
      <w:pPr>
        <w:ind w:left="360"/>
        <w:jc w:val="both"/>
        <w:rPr>
          <w:rFonts w:asciiTheme="minorHAnsi" w:hAnsiTheme="minorHAnsi"/>
          <w:sz w:val="22"/>
          <w:szCs w:val="22"/>
        </w:rPr>
      </w:pPr>
      <w:r w:rsidRPr="006E6B2B">
        <w:rPr>
          <w:rFonts w:asciiTheme="minorHAnsi" w:hAnsiTheme="minorHAnsi"/>
          <w:sz w:val="22"/>
          <w:szCs w:val="22"/>
        </w:rPr>
        <w:t>El presente informe se incorporó al plan de mejoramiento con el fin</w:t>
      </w:r>
      <w:r w:rsidRPr="006E6B2B">
        <w:rPr>
          <w:rFonts w:asciiTheme="minorHAnsi" w:hAnsiTheme="minorHAnsi"/>
          <w:sz w:val="22"/>
          <w:szCs w:val="22"/>
          <w:lang w:val="es-MX"/>
        </w:rPr>
        <w:t xml:space="preserve"> de facilitar al equipo auditor de la Contraloría General de la República la evaluación de efectividad del PMI y contiene el a</w:t>
      </w:r>
      <w:r w:rsidR="003D42BF" w:rsidRPr="006E6B2B">
        <w:rPr>
          <w:rFonts w:asciiTheme="minorHAnsi" w:hAnsiTheme="minorHAnsi"/>
          <w:sz w:val="22"/>
          <w:szCs w:val="22"/>
          <w:lang w:val="es-MX"/>
        </w:rPr>
        <w:t>porte de cada unidad de medida para conjurar la causa del hallazgo</w:t>
      </w:r>
      <w:r w:rsidRPr="006E6B2B">
        <w:rPr>
          <w:rFonts w:asciiTheme="minorHAnsi" w:hAnsiTheme="minorHAnsi"/>
          <w:sz w:val="22"/>
          <w:szCs w:val="22"/>
          <w:lang w:val="es-MX"/>
        </w:rPr>
        <w:t>, así como el r</w:t>
      </w:r>
      <w:r w:rsidR="003D42BF" w:rsidRPr="006E6B2B">
        <w:rPr>
          <w:rFonts w:asciiTheme="minorHAnsi" w:hAnsiTheme="minorHAnsi"/>
          <w:sz w:val="22"/>
          <w:szCs w:val="22"/>
          <w:lang w:val="es-MX"/>
        </w:rPr>
        <w:t>esultado obtenido para lograr la declaratoria de efectividad del mismo</w:t>
      </w:r>
      <w:r w:rsidRPr="006E6B2B">
        <w:rPr>
          <w:rFonts w:asciiTheme="minorHAnsi" w:hAnsiTheme="minorHAnsi"/>
          <w:sz w:val="22"/>
          <w:szCs w:val="22"/>
          <w:lang w:val="es-MX"/>
        </w:rPr>
        <w:t>.</w:t>
      </w:r>
      <w:r w:rsidRPr="006E6B2B">
        <w:rPr>
          <w:rFonts w:asciiTheme="minorHAnsi" w:hAnsiTheme="minorHAnsi"/>
          <w:sz w:val="22"/>
          <w:szCs w:val="22"/>
        </w:rPr>
        <w:t xml:space="preserve"> </w:t>
      </w:r>
    </w:p>
    <w:p w14:paraId="3683A1EA" w14:textId="77777777" w:rsidR="003A53CB" w:rsidRDefault="003A53CB" w:rsidP="000F334D">
      <w:pPr>
        <w:jc w:val="both"/>
        <w:rPr>
          <w:rFonts w:asciiTheme="minorHAnsi" w:hAnsiTheme="minorHAnsi"/>
          <w:b/>
          <w:sz w:val="22"/>
        </w:rPr>
      </w:pPr>
    </w:p>
    <w:p w14:paraId="72E74F7E" w14:textId="77777777" w:rsidR="003A53CB" w:rsidRDefault="003A53CB" w:rsidP="000F334D">
      <w:pPr>
        <w:jc w:val="both"/>
        <w:rPr>
          <w:rFonts w:asciiTheme="minorHAnsi" w:hAnsiTheme="minorHAnsi"/>
          <w:b/>
          <w:sz w:val="22"/>
        </w:rPr>
      </w:pPr>
    </w:p>
    <w:p w14:paraId="17BFEC1B" w14:textId="2E4A11E3" w:rsidR="000F334D" w:rsidRDefault="000F334D" w:rsidP="000F334D">
      <w:pPr>
        <w:pStyle w:val="Prrafodelista"/>
        <w:numPr>
          <w:ilvl w:val="0"/>
          <w:numId w:val="4"/>
        </w:numPr>
        <w:jc w:val="both"/>
        <w:rPr>
          <w:rFonts w:asciiTheme="minorHAnsi" w:hAnsiTheme="minorHAnsi"/>
          <w:b/>
          <w:sz w:val="22"/>
        </w:rPr>
      </w:pPr>
      <w:r>
        <w:rPr>
          <w:rFonts w:asciiTheme="minorHAnsi" w:hAnsiTheme="minorHAnsi"/>
          <w:b/>
          <w:sz w:val="22"/>
        </w:rPr>
        <w:t>EFECTIVIDAD DE LAS UNIDADES DE MEDIDA PROPUESTAS PARA ATACAR LA CAUSA Y EFECTO DEL HALLAZGO INDICADO:</w:t>
      </w:r>
    </w:p>
    <w:p w14:paraId="4108B644" w14:textId="77777777" w:rsidR="00C106C8" w:rsidRDefault="00C106C8" w:rsidP="00C106C8">
      <w:pPr>
        <w:pStyle w:val="Prrafodelista"/>
        <w:jc w:val="both"/>
        <w:rPr>
          <w:rFonts w:asciiTheme="minorHAnsi" w:hAnsiTheme="minorHAnsi"/>
          <w:b/>
          <w:sz w:val="22"/>
        </w:rPr>
      </w:pPr>
    </w:p>
    <w:p w14:paraId="1B9F7F0B" w14:textId="5C4BC033" w:rsidR="00C106C8" w:rsidRDefault="00C106C8" w:rsidP="00C106C8">
      <w:pPr>
        <w:ind w:left="709"/>
        <w:jc w:val="both"/>
        <w:rPr>
          <w:rFonts w:asciiTheme="minorHAnsi" w:hAnsiTheme="minorHAnsi"/>
          <w:sz w:val="22"/>
          <w:szCs w:val="22"/>
        </w:rPr>
      </w:pPr>
      <w:r>
        <w:rPr>
          <w:rFonts w:asciiTheme="minorHAnsi" w:hAnsiTheme="minorHAnsi"/>
          <w:sz w:val="22"/>
          <w:szCs w:val="22"/>
        </w:rPr>
        <w:t xml:space="preserve">El </w:t>
      </w:r>
      <w:r>
        <w:rPr>
          <w:rFonts w:asciiTheme="minorHAnsi" w:hAnsiTheme="minorHAnsi"/>
          <w:sz w:val="22"/>
          <w:szCs w:val="22"/>
        </w:rPr>
        <w:t>enfoque dado al plan se orientó</w:t>
      </w:r>
      <w:r w:rsidRPr="003A6E6B">
        <w:rPr>
          <w:rFonts w:asciiTheme="minorHAnsi" w:hAnsiTheme="minorHAnsi"/>
          <w:sz w:val="22"/>
          <w:szCs w:val="22"/>
        </w:rPr>
        <w:t xml:space="preserve"> a</w:t>
      </w:r>
      <w:r>
        <w:rPr>
          <w:rFonts w:asciiTheme="minorHAnsi" w:hAnsiTheme="minorHAnsi"/>
          <w:sz w:val="22"/>
          <w:szCs w:val="22"/>
        </w:rPr>
        <w:t xml:space="preserve"> </w:t>
      </w:r>
      <w:r w:rsidRPr="00093271">
        <w:rPr>
          <w:rFonts w:asciiTheme="minorHAnsi" w:hAnsiTheme="minorHAnsi"/>
          <w:sz w:val="22"/>
          <w:szCs w:val="22"/>
        </w:rPr>
        <w:t>la reconstrucción del modelo financiero que detalle y sustente la diferencia de los $91,681 millones en beneficio del concesionario</w:t>
      </w:r>
      <w:r>
        <w:rPr>
          <w:rFonts w:asciiTheme="minorHAnsi" w:hAnsiTheme="minorHAnsi"/>
          <w:sz w:val="22"/>
          <w:szCs w:val="22"/>
        </w:rPr>
        <w:t xml:space="preserve"> con el fin de r</w:t>
      </w:r>
      <w:r w:rsidRPr="00F16B7B">
        <w:rPr>
          <w:rFonts w:asciiTheme="minorHAnsi" w:hAnsiTheme="minorHAnsi"/>
          <w:sz w:val="22"/>
          <w:szCs w:val="22"/>
        </w:rPr>
        <w:t xml:space="preserve">ealizar las gestiones tendientes al restablecimiento del equilibrio de la ecuación financiera del contrato en caso </w:t>
      </w:r>
      <w:r>
        <w:rPr>
          <w:rFonts w:asciiTheme="minorHAnsi" w:hAnsiTheme="minorHAnsi"/>
          <w:sz w:val="22"/>
          <w:szCs w:val="22"/>
        </w:rPr>
        <w:t>de</w:t>
      </w:r>
      <w:r w:rsidRPr="00F16B7B">
        <w:rPr>
          <w:rFonts w:asciiTheme="minorHAnsi" w:hAnsiTheme="minorHAnsi"/>
          <w:sz w:val="22"/>
          <w:szCs w:val="22"/>
        </w:rPr>
        <w:t xml:space="preserve"> que haya lugar</w:t>
      </w:r>
      <w:r>
        <w:rPr>
          <w:rFonts w:asciiTheme="minorHAnsi" w:hAnsiTheme="minorHAnsi"/>
          <w:sz w:val="22"/>
          <w:szCs w:val="22"/>
        </w:rPr>
        <w:t xml:space="preserve">, en este sentido, con </w:t>
      </w:r>
      <w:r>
        <w:rPr>
          <w:rFonts w:asciiTheme="minorHAnsi" w:hAnsiTheme="minorHAnsi"/>
          <w:sz w:val="22"/>
        </w:rPr>
        <w:t xml:space="preserve">las unidades de medida propuestas se logró la </w:t>
      </w:r>
      <w:r w:rsidRPr="001437DD">
        <w:rPr>
          <w:rFonts w:asciiTheme="minorHAnsi" w:hAnsiTheme="minorHAnsi"/>
          <w:sz w:val="22"/>
        </w:rPr>
        <w:t>verificación de la ecuación contractual con las obras de construcción y otros conceptos pactadas en el otrosí del 15 de junio de</w:t>
      </w:r>
      <w:r>
        <w:rPr>
          <w:rFonts w:asciiTheme="minorHAnsi" w:hAnsiTheme="minorHAnsi"/>
          <w:sz w:val="22"/>
        </w:rPr>
        <w:t xml:space="preserve"> 2005, llegándose a la </w:t>
      </w:r>
      <w:r>
        <w:rPr>
          <w:rFonts w:asciiTheme="minorHAnsi" w:hAnsiTheme="minorHAnsi"/>
          <w:sz w:val="22"/>
          <w:szCs w:val="22"/>
        </w:rPr>
        <w:t>conclusión de</w:t>
      </w:r>
      <w:r w:rsidRPr="00350ADD">
        <w:rPr>
          <w:rFonts w:asciiTheme="minorHAnsi" w:hAnsiTheme="minorHAnsi"/>
          <w:sz w:val="22"/>
          <w:szCs w:val="22"/>
        </w:rPr>
        <w:t xml:space="preserve"> que hay desequilibrio económico de la ecuación contractual</w:t>
      </w:r>
      <w:r>
        <w:rPr>
          <w:rFonts w:asciiTheme="minorHAnsi" w:hAnsiTheme="minorHAnsi"/>
          <w:sz w:val="22"/>
          <w:szCs w:val="22"/>
        </w:rPr>
        <w:t>,</w:t>
      </w:r>
      <w:r w:rsidRPr="00350ADD">
        <w:rPr>
          <w:rFonts w:asciiTheme="minorHAnsi" w:hAnsiTheme="minorHAnsi"/>
          <w:sz w:val="22"/>
          <w:szCs w:val="22"/>
        </w:rPr>
        <w:t xml:space="preserve"> toda vez que la TIR pactada se alcanza en un periodo mucho menor al estimado o</w:t>
      </w:r>
      <w:r>
        <w:rPr>
          <w:rFonts w:asciiTheme="minorHAnsi" w:hAnsiTheme="minorHAnsi"/>
          <w:sz w:val="22"/>
          <w:szCs w:val="22"/>
        </w:rPr>
        <w:t>ficialmente,</w:t>
      </w:r>
      <w:r w:rsidRPr="00350ADD">
        <w:rPr>
          <w:rFonts w:asciiTheme="minorHAnsi" w:hAnsiTheme="minorHAnsi"/>
          <w:sz w:val="22"/>
          <w:szCs w:val="22"/>
        </w:rPr>
        <w:t xml:space="preserve"> como resultado de una mala fo</w:t>
      </w:r>
      <w:r>
        <w:rPr>
          <w:rFonts w:asciiTheme="minorHAnsi" w:hAnsiTheme="minorHAnsi"/>
          <w:sz w:val="22"/>
          <w:szCs w:val="22"/>
        </w:rPr>
        <w:t>rmulación del modelo financiero que implícitamente</w:t>
      </w:r>
      <w:r w:rsidRPr="002529F6">
        <w:rPr>
          <w:rFonts w:asciiTheme="minorHAnsi" w:hAnsiTheme="minorHAnsi"/>
          <w:sz w:val="22"/>
          <w:szCs w:val="22"/>
        </w:rPr>
        <w:t xml:space="preserve"> involucra el efecto financiero de los despl</w:t>
      </w:r>
      <w:r>
        <w:rPr>
          <w:rFonts w:asciiTheme="minorHAnsi" w:hAnsiTheme="minorHAnsi"/>
          <w:sz w:val="22"/>
          <w:szCs w:val="22"/>
        </w:rPr>
        <w:t>azamientos de inversión.</w:t>
      </w:r>
    </w:p>
    <w:p w14:paraId="7682C808" w14:textId="77777777" w:rsidR="00C106C8" w:rsidRDefault="00C106C8" w:rsidP="00C106C8">
      <w:pPr>
        <w:ind w:left="709"/>
        <w:jc w:val="both"/>
        <w:rPr>
          <w:rFonts w:asciiTheme="minorHAnsi" w:hAnsiTheme="minorHAnsi"/>
          <w:sz w:val="22"/>
          <w:szCs w:val="22"/>
        </w:rPr>
      </w:pPr>
    </w:p>
    <w:p w14:paraId="1240DEC8" w14:textId="144ABD12" w:rsidR="00C106C8" w:rsidRDefault="00C106C8" w:rsidP="006E6B2B">
      <w:pPr>
        <w:jc w:val="both"/>
        <w:rPr>
          <w:rFonts w:asciiTheme="minorHAnsi" w:hAnsiTheme="minorHAnsi"/>
          <w:sz w:val="22"/>
          <w:szCs w:val="22"/>
        </w:rPr>
      </w:pPr>
      <w:r>
        <w:rPr>
          <w:rFonts w:asciiTheme="minorHAnsi" w:hAnsiTheme="minorHAnsi"/>
          <w:sz w:val="22"/>
          <w:szCs w:val="22"/>
        </w:rPr>
        <w:t>Como consecuencia de lo anterior, l</w:t>
      </w:r>
      <w:r w:rsidRPr="00C106C8">
        <w:rPr>
          <w:rFonts w:asciiTheme="minorHAnsi" w:hAnsiTheme="minorHAnsi"/>
          <w:sz w:val="22"/>
          <w:szCs w:val="22"/>
        </w:rPr>
        <w:t>a A</w:t>
      </w:r>
      <w:r>
        <w:rPr>
          <w:rFonts w:asciiTheme="minorHAnsi" w:hAnsiTheme="minorHAnsi"/>
          <w:sz w:val="22"/>
          <w:szCs w:val="22"/>
        </w:rPr>
        <w:t xml:space="preserve">NI le solicitó </w:t>
      </w:r>
      <w:r w:rsidRPr="00C106C8">
        <w:rPr>
          <w:rFonts w:asciiTheme="minorHAnsi" w:hAnsiTheme="minorHAnsi"/>
          <w:sz w:val="22"/>
          <w:szCs w:val="22"/>
        </w:rPr>
        <w:t>al concesionario mediante comunicación del 21 de agosto de 2015 que efectúe los ajustes necesarios para restablecer la ecuación financiera del contrato, y que proceda al restablecimiento de la ecuación financiera del contrato con ocasión de los desplazamientos financieros hallados con base en la información consolidada por parte de la Vicepresidencia de Gestión Contractual para proceder a la respectiva evaluación.</w:t>
      </w:r>
      <w:r w:rsidR="0020351E">
        <w:rPr>
          <w:rFonts w:asciiTheme="minorHAnsi" w:hAnsiTheme="minorHAnsi"/>
          <w:sz w:val="22"/>
          <w:szCs w:val="22"/>
        </w:rPr>
        <w:t xml:space="preserve"> Así mismo </w:t>
      </w:r>
      <w:r>
        <w:rPr>
          <w:rFonts w:asciiTheme="minorHAnsi" w:hAnsiTheme="minorHAnsi"/>
          <w:sz w:val="22"/>
          <w:szCs w:val="22"/>
        </w:rPr>
        <w:t>se instauró</w:t>
      </w:r>
      <w:r w:rsidRPr="00D74A5C">
        <w:rPr>
          <w:rFonts w:asciiTheme="minorHAnsi" w:hAnsiTheme="minorHAnsi"/>
          <w:sz w:val="22"/>
          <w:szCs w:val="22"/>
        </w:rPr>
        <w:t xml:space="preserve"> la demanda arbitral </w:t>
      </w:r>
      <w:r>
        <w:rPr>
          <w:rFonts w:asciiTheme="minorHAnsi" w:hAnsiTheme="minorHAnsi"/>
          <w:sz w:val="22"/>
          <w:szCs w:val="22"/>
        </w:rPr>
        <w:t xml:space="preserve">el pasado 17 de mayo de 2016, con lo que la Entidad agotó </w:t>
      </w:r>
      <w:r w:rsidR="0020351E">
        <w:rPr>
          <w:rFonts w:asciiTheme="minorHAnsi" w:hAnsiTheme="minorHAnsi"/>
          <w:sz w:val="22"/>
          <w:szCs w:val="22"/>
        </w:rPr>
        <w:t>el marco de sus competencias para atacar la causa del hallazgo, correspondiéndole al juez del contrato definir lo que contractualmente corresponda.</w:t>
      </w:r>
    </w:p>
    <w:p w14:paraId="06452C38" w14:textId="5CB4B563" w:rsidR="00C106C8" w:rsidRDefault="00C106C8" w:rsidP="00C106C8">
      <w:pPr>
        <w:pStyle w:val="Prrafodelista"/>
        <w:jc w:val="both"/>
        <w:rPr>
          <w:rFonts w:asciiTheme="minorHAnsi" w:hAnsiTheme="minorHAnsi"/>
          <w:b/>
          <w:sz w:val="22"/>
        </w:rPr>
      </w:pPr>
    </w:p>
    <w:p w14:paraId="1EB85DED" w14:textId="669A35F6" w:rsidR="000F334D" w:rsidRDefault="000F334D" w:rsidP="000F334D">
      <w:pPr>
        <w:jc w:val="both"/>
        <w:rPr>
          <w:rFonts w:asciiTheme="minorHAnsi" w:hAnsiTheme="minorHAnsi"/>
          <w:b/>
          <w:sz w:val="22"/>
        </w:rPr>
      </w:pPr>
    </w:p>
    <w:p w14:paraId="24685E41" w14:textId="77777777" w:rsidR="003A53CB" w:rsidRDefault="003A53CB" w:rsidP="000F334D">
      <w:pPr>
        <w:jc w:val="both"/>
        <w:rPr>
          <w:rFonts w:asciiTheme="minorHAnsi" w:hAnsiTheme="minorHAnsi"/>
          <w:b/>
          <w:sz w:val="22"/>
        </w:rPr>
      </w:pPr>
    </w:p>
    <w:p w14:paraId="227EE276" w14:textId="591A9173" w:rsidR="001437DD" w:rsidRDefault="00BA4F8E" w:rsidP="000F334D">
      <w:pPr>
        <w:jc w:val="both"/>
        <w:rPr>
          <w:rFonts w:asciiTheme="minorHAnsi" w:hAnsiTheme="minorHAnsi"/>
          <w:b/>
          <w:sz w:val="22"/>
        </w:rPr>
      </w:pPr>
      <w:r>
        <w:rPr>
          <w:rFonts w:asciiTheme="minorHAnsi" w:hAnsiTheme="minorHAnsi"/>
          <w:b/>
          <w:sz w:val="22"/>
        </w:rPr>
        <w:t>FIRMA RESPONSABLE: _________________________________</w:t>
      </w:r>
      <w:bookmarkStart w:id="0" w:name="_GoBack"/>
      <w:bookmarkEnd w:id="0"/>
    </w:p>
    <w:sectPr w:rsidR="001437DD" w:rsidSect="00CB2813">
      <w:headerReference w:type="default" r:id="rId7"/>
      <w:footerReference w:type="default" r:id="rId8"/>
      <w:pgSz w:w="12240" w:h="15840"/>
      <w:pgMar w:top="2875" w:right="1701" w:bottom="1417" w:left="1701"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5C479" w14:textId="77777777" w:rsidR="003D42BF" w:rsidRDefault="003D42BF">
      <w:r>
        <w:separator/>
      </w:r>
    </w:p>
  </w:endnote>
  <w:endnote w:type="continuationSeparator" w:id="0">
    <w:p w14:paraId="7E732C01" w14:textId="77777777" w:rsidR="003D42BF" w:rsidRDefault="003D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386C" w14:textId="226E975E" w:rsidR="00DE194D" w:rsidRPr="00D34381" w:rsidRDefault="00CB2813" w:rsidP="00D34381">
    <w:pPr>
      <w:tabs>
        <w:tab w:val="center" w:pos="4252"/>
        <w:tab w:val="right" w:pos="8504"/>
      </w:tabs>
      <w:jc w:val="center"/>
      <w:rPr>
        <w:rFonts w:ascii="Calibri" w:hAnsi="Calibri" w:cs="Arial"/>
        <w:sz w:val="16"/>
        <w:szCs w:val="16"/>
        <w:lang w:eastAsia="es-ES"/>
      </w:rPr>
    </w:pPr>
    <w:r>
      <w:rPr>
        <w:rFonts w:ascii="Calibri" w:hAnsi="Calibri" w:cs="Arial"/>
        <w:sz w:val="16"/>
        <w:szCs w:val="16"/>
        <w:lang w:eastAsia="es-ES"/>
      </w:rPr>
      <w:t>P</w:t>
    </w:r>
    <w:r w:rsidR="00D34381" w:rsidRPr="00D34381">
      <w:rPr>
        <w:rFonts w:ascii="Calibri" w:hAnsi="Calibri" w:cs="Arial"/>
        <w:sz w:val="16"/>
        <w:szCs w:val="16"/>
        <w:lang w:eastAsia="es-ES"/>
      </w:rPr>
      <w:t xml:space="preserve">ágina </w:t>
    </w:r>
    <w:r w:rsidR="00D34381" w:rsidRPr="00D34381">
      <w:rPr>
        <w:rFonts w:ascii="Calibri" w:hAnsi="Calibri" w:cs="Arial"/>
        <w:sz w:val="16"/>
        <w:szCs w:val="16"/>
        <w:lang w:eastAsia="es-ES"/>
      </w:rPr>
      <w:fldChar w:fldCharType="begin"/>
    </w:r>
    <w:r w:rsidR="00D34381" w:rsidRPr="00D34381">
      <w:rPr>
        <w:rFonts w:ascii="Calibri" w:hAnsi="Calibri" w:cs="Arial"/>
        <w:sz w:val="16"/>
        <w:szCs w:val="16"/>
        <w:lang w:eastAsia="es-ES"/>
      </w:rPr>
      <w:instrText>PAGE</w:instrText>
    </w:r>
    <w:r w:rsidR="00D34381" w:rsidRPr="00D34381">
      <w:rPr>
        <w:rFonts w:ascii="Calibri" w:hAnsi="Calibri" w:cs="Arial"/>
        <w:sz w:val="16"/>
        <w:szCs w:val="16"/>
        <w:lang w:eastAsia="es-ES"/>
      </w:rPr>
      <w:fldChar w:fldCharType="separate"/>
    </w:r>
    <w:r w:rsidR="006E6B2B">
      <w:rPr>
        <w:rFonts w:ascii="Calibri" w:hAnsi="Calibri" w:cs="Arial"/>
        <w:noProof/>
        <w:sz w:val="16"/>
        <w:szCs w:val="16"/>
        <w:lang w:eastAsia="es-ES"/>
      </w:rPr>
      <w:t>3</w:t>
    </w:r>
    <w:r w:rsidR="00D34381" w:rsidRPr="00D34381">
      <w:rPr>
        <w:rFonts w:ascii="Calibri" w:hAnsi="Calibri" w:cs="Arial"/>
        <w:sz w:val="16"/>
        <w:szCs w:val="16"/>
        <w:lang w:eastAsia="es-ES"/>
      </w:rPr>
      <w:fldChar w:fldCharType="end"/>
    </w:r>
    <w:r w:rsidR="00D34381" w:rsidRPr="00D34381">
      <w:rPr>
        <w:rFonts w:ascii="Calibri" w:hAnsi="Calibri" w:cs="Arial"/>
        <w:sz w:val="16"/>
        <w:szCs w:val="16"/>
        <w:lang w:eastAsia="es-ES"/>
      </w:rPr>
      <w:t xml:space="preserve"> de </w:t>
    </w:r>
    <w:r w:rsidR="00D34381" w:rsidRPr="00D34381">
      <w:rPr>
        <w:rFonts w:ascii="Calibri" w:hAnsi="Calibri" w:cs="Arial"/>
        <w:sz w:val="16"/>
        <w:szCs w:val="16"/>
        <w:lang w:eastAsia="es-ES"/>
      </w:rPr>
      <w:fldChar w:fldCharType="begin"/>
    </w:r>
    <w:r w:rsidR="00D34381" w:rsidRPr="00D34381">
      <w:rPr>
        <w:rFonts w:ascii="Calibri" w:hAnsi="Calibri" w:cs="Arial"/>
        <w:sz w:val="16"/>
        <w:szCs w:val="16"/>
        <w:lang w:eastAsia="es-ES"/>
      </w:rPr>
      <w:instrText>NUMPAGES</w:instrText>
    </w:r>
    <w:r w:rsidR="00D34381" w:rsidRPr="00D34381">
      <w:rPr>
        <w:rFonts w:ascii="Calibri" w:hAnsi="Calibri" w:cs="Arial"/>
        <w:sz w:val="16"/>
        <w:szCs w:val="16"/>
        <w:lang w:eastAsia="es-ES"/>
      </w:rPr>
      <w:fldChar w:fldCharType="separate"/>
    </w:r>
    <w:r w:rsidR="006E6B2B">
      <w:rPr>
        <w:rFonts w:ascii="Calibri" w:hAnsi="Calibri" w:cs="Arial"/>
        <w:noProof/>
        <w:sz w:val="16"/>
        <w:szCs w:val="16"/>
        <w:lang w:eastAsia="es-ES"/>
      </w:rPr>
      <w:t>4</w:t>
    </w:r>
    <w:r w:rsidR="00D34381" w:rsidRPr="00D34381">
      <w:rPr>
        <w:rFonts w:ascii="Calibri" w:hAnsi="Calibri" w:cs="Arial"/>
        <w:sz w:val="16"/>
        <w:szCs w:val="16"/>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93CDD" w14:textId="77777777" w:rsidR="003D42BF" w:rsidRDefault="003D42BF">
      <w:r>
        <w:separator/>
      </w:r>
    </w:p>
  </w:footnote>
  <w:footnote w:type="continuationSeparator" w:id="0">
    <w:p w14:paraId="32FFD28A" w14:textId="77777777" w:rsidR="003D42BF" w:rsidRDefault="003D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275"/>
      <w:gridCol w:w="4112"/>
      <w:gridCol w:w="1985"/>
    </w:tblGrid>
    <w:tr w:rsidR="0026249B" w:rsidRPr="0026249B" w14:paraId="58BC4F63" w14:textId="77777777" w:rsidTr="0026249B">
      <w:trPr>
        <w:trHeight w:val="493"/>
      </w:trPr>
      <w:tc>
        <w:tcPr>
          <w:tcW w:w="1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C3355" w14:textId="77777777"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noProof/>
              <w:sz w:val="22"/>
              <w:szCs w:val="22"/>
              <w:lang w:eastAsia="es-CO"/>
            </w:rPr>
            <w:drawing>
              <wp:inline distT="0" distB="0" distL="0" distR="0" wp14:anchorId="31864E73" wp14:editId="6EE14A81">
                <wp:extent cx="1014413" cy="676275"/>
                <wp:effectExtent l="0" t="0" r="0"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163" cy="678775"/>
                        </a:xfrm>
                        <a:prstGeom prst="rect">
                          <a:avLst/>
                        </a:prstGeom>
                        <a:noFill/>
                        <a:ln>
                          <a:noFill/>
                        </a:ln>
                      </pic:spPr>
                    </pic:pic>
                  </a:graphicData>
                </a:graphic>
              </wp:inline>
            </w:drawing>
          </w:r>
        </w:p>
      </w:tc>
      <w:tc>
        <w:tcPr>
          <w:tcW w:w="29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9FED9" w14:textId="77777777"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b/>
              <w:sz w:val="22"/>
              <w:szCs w:val="22"/>
              <w:lang w:val="es-ES_tradnl" w:eastAsia="es-ES"/>
            </w:rPr>
            <w:t>SISTEMA INTEGRADO DE GESTIÓN</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2A2CD" w14:textId="44782ED7"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b/>
              <w:sz w:val="22"/>
              <w:szCs w:val="22"/>
              <w:lang w:val="es-ES_tradnl" w:eastAsia="es-ES"/>
            </w:rPr>
            <w:t xml:space="preserve">Código: </w:t>
          </w:r>
          <w:r w:rsidRPr="0026249B">
            <w:rPr>
              <w:rFonts w:ascii="Calibri" w:eastAsia="Calibri" w:hAnsi="Calibri" w:cs="Tahoma"/>
              <w:sz w:val="22"/>
              <w:szCs w:val="22"/>
              <w:lang w:val="es-ES_tradnl" w:eastAsia="es-ES"/>
            </w:rPr>
            <w:t>EVCI-F-034</w:t>
          </w:r>
        </w:p>
      </w:tc>
    </w:tr>
    <w:tr w:rsidR="0026249B" w:rsidRPr="0026249B" w14:paraId="2786192F" w14:textId="77777777" w:rsidTr="0026249B">
      <w:trPr>
        <w:trHeight w:val="472"/>
      </w:trPr>
      <w:tc>
        <w:tcPr>
          <w:tcW w:w="10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E7CA7" w14:textId="77777777" w:rsidR="0026249B" w:rsidRPr="0026249B" w:rsidRDefault="0026249B" w:rsidP="0026249B">
          <w:pPr>
            <w:jc w:val="center"/>
            <w:rPr>
              <w:rFonts w:ascii="Calibri" w:hAnsi="Calibri" w:cs="Tahoma"/>
              <w:b/>
              <w:sz w:val="22"/>
              <w:szCs w:val="22"/>
              <w:lang w:val="es-ES_tradnl" w:eastAsia="es-ES"/>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0FDE4" w14:textId="77777777"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b/>
              <w:sz w:val="22"/>
              <w:szCs w:val="22"/>
              <w:lang w:val="es-ES_tradnl" w:eastAsia="es-ES"/>
            </w:rPr>
            <w:t>PROCESO</w:t>
          </w:r>
        </w:p>
      </w:tc>
      <w:tc>
        <w:tcPr>
          <w:tcW w:w="2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8EAE5" w14:textId="191AF919" w:rsidR="0026249B" w:rsidRPr="0026249B" w:rsidRDefault="0026249B" w:rsidP="0026249B">
          <w:pPr>
            <w:jc w:val="center"/>
            <w:rPr>
              <w:rFonts w:ascii="Calibri" w:hAnsi="Calibri" w:cs="Tahoma"/>
              <w:sz w:val="22"/>
              <w:szCs w:val="22"/>
              <w:lang w:val="es-ES_tradnl" w:eastAsia="es-ES"/>
            </w:rPr>
          </w:pPr>
          <w:r w:rsidRPr="0026249B">
            <w:rPr>
              <w:rFonts w:ascii="Calibri" w:eastAsia="Calibri" w:hAnsi="Calibri" w:cs="Tahoma"/>
              <w:sz w:val="22"/>
              <w:szCs w:val="22"/>
              <w:lang w:val="es-ES_tradnl" w:eastAsia="es-ES"/>
            </w:rPr>
            <w:t>EVALUACIÓN Y CONTROL INSTITUCIONAL</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82F95" w14:textId="4E799D7B"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b/>
              <w:sz w:val="22"/>
              <w:szCs w:val="22"/>
              <w:lang w:val="es-ES_tradnl" w:eastAsia="es-ES"/>
            </w:rPr>
            <w:t xml:space="preserve">Versión: </w:t>
          </w:r>
          <w:r w:rsidRPr="0026249B">
            <w:rPr>
              <w:rFonts w:ascii="Calibri" w:eastAsia="Calibri" w:hAnsi="Calibri" w:cs="Tahoma"/>
              <w:sz w:val="22"/>
              <w:szCs w:val="22"/>
              <w:lang w:val="es-ES_tradnl" w:eastAsia="es-ES"/>
            </w:rPr>
            <w:t>00</w:t>
          </w:r>
          <w:r>
            <w:rPr>
              <w:rFonts w:ascii="Calibri" w:eastAsia="Calibri" w:hAnsi="Calibri" w:cs="Tahoma"/>
              <w:sz w:val="22"/>
              <w:szCs w:val="22"/>
              <w:lang w:val="es-ES_tradnl" w:eastAsia="es-ES"/>
            </w:rPr>
            <w:t>1</w:t>
          </w:r>
        </w:p>
      </w:tc>
    </w:tr>
    <w:tr w:rsidR="0026249B" w:rsidRPr="0026249B" w14:paraId="00CF7348" w14:textId="77777777" w:rsidTr="0026249B">
      <w:trPr>
        <w:trHeight w:val="495"/>
      </w:trPr>
      <w:tc>
        <w:tcPr>
          <w:tcW w:w="10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0E070" w14:textId="77777777" w:rsidR="0026249B" w:rsidRPr="0026249B" w:rsidRDefault="0026249B" w:rsidP="0026249B">
          <w:pPr>
            <w:jc w:val="center"/>
            <w:rPr>
              <w:rFonts w:ascii="Calibri" w:hAnsi="Calibri" w:cs="Tahoma"/>
              <w:b/>
              <w:sz w:val="22"/>
              <w:szCs w:val="22"/>
              <w:lang w:val="es-ES_tradnl" w:eastAsia="es-ES"/>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F03A7" w14:textId="77777777" w:rsidR="0026249B" w:rsidRPr="0026249B" w:rsidRDefault="0026249B" w:rsidP="0026249B">
          <w:pPr>
            <w:jc w:val="center"/>
            <w:rPr>
              <w:rFonts w:ascii="Calibri" w:hAnsi="Calibri" w:cs="Tahoma"/>
              <w:b/>
              <w:sz w:val="22"/>
              <w:szCs w:val="22"/>
              <w:lang w:val="es-ES_tradnl" w:eastAsia="es-ES"/>
            </w:rPr>
          </w:pPr>
          <w:r w:rsidRPr="0026249B">
            <w:rPr>
              <w:rFonts w:ascii="Calibri" w:eastAsia="Calibri" w:hAnsi="Calibri" w:cs="Tahoma"/>
              <w:b/>
              <w:sz w:val="22"/>
              <w:szCs w:val="22"/>
              <w:lang w:val="es-ES_tradnl" w:eastAsia="es-ES"/>
            </w:rPr>
            <w:t>FORMATO</w:t>
          </w:r>
        </w:p>
      </w:tc>
      <w:tc>
        <w:tcPr>
          <w:tcW w:w="2231" w:type="pct"/>
          <w:tcBorders>
            <w:top w:val="single" w:sz="4" w:space="0" w:color="auto"/>
            <w:left w:val="single" w:sz="4" w:space="0" w:color="auto"/>
            <w:bottom w:val="single" w:sz="4" w:space="0" w:color="auto"/>
            <w:right w:val="single" w:sz="4" w:space="0" w:color="auto"/>
          </w:tcBorders>
          <w:shd w:val="clear" w:color="auto" w:fill="auto"/>
          <w:vAlign w:val="center"/>
        </w:tcPr>
        <w:p w14:paraId="53ABE4C6" w14:textId="19196ADF" w:rsidR="0026249B" w:rsidRPr="0026249B" w:rsidRDefault="0026249B" w:rsidP="0026249B">
          <w:pPr>
            <w:jc w:val="center"/>
            <w:rPr>
              <w:rFonts w:ascii="Calibri" w:hAnsi="Calibri" w:cs="Tahoma"/>
              <w:sz w:val="22"/>
              <w:szCs w:val="22"/>
              <w:lang w:val="es-ES_tradnl" w:eastAsia="es-ES"/>
            </w:rPr>
          </w:pPr>
          <w:r w:rsidRPr="0026249B">
            <w:rPr>
              <w:rFonts w:ascii="Calibri" w:hAnsi="Calibri" w:cs="Tahoma"/>
              <w:sz w:val="22"/>
              <w:szCs w:val="22"/>
              <w:lang w:val="es-ES_tradnl" w:eastAsia="es-ES"/>
            </w:rPr>
            <w:t>INFORME DE CIERRE PMI</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4683C" w14:textId="5C5928AB" w:rsidR="0026249B" w:rsidRPr="0026249B" w:rsidRDefault="0026249B" w:rsidP="000B2470">
          <w:pPr>
            <w:jc w:val="center"/>
            <w:rPr>
              <w:rFonts w:ascii="Calibri" w:hAnsi="Calibri" w:cs="Tahoma"/>
              <w:sz w:val="22"/>
              <w:szCs w:val="22"/>
              <w:lang w:val="es-ES_tradnl" w:eastAsia="es-ES"/>
            </w:rPr>
          </w:pPr>
          <w:r w:rsidRPr="0026249B">
            <w:rPr>
              <w:rFonts w:ascii="Calibri" w:eastAsia="Calibri" w:hAnsi="Calibri" w:cs="Tahoma"/>
              <w:b/>
              <w:sz w:val="22"/>
              <w:szCs w:val="22"/>
              <w:lang w:val="es-ES_tradnl" w:eastAsia="es-ES"/>
            </w:rPr>
            <w:t xml:space="preserve">Fecha: </w:t>
          </w:r>
          <w:r>
            <w:rPr>
              <w:rFonts w:ascii="Calibri" w:eastAsia="Calibri" w:hAnsi="Calibri" w:cs="Tahoma"/>
              <w:sz w:val="22"/>
              <w:szCs w:val="22"/>
              <w:lang w:val="es-ES_tradnl" w:eastAsia="es-ES"/>
            </w:rPr>
            <w:t>0</w:t>
          </w:r>
          <w:r w:rsidR="000B2470">
            <w:rPr>
              <w:rFonts w:ascii="Calibri" w:eastAsia="Calibri" w:hAnsi="Calibri" w:cs="Tahoma"/>
              <w:sz w:val="22"/>
              <w:szCs w:val="22"/>
              <w:lang w:val="es-ES_tradnl" w:eastAsia="es-ES"/>
            </w:rPr>
            <w:t>6</w:t>
          </w:r>
          <w:r w:rsidRPr="0026249B">
            <w:rPr>
              <w:rFonts w:ascii="Calibri" w:eastAsia="Calibri" w:hAnsi="Calibri" w:cs="Tahoma"/>
              <w:sz w:val="22"/>
              <w:szCs w:val="22"/>
              <w:lang w:val="es-ES_tradnl" w:eastAsia="es-ES"/>
            </w:rPr>
            <w:t>/</w:t>
          </w:r>
          <w:r>
            <w:rPr>
              <w:rFonts w:ascii="Calibri" w:eastAsia="Calibri" w:hAnsi="Calibri" w:cs="Tahoma"/>
              <w:sz w:val="22"/>
              <w:szCs w:val="22"/>
              <w:lang w:val="es-ES_tradnl" w:eastAsia="es-ES"/>
            </w:rPr>
            <w:t>09</w:t>
          </w:r>
          <w:r w:rsidRPr="0026249B">
            <w:rPr>
              <w:rFonts w:ascii="Calibri" w:eastAsia="Calibri" w:hAnsi="Calibri" w:cs="Tahoma"/>
              <w:sz w:val="22"/>
              <w:szCs w:val="22"/>
              <w:lang w:val="es-ES_tradnl" w:eastAsia="es-ES"/>
            </w:rPr>
            <w:t>/201</w:t>
          </w:r>
          <w:r>
            <w:rPr>
              <w:rFonts w:ascii="Calibri" w:eastAsia="Calibri" w:hAnsi="Calibri" w:cs="Tahoma"/>
              <w:sz w:val="22"/>
              <w:szCs w:val="22"/>
              <w:lang w:val="es-ES_tradnl" w:eastAsia="es-ES"/>
            </w:rPr>
            <w:t>6</w:t>
          </w:r>
        </w:p>
      </w:tc>
    </w:tr>
  </w:tbl>
  <w:p w14:paraId="0D38300C" w14:textId="77777777" w:rsidR="0026249B" w:rsidRDefault="0026249B" w:rsidP="002624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AC9"/>
    <w:multiLevelType w:val="hybridMultilevel"/>
    <w:tmpl w:val="0114B96E"/>
    <w:lvl w:ilvl="0" w:tplc="3AD2F07E">
      <w:start w:val="1"/>
      <w:numFmt w:val="bullet"/>
      <w:lvlText w:val="•"/>
      <w:lvlJc w:val="left"/>
      <w:pPr>
        <w:tabs>
          <w:tab w:val="num" w:pos="720"/>
        </w:tabs>
        <w:ind w:left="720" w:hanging="360"/>
      </w:pPr>
      <w:rPr>
        <w:rFonts w:ascii="Arial" w:hAnsi="Arial" w:hint="default"/>
      </w:rPr>
    </w:lvl>
    <w:lvl w:ilvl="1" w:tplc="A260C930" w:tentative="1">
      <w:start w:val="1"/>
      <w:numFmt w:val="bullet"/>
      <w:lvlText w:val="•"/>
      <w:lvlJc w:val="left"/>
      <w:pPr>
        <w:tabs>
          <w:tab w:val="num" w:pos="1440"/>
        </w:tabs>
        <w:ind w:left="1440" w:hanging="360"/>
      </w:pPr>
      <w:rPr>
        <w:rFonts w:ascii="Arial" w:hAnsi="Arial" w:hint="default"/>
      </w:rPr>
    </w:lvl>
    <w:lvl w:ilvl="2" w:tplc="AF3AB40A" w:tentative="1">
      <w:start w:val="1"/>
      <w:numFmt w:val="bullet"/>
      <w:lvlText w:val="•"/>
      <w:lvlJc w:val="left"/>
      <w:pPr>
        <w:tabs>
          <w:tab w:val="num" w:pos="2160"/>
        </w:tabs>
        <w:ind w:left="2160" w:hanging="360"/>
      </w:pPr>
      <w:rPr>
        <w:rFonts w:ascii="Arial" w:hAnsi="Arial" w:hint="default"/>
      </w:rPr>
    </w:lvl>
    <w:lvl w:ilvl="3" w:tplc="5A2EF08A" w:tentative="1">
      <w:start w:val="1"/>
      <w:numFmt w:val="bullet"/>
      <w:lvlText w:val="•"/>
      <w:lvlJc w:val="left"/>
      <w:pPr>
        <w:tabs>
          <w:tab w:val="num" w:pos="2880"/>
        </w:tabs>
        <w:ind w:left="2880" w:hanging="360"/>
      </w:pPr>
      <w:rPr>
        <w:rFonts w:ascii="Arial" w:hAnsi="Arial" w:hint="default"/>
      </w:rPr>
    </w:lvl>
    <w:lvl w:ilvl="4" w:tplc="836060C6" w:tentative="1">
      <w:start w:val="1"/>
      <w:numFmt w:val="bullet"/>
      <w:lvlText w:val="•"/>
      <w:lvlJc w:val="left"/>
      <w:pPr>
        <w:tabs>
          <w:tab w:val="num" w:pos="3600"/>
        </w:tabs>
        <w:ind w:left="3600" w:hanging="360"/>
      </w:pPr>
      <w:rPr>
        <w:rFonts w:ascii="Arial" w:hAnsi="Arial" w:hint="default"/>
      </w:rPr>
    </w:lvl>
    <w:lvl w:ilvl="5" w:tplc="F276185C" w:tentative="1">
      <w:start w:val="1"/>
      <w:numFmt w:val="bullet"/>
      <w:lvlText w:val="•"/>
      <w:lvlJc w:val="left"/>
      <w:pPr>
        <w:tabs>
          <w:tab w:val="num" w:pos="4320"/>
        </w:tabs>
        <w:ind w:left="4320" w:hanging="360"/>
      </w:pPr>
      <w:rPr>
        <w:rFonts w:ascii="Arial" w:hAnsi="Arial" w:hint="default"/>
      </w:rPr>
    </w:lvl>
    <w:lvl w:ilvl="6" w:tplc="C2689BAC" w:tentative="1">
      <w:start w:val="1"/>
      <w:numFmt w:val="bullet"/>
      <w:lvlText w:val="•"/>
      <w:lvlJc w:val="left"/>
      <w:pPr>
        <w:tabs>
          <w:tab w:val="num" w:pos="5040"/>
        </w:tabs>
        <w:ind w:left="5040" w:hanging="360"/>
      </w:pPr>
      <w:rPr>
        <w:rFonts w:ascii="Arial" w:hAnsi="Arial" w:hint="default"/>
      </w:rPr>
    </w:lvl>
    <w:lvl w:ilvl="7" w:tplc="7B4229CE" w:tentative="1">
      <w:start w:val="1"/>
      <w:numFmt w:val="bullet"/>
      <w:lvlText w:val="•"/>
      <w:lvlJc w:val="left"/>
      <w:pPr>
        <w:tabs>
          <w:tab w:val="num" w:pos="5760"/>
        </w:tabs>
        <w:ind w:left="5760" w:hanging="360"/>
      </w:pPr>
      <w:rPr>
        <w:rFonts w:ascii="Arial" w:hAnsi="Arial" w:hint="default"/>
      </w:rPr>
    </w:lvl>
    <w:lvl w:ilvl="8" w:tplc="19A8C3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11CAE"/>
    <w:multiLevelType w:val="hybridMultilevel"/>
    <w:tmpl w:val="5E02D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E7C6E"/>
    <w:multiLevelType w:val="multilevel"/>
    <w:tmpl w:val="03FC24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A82FD6"/>
    <w:multiLevelType w:val="hybridMultilevel"/>
    <w:tmpl w:val="13BA4452"/>
    <w:lvl w:ilvl="0" w:tplc="FCC6FFD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801726B"/>
    <w:multiLevelType w:val="hybridMultilevel"/>
    <w:tmpl w:val="95DCB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7752B"/>
    <w:multiLevelType w:val="hybridMultilevel"/>
    <w:tmpl w:val="1B248A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2FB3CBF"/>
    <w:multiLevelType w:val="hybridMultilevel"/>
    <w:tmpl w:val="B644D3FC"/>
    <w:lvl w:ilvl="0" w:tplc="A286A1E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AB344E2"/>
    <w:multiLevelType w:val="hybridMultilevel"/>
    <w:tmpl w:val="7E46C0B4"/>
    <w:lvl w:ilvl="0" w:tplc="5754938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619A23AA"/>
    <w:multiLevelType w:val="hybridMultilevel"/>
    <w:tmpl w:val="BD8AF4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431C1"/>
    <w:multiLevelType w:val="hybridMultilevel"/>
    <w:tmpl w:val="7E46C0B4"/>
    <w:lvl w:ilvl="0" w:tplc="5754938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B403E0E"/>
    <w:multiLevelType w:val="hybridMultilevel"/>
    <w:tmpl w:val="1B248A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6"/>
  </w:num>
  <w:num w:numId="5">
    <w:abstractNumId w:val="10"/>
  </w:num>
  <w:num w:numId="6">
    <w:abstractNumId w:val="5"/>
  </w:num>
  <w:num w:numId="7">
    <w:abstractNumId w:val="2"/>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21"/>
    <w:rsid w:val="00002CA7"/>
    <w:rsid w:val="0002699B"/>
    <w:rsid w:val="00030206"/>
    <w:rsid w:val="000B2470"/>
    <w:rsid w:val="000B3AD8"/>
    <w:rsid w:val="000C4072"/>
    <w:rsid w:val="000D358D"/>
    <w:rsid w:val="000F334D"/>
    <w:rsid w:val="000F5021"/>
    <w:rsid w:val="001138BD"/>
    <w:rsid w:val="0011503E"/>
    <w:rsid w:val="00142EF2"/>
    <w:rsid w:val="001437DD"/>
    <w:rsid w:val="001526C2"/>
    <w:rsid w:val="00191F6D"/>
    <w:rsid w:val="001B7C4A"/>
    <w:rsid w:val="001F6675"/>
    <w:rsid w:val="0020351E"/>
    <w:rsid w:val="0026249B"/>
    <w:rsid w:val="002777F3"/>
    <w:rsid w:val="002D0FEF"/>
    <w:rsid w:val="002D5E94"/>
    <w:rsid w:val="00346896"/>
    <w:rsid w:val="003731B8"/>
    <w:rsid w:val="003821A9"/>
    <w:rsid w:val="003A53CB"/>
    <w:rsid w:val="003D42BF"/>
    <w:rsid w:val="0040344C"/>
    <w:rsid w:val="00453771"/>
    <w:rsid w:val="0048643C"/>
    <w:rsid w:val="004B3FCA"/>
    <w:rsid w:val="004F2F79"/>
    <w:rsid w:val="005A2C3A"/>
    <w:rsid w:val="00626373"/>
    <w:rsid w:val="0065228C"/>
    <w:rsid w:val="00662797"/>
    <w:rsid w:val="006965C0"/>
    <w:rsid w:val="006B0A58"/>
    <w:rsid w:val="006C5D8B"/>
    <w:rsid w:val="006E6B2B"/>
    <w:rsid w:val="007172E9"/>
    <w:rsid w:val="00784AF2"/>
    <w:rsid w:val="00796BD9"/>
    <w:rsid w:val="00797402"/>
    <w:rsid w:val="0085744E"/>
    <w:rsid w:val="008A61B2"/>
    <w:rsid w:val="008D224A"/>
    <w:rsid w:val="00984F69"/>
    <w:rsid w:val="009A4F60"/>
    <w:rsid w:val="009E6F35"/>
    <w:rsid w:val="00A0256B"/>
    <w:rsid w:val="00A071AC"/>
    <w:rsid w:val="00A65CE9"/>
    <w:rsid w:val="00AB2C49"/>
    <w:rsid w:val="00AF6178"/>
    <w:rsid w:val="00B708B3"/>
    <w:rsid w:val="00B76A16"/>
    <w:rsid w:val="00BA4F8E"/>
    <w:rsid w:val="00C106C8"/>
    <w:rsid w:val="00C43116"/>
    <w:rsid w:val="00CB2813"/>
    <w:rsid w:val="00CF50F8"/>
    <w:rsid w:val="00D02D65"/>
    <w:rsid w:val="00D139CF"/>
    <w:rsid w:val="00D34381"/>
    <w:rsid w:val="00D63370"/>
    <w:rsid w:val="00D93316"/>
    <w:rsid w:val="00DE194D"/>
    <w:rsid w:val="00E91E9A"/>
    <w:rsid w:val="00FE29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33818"/>
  <w15:docId w15:val="{D49FB624-8B94-40DC-96A7-0AB5B28E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97402"/>
    <w:rPr>
      <w:color w:val="0000FF"/>
      <w:u w:val="single"/>
    </w:rPr>
  </w:style>
  <w:style w:type="paragraph" w:styleId="Encabezado">
    <w:name w:val="header"/>
    <w:basedOn w:val="Normal"/>
    <w:rsid w:val="004F2F79"/>
    <w:pPr>
      <w:tabs>
        <w:tab w:val="center" w:pos="4252"/>
        <w:tab w:val="right" w:pos="8504"/>
      </w:tabs>
    </w:pPr>
  </w:style>
  <w:style w:type="paragraph" w:styleId="Piedepgina">
    <w:name w:val="footer"/>
    <w:basedOn w:val="Normal"/>
    <w:link w:val="PiedepginaCar"/>
    <w:uiPriority w:val="99"/>
    <w:rsid w:val="004F2F79"/>
    <w:pPr>
      <w:tabs>
        <w:tab w:val="center" w:pos="4252"/>
        <w:tab w:val="right" w:pos="8504"/>
      </w:tabs>
    </w:pPr>
  </w:style>
  <w:style w:type="paragraph" w:styleId="Textoindependiente">
    <w:name w:val="Body Text"/>
    <w:basedOn w:val="Normal"/>
    <w:rsid w:val="0085744E"/>
    <w:pPr>
      <w:jc w:val="both"/>
    </w:pPr>
    <w:rPr>
      <w:rFonts w:ascii="Tahoma" w:hAnsi="Tahoma"/>
      <w:szCs w:val="20"/>
      <w:lang w:val="es-ES" w:eastAsia="es-ES"/>
    </w:rPr>
  </w:style>
  <w:style w:type="paragraph" w:styleId="Textoindependiente2">
    <w:name w:val="Body Text 2"/>
    <w:basedOn w:val="Normal"/>
    <w:rsid w:val="0085744E"/>
    <w:rPr>
      <w:rFonts w:ascii="Tahoma" w:hAnsi="Tahoma"/>
      <w:b/>
      <w:szCs w:val="20"/>
      <w:lang w:val="es-ES" w:eastAsia="es-ES"/>
    </w:rPr>
  </w:style>
  <w:style w:type="character" w:customStyle="1" w:styleId="textosinco1">
    <w:name w:val="textosinco1"/>
    <w:basedOn w:val="Fuentedeprrafopredeter"/>
    <w:rsid w:val="002777F3"/>
    <w:rPr>
      <w:rFonts w:ascii="Verdana" w:hAnsi="Verdana" w:hint="default"/>
      <w:color w:val="000000"/>
      <w:sz w:val="17"/>
      <w:szCs w:val="17"/>
    </w:rPr>
  </w:style>
  <w:style w:type="paragraph" w:styleId="Textodeglobo">
    <w:name w:val="Balloon Text"/>
    <w:basedOn w:val="Normal"/>
    <w:link w:val="TextodegloboCar"/>
    <w:rsid w:val="00142EF2"/>
    <w:rPr>
      <w:rFonts w:ascii="Tahoma" w:hAnsi="Tahoma" w:cs="Tahoma"/>
      <w:sz w:val="16"/>
      <w:szCs w:val="16"/>
    </w:rPr>
  </w:style>
  <w:style w:type="character" w:customStyle="1" w:styleId="TextodegloboCar">
    <w:name w:val="Texto de globo Car"/>
    <w:basedOn w:val="Fuentedeprrafopredeter"/>
    <w:link w:val="Textodeglobo"/>
    <w:rsid w:val="00142EF2"/>
    <w:rPr>
      <w:rFonts w:ascii="Tahoma" w:hAnsi="Tahoma" w:cs="Tahoma"/>
      <w:sz w:val="16"/>
      <w:szCs w:val="16"/>
      <w:lang w:eastAsia="es-MX"/>
    </w:rPr>
  </w:style>
  <w:style w:type="character" w:customStyle="1" w:styleId="PiedepginaCar">
    <w:name w:val="Pie de página Car"/>
    <w:basedOn w:val="Fuentedeprrafopredeter"/>
    <w:link w:val="Piedepgina"/>
    <w:uiPriority w:val="99"/>
    <w:rsid w:val="00DE194D"/>
    <w:rPr>
      <w:sz w:val="24"/>
      <w:szCs w:val="24"/>
      <w:lang w:eastAsia="es-MX"/>
    </w:rPr>
  </w:style>
  <w:style w:type="paragraph" w:styleId="Prrafodelista">
    <w:name w:val="List Paragraph"/>
    <w:basedOn w:val="Normal"/>
    <w:uiPriority w:val="34"/>
    <w:qFormat/>
    <w:rsid w:val="0048643C"/>
    <w:pPr>
      <w:ind w:left="720"/>
      <w:contextualSpacing/>
    </w:pPr>
  </w:style>
  <w:style w:type="paragraph" w:styleId="NormalWeb">
    <w:name w:val="Normal (Web)"/>
    <w:basedOn w:val="Normal"/>
    <w:uiPriority w:val="99"/>
    <w:semiHidden/>
    <w:unhideWhenUsed/>
    <w:rsid w:val="006E6B2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7855">
      <w:bodyDiv w:val="1"/>
      <w:marLeft w:val="0"/>
      <w:marRight w:val="0"/>
      <w:marTop w:val="0"/>
      <w:marBottom w:val="0"/>
      <w:divBdr>
        <w:top w:val="none" w:sz="0" w:space="0" w:color="auto"/>
        <w:left w:val="none" w:sz="0" w:space="0" w:color="auto"/>
        <w:bottom w:val="none" w:sz="0" w:space="0" w:color="auto"/>
        <w:right w:val="none" w:sz="0" w:space="0" w:color="auto"/>
      </w:divBdr>
      <w:divsChild>
        <w:div w:id="1074544084">
          <w:marLeft w:val="432"/>
          <w:marRight w:val="0"/>
          <w:marTop w:val="0"/>
          <w:marBottom w:val="0"/>
          <w:divBdr>
            <w:top w:val="none" w:sz="0" w:space="0" w:color="auto"/>
            <w:left w:val="none" w:sz="0" w:space="0" w:color="auto"/>
            <w:bottom w:val="none" w:sz="0" w:space="0" w:color="auto"/>
            <w:right w:val="none" w:sz="0" w:space="0" w:color="auto"/>
          </w:divBdr>
        </w:div>
        <w:div w:id="493574934">
          <w:marLeft w:val="432"/>
          <w:marRight w:val="0"/>
          <w:marTop w:val="0"/>
          <w:marBottom w:val="0"/>
          <w:divBdr>
            <w:top w:val="none" w:sz="0" w:space="0" w:color="auto"/>
            <w:left w:val="none" w:sz="0" w:space="0" w:color="auto"/>
            <w:bottom w:val="none" w:sz="0" w:space="0" w:color="auto"/>
            <w:right w:val="none" w:sz="0" w:space="0" w:color="auto"/>
          </w:divBdr>
        </w:div>
      </w:divsChild>
    </w:div>
    <w:div w:id="10816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1494</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LatinSys de Colombia</Company>
  <LinksUpToDate>false</LinksUpToDate>
  <CharactersWithSpaces>9692</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Porcell</dc:creator>
  <cp:lastModifiedBy>Luis Miguel Sabogal Camargo</cp:lastModifiedBy>
  <cp:revision>5</cp:revision>
  <cp:lastPrinted>2017-02-21T19:32:00Z</cp:lastPrinted>
  <dcterms:created xsi:type="dcterms:W3CDTF">2017-02-21T16:55:00Z</dcterms:created>
  <dcterms:modified xsi:type="dcterms:W3CDTF">2017-02-21T19:41:00Z</dcterms:modified>
</cp:coreProperties>
</file>