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27552AF1"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C518FF">
        <w:rPr>
          <w:rFonts w:ascii="Times New Roman" w:hAnsi="Times New Roman" w:cs="Times New Roman"/>
          <w:color w:val="auto"/>
        </w:rPr>
        <w:t>ABRIL</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C518FF">
        <w:rPr>
          <w:rFonts w:ascii="Times New Roman" w:hAnsi="Times New Roman" w:cs="Times New Roman"/>
          <w:color w:val="auto"/>
        </w:rPr>
        <w:t>0</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1E2BC3E2" w:rsidR="00622C07" w:rsidRDefault="00622C07" w:rsidP="00622C07">
      <w:pPr>
        <w:jc w:val="center"/>
        <w:rPr>
          <w:b/>
          <w:bCs/>
        </w:rPr>
      </w:pPr>
      <w:r w:rsidRPr="00995A1F">
        <w:rPr>
          <w:b/>
          <w:bCs/>
        </w:rPr>
        <w:t xml:space="preserve">VARIACIONES ACTIVOS </w:t>
      </w:r>
      <w:r w:rsidR="00C518FF">
        <w:rPr>
          <w:b/>
          <w:bCs/>
        </w:rPr>
        <w:t>ABRIL</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C518FF">
        <w:rPr>
          <w:b/>
          <w:bCs/>
        </w:rPr>
        <w:t>ABRIL</w:t>
      </w:r>
      <w:r w:rsidR="006E7B24" w:rsidRPr="00995A1F">
        <w:rPr>
          <w:b/>
          <w:bCs/>
        </w:rPr>
        <w:t xml:space="preserve"> </w:t>
      </w:r>
      <w:r w:rsidRPr="00995A1F">
        <w:rPr>
          <w:b/>
          <w:bCs/>
        </w:rPr>
        <w:t>DE 20</w:t>
      </w:r>
      <w:r w:rsidR="00DC3AE3">
        <w:rPr>
          <w:b/>
          <w:bCs/>
        </w:rPr>
        <w:t>20</w:t>
      </w:r>
    </w:p>
    <w:p w14:paraId="1006711F" w14:textId="622E78B1" w:rsidR="00C518FF" w:rsidRDefault="00C518FF" w:rsidP="00622C07">
      <w:pPr>
        <w:jc w:val="center"/>
        <w:rPr>
          <w:b/>
          <w:bCs/>
        </w:rPr>
      </w:pPr>
    </w:p>
    <w:p w14:paraId="2BD9149D" w14:textId="31F17281" w:rsidR="00C518FF" w:rsidRDefault="00C518FF" w:rsidP="00622C07">
      <w:pPr>
        <w:jc w:val="center"/>
        <w:rPr>
          <w:b/>
          <w:bCs/>
        </w:rPr>
      </w:pPr>
      <w:r w:rsidRPr="00C518FF">
        <w:rPr>
          <w:noProof/>
        </w:rPr>
        <w:drawing>
          <wp:inline distT="0" distB="0" distL="0" distR="0" wp14:anchorId="6D3462E8" wp14:editId="600F989C">
            <wp:extent cx="5612130" cy="25234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23490"/>
                    </a:xfrm>
                    <a:prstGeom prst="rect">
                      <a:avLst/>
                    </a:prstGeom>
                    <a:noFill/>
                    <a:ln>
                      <a:noFill/>
                    </a:ln>
                  </pic:spPr>
                </pic:pic>
              </a:graphicData>
            </a:graphic>
          </wp:inline>
        </w:drawing>
      </w:r>
    </w:p>
    <w:p w14:paraId="69D06CFF" w14:textId="7BF25218" w:rsidR="00E17375" w:rsidRDefault="00E17375" w:rsidP="00622C07">
      <w:pPr>
        <w:jc w:val="center"/>
        <w:rPr>
          <w:b/>
          <w:bCs/>
        </w:rPr>
      </w:pPr>
    </w:p>
    <w:p w14:paraId="2F787D96" w14:textId="7F169B7C" w:rsidR="00D75F2A" w:rsidRPr="00995A1F" w:rsidRDefault="000E3FCE" w:rsidP="00762DF6">
      <w:pPr>
        <w:jc w:val="both"/>
      </w:pPr>
      <w:r w:rsidRPr="00995A1F">
        <w:t xml:space="preserve">Los activos </w:t>
      </w:r>
      <w:r w:rsidR="00F86873" w:rsidRPr="00995A1F">
        <w:t xml:space="preserve">al corte de </w:t>
      </w:r>
      <w:r w:rsidR="00C518FF">
        <w:t>abril</w:t>
      </w:r>
      <w:r w:rsidR="00F86873" w:rsidRPr="00995A1F">
        <w:t xml:space="preserve"> de 202</w:t>
      </w:r>
      <w:r w:rsidR="00472C87">
        <w:t>1</w:t>
      </w:r>
      <w:r w:rsidRPr="00995A1F">
        <w:t xml:space="preserve"> presentan una variación de $</w:t>
      </w:r>
      <w:r w:rsidR="00C518FF">
        <w:t>8</w:t>
      </w:r>
      <w:r w:rsidR="00472C87" w:rsidRPr="00472C87">
        <w:t>.</w:t>
      </w:r>
      <w:r w:rsidR="00C518FF">
        <w:t>044</w:t>
      </w:r>
      <w:r w:rsidR="00472C87" w:rsidRPr="00472C87">
        <w:t>.</w:t>
      </w:r>
      <w:r w:rsidR="00C518FF">
        <w:t>651</w:t>
      </w:r>
      <w:r w:rsidR="00472C87" w:rsidRPr="00472C87">
        <w:t>.</w:t>
      </w:r>
      <w:r w:rsidR="00C518FF">
        <w:t>012</w:t>
      </w:r>
      <w:r w:rsidR="00D75120">
        <w:t xml:space="preserve"> </w:t>
      </w:r>
      <w:r w:rsidRPr="00995A1F">
        <w:t>miles</w:t>
      </w:r>
      <w:r w:rsidR="009254E9" w:rsidRPr="00995A1F">
        <w:t>,</w:t>
      </w:r>
      <w:r w:rsidRPr="00995A1F">
        <w:t xml:space="preserve"> </w:t>
      </w:r>
      <w:r w:rsidR="00C518FF">
        <w:t>en relación con</w:t>
      </w:r>
      <w:r w:rsidR="00E57852">
        <w:t xml:space="preserve"> </w:t>
      </w:r>
      <w:r w:rsidRPr="00995A1F">
        <w:t xml:space="preserve">los activos </w:t>
      </w:r>
      <w:r w:rsidR="005C712F" w:rsidRPr="00995A1F">
        <w:t>de</w:t>
      </w:r>
      <w:r w:rsidRPr="00995A1F">
        <w:t xml:space="preserve"> </w:t>
      </w:r>
      <w:r w:rsidR="00C518FF">
        <w:t>abril</w:t>
      </w:r>
      <w:r w:rsidRPr="00995A1F">
        <w:t xml:space="preserve"> de 20</w:t>
      </w:r>
      <w:r w:rsidR="00472C87">
        <w:t>20</w:t>
      </w:r>
      <w:r w:rsidRPr="00995A1F">
        <w:t xml:space="preserve"> y un incremento del </w:t>
      </w:r>
      <w:r w:rsidR="003215C6" w:rsidRPr="00995A1F">
        <w:t>1</w:t>
      </w:r>
      <w:r w:rsidR="00C518FF">
        <w:t>5</w:t>
      </w:r>
      <w:r w:rsidRPr="00995A1F">
        <w:t>.</w:t>
      </w:r>
      <w:r w:rsidR="00C518FF">
        <w:t>02</w:t>
      </w:r>
      <w:r w:rsidRPr="00995A1F">
        <w:t xml:space="preserve">% en términos corrientes. </w:t>
      </w:r>
    </w:p>
    <w:p w14:paraId="2D92EDDE" w14:textId="77777777" w:rsidR="00D75F2A" w:rsidRPr="00995A1F" w:rsidRDefault="00D75F2A" w:rsidP="00762DF6">
      <w:pPr>
        <w:jc w:val="both"/>
      </w:pPr>
    </w:p>
    <w:p w14:paraId="39B7EEAC" w14:textId="68F2DDE1"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C518FF" w:rsidRPr="00C518FF">
        <w:t>6.486.400.721</w:t>
      </w:r>
      <w:r w:rsidR="00C518FF">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C518FF" w:rsidRPr="00C518FF">
        <w:t>2.529.670.711</w:t>
      </w:r>
      <w:r w:rsidR="00C518FF">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4A500F2B" w:rsidR="002852E6" w:rsidRPr="00995A1F" w:rsidRDefault="00586B26" w:rsidP="00762DF6">
      <w:pPr>
        <w:jc w:val="both"/>
      </w:pPr>
      <w:r w:rsidRPr="00995A1F">
        <w:t>A continuación</w:t>
      </w:r>
      <w:r w:rsidR="00817E6D" w:rsidRPr="00995A1F">
        <w:t>,</w:t>
      </w:r>
      <w:r w:rsidRPr="00995A1F">
        <w:t xml:space="preserve"> se detallan las situaciones particulares de </w:t>
      </w:r>
      <w:r w:rsidR="000E31A9" w:rsidRPr="00995A1F">
        <w:t>estas variaciones</w:t>
      </w:r>
      <w:r w:rsidRPr="00995A1F">
        <w:t>:</w:t>
      </w:r>
    </w:p>
    <w:p w14:paraId="7D92E2D1" w14:textId="77777777" w:rsidR="008B19C5" w:rsidRPr="00995A1F" w:rsidRDefault="008B19C5"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42BCB2BE" w14:textId="70B25D78" w:rsidR="002B7A5F" w:rsidRDefault="002B7A5F" w:rsidP="002B7A5F">
      <w:pPr>
        <w:jc w:val="both"/>
      </w:pP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339D5085" w:rsidR="00F9227C" w:rsidRDefault="00F9227C" w:rsidP="002B7A5F">
      <w:pPr>
        <w:pStyle w:val="Prrafodelista"/>
        <w:ind w:left="0"/>
        <w:jc w:val="both"/>
      </w:pPr>
    </w:p>
    <w:p w14:paraId="3526CD38" w14:textId="77777777" w:rsidR="002F1190" w:rsidRDefault="002F1190"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4913A86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122F8215" w14:textId="439E283C" w:rsidR="00F15641" w:rsidRDefault="00F15641"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57A6003" w14:textId="375C04FC" w:rsidR="00F15641" w:rsidRDefault="00E47AD4"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E47AD4">
        <w:rPr>
          <w:noProof/>
        </w:rPr>
        <w:drawing>
          <wp:inline distT="0" distB="0" distL="0" distR="0" wp14:anchorId="2A95284B" wp14:editId="131305F7">
            <wp:extent cx="5612130" cy="1942465"/>
            <wp:effectExtent l="0" t="0" r="762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42465"/>
                    </a:xfrm>
                    <a:prstGeom prst="rect">
                      <a:avLst/>
                    </a:prstGeom>
                    <a:noFill/>
                    <a:ln>
                      <a:noFill/>
                    </a:ln>
                  </pic:spPr>
                </pic:pic>
              </a:graphicData>
            </a:graphic>
          </wp:inline>
        </w:drawing>
      </w:r>
    </w:p>
    <w:p w14:paraId="10F39EC5" w14:textId="7FB36493" w:rsidR="00F9227C" w:rsidRDefault="00F9227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2A82AC44"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E47AD4" w:rsidRPr="00E47AD4">
        <w:rPr>
          <w:rFonts w:ascii="Times New Roman" w:hAnsi="Times New Roman" w:cs="Times New Roman"/>
          <w:b w:val="0"/>
          <w:color w:val="auto"/>
          <w:lang w:val="es-ES"/>
        </w:rPr>
        <w:t>6.486.400.721</w:t>
      </w:r>
      <w:r w:rsidR="00E47AD4">
        <w:rPr>
          <w:rFonts w:ascii="Times New Roman" w:hAnsi="Times New Roman" w:cs="Times New Roman"/>
          <w:b w:val="0"/>
          <w:color w:val="auto"/>
          <w:lang w:val="es-ES"/>
        </w:rPr>
        <w:t xml:space="preserve"> </w:t>
      </w:r>
      <w:r w:rsidR="007A788D" w:rsidRPr="007A788D">
        <w:rPr>
          <w:rFonts w:ascii="Times New Roman" w:hAnsi="Times New Roman" w:cs="Times New Roman"/>
          <w:b w:val="0"/>
          <w:color w:val="auto"/>
          <w:lang w:val="es-ES"/>
        </w:rPr>
        <w:t>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a</w:t>
      </w:r>
      <w:r w:rsidR="00447058">
        <w:rPr>
          <w:rFonts w:ascii="Times New Roman" w:hAnsi="Times New Roman" w:cs="Times New Roman"/>
          <w:b w:val="0"/>
          <w:color w:val="auto"/>
          <w:lang w:val="es-ES"/>
        </w:rPr>
        <w:t xml:space="preserve"> </w:t>
      </w:r>
      <w:r w:rsidR="00E47AD4">
        <w:rPr>
          <w:rFonts w:ascii="Times New Roman" w:hAnsi="Times New Roman" w:cs="Times New Roman"/>
          <w:b w:val="0"/>
          <w:color w:val="auto"/>
          <w:lang w:val="es-ES"/>
        </w:rPr>
        <w:t>abril</w:t>
      </w:r>
      <w:r w:rsidR="007A788D">
        <w:rPr>
          <w:rFonts w:ascii="Times New Roman" w:hAnsi="Times New Roman" w:cs="Times New Roman"/>
          <w:b w:val="0"/>
          <w:color w:val="auto"/>
          <w:lang w:val="es-ES"/>
        </w:rPr>
        <w:t xml:space="preserve"> de 2021</w:t>
      </w:r>
      <w:r w:rsidR="004B2A17">
        <w:rPr>
          <w:rFonts w:ascii="Times New Roman" w:hAnsi="Times New Roman" w:cs="Times New Roman"/>
          <w:b w:val="0"/>
          <w:color w:val="auto"/>
          <w:lang w:val="es-ES"/>
        </w:rPr>
        <w:t>,</w:t>
      </w:r>
      <w:r w:rsidR="007A788D">
        <w:rPr>
          <w:rFonts w:ascii="Times New Roman" w:hAnsi="Times New Roman" w:cs="Times New Roman"/>
          <w:b w:val="0"/>
          <w:color w:val="auto"/>
          <w:lang w:val="es-ES"/>
        </w:rPr>
        <w:t xml:space="preserve"> </w:t>
      </w:r>
      <w:r w:rsidR="00E47AD4">
        <w:rPr>
          <w:rFonts w:ascii="Times New Roman" w:hAnsi="Times New Roman" w:cs="Times New Roman"/>
          <w:b w:val="0"/>
          <w:color w:val="auto"/>
          <w:lang w:val="es-ES"/>
        </w:rPr>
        <w:t xml:space="preserve">en relación </w:t>
      </w:r>
      <w:r w:rsidR="000D79A8">
        <w:rPr>
          <w:rFonts w:ascii="Times New Roman" w:hAnsi="Times New Roman" w:cs="Times New Roman"/>
          <w:b w:val="0"/>
          <w:color w:val="auto"/>
          <w:lang w:val="es-ES"/>
        </w:rPr>
        <w:t xml:space="preserve">con </w:t>
      </w:r>
      <w:r w:rsidR="006D0B5D">
        <w:rPr>
          <w:rFonts w:ascii="Times New Roman" w:hAnsi="Times New Roman" w:cs="Times New Roman"/>
          <w:b w:val="0"/>
          <w:color w:val="auto"/>
          <w:lang w:val="es-ES"/>
        </w:rPr>
        <w:t>abril</w:t>
      </w:r>
      <w:r w:rsidR="000D79A8">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6962CF0A"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 la vigencia 2020.</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2" w:name="_Hlk73001351"/>
      <w:r w:rsidRPr="000C0989">
        <w:rPr>
          <w:rFonts w:ascii="Times New Roman" w:hAnsi="Times New Roman"/>
          <w:b w:val="0"/>
          <w:bCs w:val="0"/>
        </w:rPr>
        <w:t>para incorporar y desincorporar gradualmente los activos y pasivos, priorizando</w:t>
      </w:r>
      <w:bookmarkEnd w:id="2"/>
      <w:r w:rsidRPr="000C0989">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02341FFC" w14:textId="77777777" w:rsidR="00EF4E57" w:rsidRDefault="00EF4E57"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41B1F85F" w14:textId="641A1C67" w:rsidR="000C0989" w:rsidRDefault="000C0989" w:rsidP="000C0989">
      <w:pPr>
        <w:ind w:left="708"/>
        <w:jc w:val="both"/>
      </w:pPr>
      <w:r w:rsidRPr="008B6ACE">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Default="00983D57" w:rsidP="000C0989">
      <w:pPr>
        <w:ind w:left="708"/>
        <w:jc w:val="both"/>
      </w:pPr>
    </w:p>
    <w:p w14:paraId="0B85DCA0" w14:textId="5A781B15" w:rsidR="000B557F" w:rsidRDefault="00D57C64" w:rsidP="003D6CE3">
      <w:pPr>
        <w:ind w:left="708"/>
        <w:jc w:val="both"/>
      </w:pPr>
      <w:r w:rsidRPr="0028358A">
        <w:t>El 12 de abril de</w:t>
      </w:r>
      <w:r w:rsidR="00803A31" w:rsidRPr="0028358A">
        <w:t xml:space="preserve">l </w:t>
      </w:r>
      <w:r w:rsidRPr="0028358A">
        <w:t>2021</w:t>
      </w:r>
      <w:r w:rsidR="00B11015" w:rsidRPr="0028358A">
        <w:t>, en</w:t>
      </w:r>
      <w:r w:rsidRPr="0028358A">
        <w:t xml:space="preserve"> mesa de trabajo </w:t>
      </w:r>
      <w:r w:rsidR="00B11015" w:rsidRPr="0028358A">
        <w:t xml:space="preserve">realizada </w:t>
      </w:r>
      <w:r w:rsidRPr="0028358A">
        <w:t>entre la Agencia Nacional de Infraestructura y la Aeronáutica Civil</w:t>
      </w:r>
      <w:r w:rsidR="00D7431E" w:rsidRPr="0028358A">
        <w:t xml:space="preserve"> </w:t>
      </w:r>
      <w:r w:rsidR="00B11015" w:rsidRPr="0028358A">
        <w:t xml:space="preserve">se </w:t>
      </w:r>
      <w:r w:rsidRPr="0028358A">
        <w:t>acord</w:t>
      </w:r>
      <w:r w:rsidR="00B11015" w:rsidRPr="0028358A">
        <w:t>ó</w:t>
      </w:r>
      <w:r w:rsidRPr="0028358A">
        <w:t xml:space="preserve"> el Plan de Trabajo</w:t>
      </w:r>
      <w:r w:rsidR="008E2B82" w:rsidRPr="0028358A">
        <w:t xml:space="preserve"> a presentar a</w:t>
      </w:r>
      <w:r w:rsidR="00803A31" w:rsidRPr="0028358A">
        <w:t xml:space="preserve"> la Alta dirección</w:t>
      </w:r>
      <w:r w:rsidR="00D7431E" w:rsidRPr="0028358A">
        <w:t>,</w:t>
      </w:r>
      <w:r w:rsidR="00803A31" w:rsidRPr="0028358A">
        <w:t xml:space="preserve"> para incorporar y desincorporar gradualmente los activos y pasivos</w:t>
      </w:r>
      <w:r w:rsidR="00A646E9" w:rsidRPr="0028358A">
        <w:t>.  Dentro de</w:t>
      </w:r>
      <w:r w:rsidR="00F833B9" w:rsidRPr="0028358A">
        <w:t xml:space="preserve"> </w:t>
      </w:r>
      <w:r w:rsidR="000B557F" w:rsidRPr="0028358A">
        <w:t>l</w:t>
      </w:r>
      <w:r w:rsidR="00F833B9" w:rsidRPr="0028358A">
        <w:t>as actividades contempladas, en el</w:t>
      </w:r>
      <w:r w:rsidR="000B557F" w:rsidRPr="0028358A">
        <w:t xml:space="preserve"> </w:t>
      </w:r>
      <w:r w:rsidR="00D7431E" w:rsidRPr="0028358A">
        <w:t>Plan</w:t>
      </w:r>
      <w:r w:rsidR="00F833B9" w:rsidRPr="0028358A">
        <w:t>,</w:t>
      </w:r>
      <w:r w:rsidR="000B557F" w:rsidRPr="0028358A">
        <w:t xml:space="preserve"> se establec</w:t>
      </w:r>
      <w:r w:rsidR="00B11015" w:rsidRPr="0028358A">
        <w:t>e</w:t>
      </w:r>
      <w:r w:rsidR="000B557F" w:rsidRPr="0028358A">
        <w:t xml:space="preserve"> </w:t>
      </w:r>
      <w:r w:rsidR="00A646E9" w:rsidRPr="0028358A">
        <w:t>entrega</w:t>
      </w:r>
      <w:r w:rsidR="00B11015" w:rsidRPr="0028358A">
        <w:t xml:space="preserve">r </w:t>
      </w:r>
      <w:r w:rsidR="00A646E9" w:rsidRPr="0028358A">
        <w:t>la información contable a la Aerocivil</w:t>
      </w:r>
      <w:r w:rsidR="000B557F" w:rsidRPr="0028358A">
        <w:t xml:space="preserve">, </w:t>
      </w:r>
      <w:r w:rsidR="00B11015" w:rsidRPr="0028358A">
        <w:t xml:space="preserve">iniciando </w:t>
      </w:r>
      <w:r w:rsidR="00803A31" w:rsidRPr="0028358A">
        <w:t>por el Aeropuerto Internacional El Dorado</w:t>
      </w:r>
      <w:r w:rsidR="00B11015" w:rsidRPr="0028358A">
        <w:t xml:space="preserve">.  Lo anterior, por </w:t>
      </w:r>
      <w:r w:rsidR="000B557F" w:rsidRPr="0028358A">
        <w:t>presentar</w:t>
      </w:r>
      <w:r w:rsidR="00B11015" w:rsidRPr="0028358A">
        <w:t xml:space="preserve"> este aeropuerto</w:t>
      </w:r>
      <w:r w:rsidR="000B557F" w:rsidRPr="0028358A">
        <w:t xml:space="preserve"> la mayor participación de activos y pasivos asociados al modo aeroportuario</w:t>
      </w:r>
      <w:r w:rsidR="00F833B9" w:rsidRPr="0028358A">
        <w:t>,</w:t>
      </w:r>
      <w:r w:rsidR="00D42819" w:rsidRPr="0028358A">
        <w:t xml:space="preserve"> </w:t>
      </w:r>
      <w:r w:rsidR="003D6CE3" w:rsidRPr="0028358A">
        <w:t>51</w:t>
      </w:r>
      <w:r w:rsidR="00F833B9" w:rsidRPr="0028358A">
        <w:t>.</w:t>
      </w:r>
      <w:r w:rsidR="003D6CE3" w:rsidRPr="0028358A">
        <w:t>1%</w:t>
      </w:r>
      <w:r w:rsidR="00A646E9" w:rsidRPr="0028358A">
        <w:t xml:space="preserve"> </w:t>
      </w:r>
      <w:r w:rsidR="003D6CE3" w:rsidRPr="0028358A">
        <w:t>y</w:t>
      </w:r>
      <w:r w:rsidR="00D42819" w:rsidRPr="0028358A">
        <w:t xml:space="preserve"> </w:t>
      </w:r>
      <w:r w:rsidR="003D6CE3" w:rsidRPr="0028358A">
        <w:t>32</w:t>
      </w:r>
      <w:r w:rsidR="00F833B9" w:rsidRPr="0028358A">
        <w:t>.</w:t>
      </w:r>
      <w:r w:rsidR="003D6CE3" w:rsidRPr="0028358A">
        <w:t>8% respectivamente.</w:t>
      </w: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0035B210" w:rsidR="00F53B11"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995A1F">
        <w:rPr>
          <w:rFonts w:ascii="Times New Roman" w:hAnsi="Times New Roman" w:cs="Times New Roman"/>
          <w:b w:val="0"/>
          <w:color w:val="auto"/>
          <w:lang w:val="es-ES"/>
        </w:rPr>
        <w:t>.</w:t>
      </w:r>
    </w:p>
    <w:p w14:paraId="37480B7B" w14:textId="77777777" w:rsidR="002F1190" w:rsidRPr="00995A1F" w:rsidRDefault="002F1190"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41CAB897" w14:textId="61ED49B2"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01AA2D43" w14:textId="406D49E6"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t>OTROS DERECHOS Y GARANTÍAS</w:t>
      </w:r>
      <w:r w:rsidR="00F6153D" w:rsidRPr="00995A1F">
        <w:rPr>
          <w:rFonts w:ascii="Times New Roman" w:hAnsi="Times New Roman" w:cs="Times New Roman"/>
          <w:bCs w:val="0"/>
          <w:color w:val="auto"/>
          <w:lang w:val="es-ES"/>
        </w:rPr>
        <w:t xml:space="preserve"> – COMPOSICIÓN</w:t>
      </w:r>
    </w:p>
    <w:p w14:paraId="3BB8E29C" w14:textId="3EDA3D49" w:rsidR="00B73CC6" w:rsidRDefault="00B73CC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556DDF5A" w14:textId="731E649F" w:rsidR="00B73CC6" w:rsidRDefault="00B73CC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0071B4C" w14:textId="145C7607" w:rsidR="00B73CC6" w:rsidRDefault="00B73CC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73CC6">
        <w:rPr>
          <w:noProof/>
        </w:rPr>
        <w:drawing>
          <wp:inline distT="0" distB="0" distL="0" distR="0" wp14:anchorId="1FF6EC2A" wp14:editId="7D0433DC">
            <wp:extent cx="5612130" cy="120459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04595"/>
                    </a:xfrm>
                    <a:prstGeom prst="rect">
                      <a:avLst/>
                    </a:prstGeom>
                    <a:noFill/>
                    <a:ln>
                      <a:noFill/>
                    </a:ln>
                  </pic:spPr>
                </pic:pic>
              </a:graphicData>
            </a:graphic>
          </wp:inline>
        </w:drawing>
      </w:r>
    </w:p>
    <w:p w14:paraId="5916A256" w14:textId="545EA5D7" w:rsidR="006A66E2" w:rsidRDefault="006A66E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E0D18D3" w14:textId="1D8E27F9" w:rsidR="006A66E2" w:rsidRDefault="006A66E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1A031DA" w14:textId="77777777" w:rsidR="00E00093"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68986FEB"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7A836110" w14:textId="0560D7B4" w:rsidR="009C4B71" w:rsidRDefault="009C4B7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p>
    <w:p w14:paraId="6F3FC192" w14:textId="28DB2B89" w:rsidR="00B73CC6" w:rsidRDefault="00B73CC6"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r w:rsidRPr="00B73CC6">
        <w:rPr>
          <w:noProof/>
        </w:rPr>
        <w:drawing>
          <wp:inline distT="0" distB="0" distL="0" distR="0" wp14:anchorId="696C4B8B" wp14:editId="706B4B92">
            <wp:extent cx="5437819" cy="87923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4994" cy="883625"/>
                    </a:xfrm>
                    <a:prstGeom prst="rect">
                      <a:avLst/>
                    </a:prstGeom>
                    <a:noFill/>
                    <a:ln>
                      <a:noFill/>
                    </a:ln>
                  </pic:spPr>
                </pic:pic>
              </a:graphicData>
            </a:graphic>
          </wp:inline>
        </w:drawing>
      </w:r>
    </w:p>
    <w:p w14:paraId="27A6363C" w14:textId="77777777" w:rsidR="00B73CC6" w:rsidRDefault="00B73CC6"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p>
    <w:p w14:paraId="19835F8D" w14:textId="08A303B5"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presentado</w:t>
      </w:r>
      <w:r w:rsidR="00B73CC6">
        <w:rPr>
          <w:rFonts w:ascii="Times New Roman" w:hAnsi="Times New Roman" w:cs="Times New Roman"/>
          <w:b w:val="0"/>
          <w:color w:val="auto"/>
          <w:lang w:val="es-ES"/>
        </w:rPr>
        <w:t>, en abril de 2021 respecto a abril de 2021,</w:t>
      </w:r>
      <w:r w:rsidR="004C079B" w:rsidRPr="00995A1F">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B73CC6" w:rsidRPr="00B73CC6">
        <w:rPr>
          <w:rFonts w:ascii="Times New Roman" w:hAnsi="Times New Roman" w:cs="Times New Roman"/>
          <w:b w:val="0"/>
          <w:color w:val="auto"/>
          <w:lang w:val="es-ES"/>
        </w:rPr>
        <w:t xml:space="preserve">2.529.670.711 </w:t>
      </w:r>
      <w:r w:rsidRPr="00995A1F">
        <w:rPr>
          <w:rFonts w:ascii="Times New Roman" w:hAnsi="Times New Roman" w:cs="Times New Roman"/>
          <w:b w:val="0"/>
          <w:color w:val="auto"/>
          <w:lang w:val="es-ES"/>
        </w:rPr>
        <w:t xml:space="preserve">miles,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06D16854"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B73CC6" w:rsidRPr="00B73CC6">
        <w:t xml:space="preserve"> </w:t>
      </w:r>
      <w:r w:rsidR="00B73CC6" w:rsidRPr="00B73CC6">
        <w:rPr>
          <w:rFonts w:ascii="Times New Roman" w:hAnsi="Times New Roman" w:cs="Times New Roman"/>
          <w:b w:val="0"/>
          <w:color w:val="auto"/>
          <w:lang w:val="es-ES"/>
        </w:rPr>
        <w:t>1.908.019.349</w:t>
      </w:r>
      <w:r w:rsidR="009C4B71">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0CE2C6CB" w:rsidR="002C164B"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B73CC6">
        <w:rPr>
          <w:rFonts w:ascii="Times New Roman" w:hAnsi="Times New Roman" w:cs="Times New Roman"/>
          <w:b w:val="0"/>
          <w:color w:val="auto"/>
          <w:lang w:val="es-ES"/>
        </w:rPr>
        <w:t>484</w:t>
      </w:r>
      <w:r w:rsidR="00105E85" w:rsidRPr="00105E85">
        <w:rPr>
          <w:rFonts w:ascii="Times New Roman" w:hAnsi="Times New Roman" w:cs="Times New Roman"/>
          <w:b w:val="0"/>
          <w:color w:val="auto"/>
          <w:lang w:val="es-ES"/>
        </w:rPr>
        <w:t>.</w:t>
      </w:r>
      <w:r w:rsidR="00B73CC6">
        <w:rPr>
          <w:rFonts w:ascii="Times New Roman" w:hAnsi="Times New Roman" w:cs="Times New Roman"/>
          <w:b w:val="0"/>
          <w:color w:val="auto"/>
          <w:lang w:val="es-ES"/>
        </w:rPr>
        <w:t>455</w:t>
      </w:r>
      <w:r w:rsidR="00105E85" w:rsidRPr="00105E85">
        <w:rPr>
          <w:rFonts w:ascii="Times New Roman" w:hAnsi="Times New Roman" w:cs="Times New Roman"/>
          <w:b w:val="0"/>
          <w:color w:val="auto"/>
          <w:lang w:val="es-ES"/>
        </w:rPr>
        <w:t>.</w:t>
      </w:r>
      <w:r w:rsidR="00B73CC6">
        <w:rPr>
          <w:rFonts w:ascii="Times New Roman" w:hAnsi="Times New Roman" w:cs="Times New Roman"/>
          <w:b w:val="0"/>
          <w:color w:val="auto"/>
          <w:lang w:val="es-ES"/>
        </w:rPr>
        <w:t>171</w:t>
      </w:r>
      <w:r w:rsidR="00105E85">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B73CC6">
        <w:rPr>
          <w:rFonts w:ascii="Times New Roman" w:hAnsi="Times New Roman" w:cs="Times New Roman"/>
          <w:b w:val="0"/>
          <w:color w:val="auto"/>
          <w:lang w:val="es-ES"/>
        </w:rPr>
        <w:t xml:space="preserve">por incremento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B73CC6">
        <w:rPr>
          <w:rFonts w:ascii="Times New Roman" w:hAnsi="Times New Roman" w:cs="Times New Roman"/>
          <w:b w:val="0"/>
          <w:color w:val="auto"/>
          <w:lang w:val="es-ES"/>
        </w:rPr>
        <w:t>532.199.179</w:t>
      </w:r>
      <w:r w:rsidR="00F05F5C">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el </w:t>
      </w:r>
      <w:r w:rsidR="00D51F8A" w:rsidRPr="00995A1F">
        <w:rPr>
          <w:rFonts w:ascii="Times New Roman" w:hAnsi="Times New Roman" w:cs="Times New Roman"/>
          <w:b w:val="0"/>
          <w:color w:val="auto"/>
          <w:lang w:val="es-ES"/>
        </w:rPr>
        <w:t>patrimonio</w:t>
      </w:r>
      <w:r w:rsidRPr="00995A1F">
        <w:rPr>
          <w:rFonts w:ascii="Times New Roman" w:hAnsi="Times New Roman" w:cs="Times New Roman"/>
          <w:b w:val="0"/>
          <w:color w:val="auto"/>
          <w:lang w:val="es-ES"/>
        </w:rPr>
        <w:t xml:space="preserve"> </w:t>
      </w:r>
      <w:r w:rsidR="00D51F8A" w:rsidRPr="00995A1F">
        <w:rPr>
          <w:rFonts w:ascii="Times New Roman" w:hAnsi="Times New Roman" w:cs="Times New Roman"/>
          <w:b w:val="0"/>
          <w:color w:val="auto"/>
          <w:lang w:val="es-ES"/>
        </w:rPr>
        <w:t>autónomo</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en los contratos de </w:t>
      </w:r>
      <w:r w:rsidR="00FE0B96" w:rsidRPr="00995A1F">
        <w:rPr>
          <w:rFonts w:ascii="Times New Roman" w:hAnsi="Times New Roman" w:cs="Times New Roman"/>
          <w:b w:val="0"/>
          <w:color w:val="auto"/>
          <w:lang w:val="es-ES"/>
        </w:rPr>
        <w:t>concesión</w:t>
      </w:r>
      <w:r w:rsidR="00B55506">
        <w:rPr>
          <w:rFonts w:ascii="Times New Roman" w:hAnsi="Times New Roman" w:cs="Times New Roman"/>
          <w:b w:val="0"/>
          <w:color w:val="auto"/>
          <w:lang w:val="es-ES"/>
        </w:rPr>
        <w:t>.</w:t>
      </w:r>
    </w:p>
    <w:p w14:paraId="7BD608D9" w14:textId="77777777" w:rsidR="002C164B" w:rsidRDefault="002C164B" w:rsidP="002C164B">
      <w:pPr>
        <w:pStyle w:val="Prrafodelista"/>
        <w:rPr>
          <w:b/>
        </w:rPr>
      </w:pPr>
    </w:p>
    <w:p w14:paraId="33E4EAE1" w14:textId="5E6FED82" w:rsidR="00FE0B96" w:rsidRDefault="00975A5D"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lang w:val="es-ES"/>
        </w:rPr>
      </w:pPr>
      <w:r>
        <w:rPr>
          <w:rFonts w:ascii="Times New Roman" w:hAnsi="Times New Roman" w:cs="Times New Roman"/>
          <w:b w:val="0"/>
          <w:color w:val="auto"/>
          <w:lang w:val="es-ES"/>
        </w:rPr>
        <w:t>Adicionalmente</w:t>
      </w:r>
      <w:r w:rsidR="00A7782B">
        <w:rPr>
          <w:rFonts w:ascii="Times New Roman" w:hAnsi="Times New Roman" w:cs="Times New Roman"/>
          <w:b w:val="0"/>
          <w:color w:val="auto"/>
          <w:lang w:val="es-ES"/>
        </w:rPr>
        <w:t>,</w:t>
      </w:r>
      <w:r w:rsidR="00002F13">
        <w:rPr>
          <w:rFonts w:ascii="Times New Roman" w:hAnsi="Times New Roman" w:cs="Times New Roman"/>
          <w:b w:val="0"/>
          <w:color w:val="auto"/>
          <w:lang w:val="es-ES"/>
        </w:rPr>
        <w:t xml:space="preserve"> se presentó variaci</w:t>
      </w:r>
      <w:r w:rsidR="00D063DF">
        <w:rPr>
          <w:rFonts w:ascii="Times New Roman" w:hAnsi="Times New Roman" w:cs="Times New Roman"/>
          <w:b w:val="0"/>
          <w:color w:val="auto"/>
          <w:lang w:val="es-ES"/>
        </w:rPr>
        <w:t>o</w:t>
      </w:r>
      <w:r w:rsidR="002321C9">
        <w:rPr>
          <w:rFonts w:ascii="Times New Roman" w:hAnsi="Times New Roman" w:cs="Times New Roman"/>
          <w:b w:val="0"/>
          <w:color w:val="auto"/>
          <w:lang w:val="es-ES"/>
        </w:rPr>
        <w:t>nes</w:t>
      </w:r>
      <w:r w:rsidR="00002F13">
        <w:rPr>
          <w:rFonts w:ascii="Times New Roman" w:hAnsi="Times New Roman" w:cs="Times New Roman"/>
          <w:b w:val="0"/>
          <w:color w:val="auto"/>
          <w:lang w:val="es-ES"/>
        </w:rPr>
        <w:t xml:space="preserve"> por disminuci</w:t>
      </w:r>
      <w:r w:rsidR="00D063DF">
        <w:rPr>
          <w:rFonts w:ascii="Times New Roman" w:hAnsi="Times New Roman" w:cs="Times New Roman"/>
          <w:b w:val="0"/>
          <w:color w:val="auto"/>
          <w:lang w:val="es-ES"/>
        </w:rPr>
        <w:t>ones</w:t>
      </w:r>
      <w:r w:rsidR="00002F13">
        <w:rPr>
          <w:rFonts w:ascii="Times New Roman" w:hAnsi="Times New Roman" w:cs="Times New Roman"/>
          <w:b w:val="0"/>
          <w:color w:val="auto"/>
          <w:lang w:val="es-ES"/>
        </w:rPr>
        <w:t xml:space="preserve"> </w:t>
      </w:r>
      <w:r w:rsidR="00D063DF">
        <w:rPr>
          <w:rFonts w:ascii="Times New Roman" w:hAnsi="Times New Roman" w:cs="Times New Roman"/>
          <w:b w:val="0"/>
          <w:color w:val="auto"/>
          <w:lang w:val="es-ES"/>
        </w:rPr>
        <w:t>en</w:t>
      </w:r>
      <w:r w:rsidR="00002F13">
        <w:rPr>
          <w:rFonts w:ascii="Times New Roman" w:hAnsi="Times New Roman" w:cs="Times New Roman"/>
          <w:b w:val="0"/>
          <w:color w:val="auto"/>
          <w:lang w:val="es-ES"/>
        </w:rPr>
        <w:t xml:space="preserve"> </w:t>
      </w:r>
      <w:r w:rsidR="008E6B62">
        <w:rPr>
          <w:rFonts w:ascii="Times New Roman" w:hAnsi="Times New Roman" w:cs="Times New Roman"/>
          <w:b w:val="0"/>
          <w:color w:val="auto"/>
          <w:lang w:val="es-ES"/>
        </w:rPr>
        <w:t>los códigos</w:t>
      </w:r>
      <w:r w:rsidR="00002F13">
        <w:rPr>
          <w:rFonts w:ascii="Times New Roman" w:hAnsi="Times New Roman" w:cs="Times New Roman"/>
          <w:b w:val="0"/>
          <w:color w:val="auto"/>
          <w:lang w:val="es-ES"/>
        </w:rPr>
        <w:t xml:space="preserve"> </w:t>
      </w:r>
      <w:r w:rsidR="006E2FF1">
        <w:rPr>
          <w:rFonts w:ascii="Times New Roman" w:hAnsi="Times New Roman" w:cs="Times New Roman"/>
          <w:b w:val="0"/>
          <w:color w:val="auto"/>
          <w:lang w:val="es-ES"/>
        </w:rPr>
        <w:t xml:space="preserve">auxiliares </w:t>
      </w:r>
      <w:r w:rsidR="00002F13" w:rsidRPr="008A5F60">
        <w:rPr>
          <w:rFonts w:ascii="Times New Roman" w:hAnsi="Times New Roman" w:cs="Times New Roman"/>
          <w:b w:val="0"/>
          <w:i/>
          <w:iCs/>
          <w:color w:val="auto"/>
          <w:lang w:val="es-ES"/>
        </w:rPr>
        <w:t xml:space="preserve">En administración </w:t>
      </w:r>
      <w:proofErr w:type="spellStart"/>
      <w:r w:rsidR="00002F13" w:rsidRPr="008A5F60">
        <w:rPr>
          <w:rFonts w:ascii="Times New Roman" w:hAnsi="Times New Roman" w:cs="Times New Roman"/>
          <w:b w:val="0"/>
          <w:i/>
          <w:iCs/>
          <w:color w:val="auto"/>
          <w:lang w:val="es-ES"/>
        </w:rPr>
        <w:t>dtn</w:t>
      </w:r>
      <w:proofErr w:type="spellEnd"/>
      <w:r w:rsidR="00002F13" w:rsidRPr="008A5F60">
        <w:rPr>
          <w:rFonts w:ascii="Times New Roman" w:hAnsi="Times New Roman" w:cs="Times New Roman"/>
          <w:b w:val="0"/>
          <w:i/>
          <w:iCs/>
          <w:color w:val="auto"/>
          <w:lang w:val="es-ES"/>
        </w:rPr>
        <w:t xml:space="preserve"> – </w:t>
      </w:r>
      <w:proofErr w:type="spellStart"/>
      <w:r w:rsidR="00002F13" w:rsidRPr="008A5F60">
        <w:rPr>
          <w:rFonts w:ascii="Times New Roman" w:hAnsi="Times New Roman" w:cs="Times New Roman"/>
          <w:b w:val="0"/>
          <w:i/>
          <w:iCs/>
          <w:color w:val="auto"/>
          <w:lang w:val="es-ES"/>
        </w:rPr>
        <w:t>scun</w:t>
      </w:r>
      <w:proofErr w:type="spellEnd"/>
      <w:r w:rsidR="00002F13">
        <w:rPr>
          <w:rFonts w:ascii="Times New Roman" w:hAnsi="Times New Roman" w:cs="Times New Roman"/>
          <w:b w:val="0"/>
          <w:color w:val="auto"/>
          <w:lang w:val="es-ES"/>
        </w:rPr>
        <w:t xml:space="preserve"> por valor de $</w:t>
      </w:r>
      <w:r w:rsidR="00552437">
        <w:rPr>
          <w:rFonts w:ascii="Times New Roman" w:hAnsi="Times New Roman" w:cs="Times New Roman"/>
          <w:b w:val="0"/>
          <w:color w:val="auto"/>
          <w:lang w:val="es-ES"/>
        </w:rPr>
        <w:t>-</w:t>
      </w:r>
      <w:r w:rsidR="008E6B62">
        <w:rPr>
          <w:rFonts w:ascii="Times New Roman" w:hAnsi="Times New Roman" w:cs="Times New Roman"/>
          <w:b w:val="0"/>
          <w:color w:val="auto"/>
          <w:lang w:val="es-ES"/>
        </w:rPr>
        <w:t>35</w:t>
      </w:r>
      <w:r w:rsidR="00552437">
        <w:rPr>
          <w:rFonts w:ascii="Times New Roman" w:hAnsi="Times New Roman" w:cs="Times New Roman"/>
          <w:b w:val="0"/>
          <w:color w:val="auto"/>
          <w:lang w:val="es-ES"/>
        </w:rPr>
        <w:t>.</w:t>
      </w:r>
      <w:r w:rsidR="008E6B62">
        <w:rPr>
          <w:rFonts w:ascii="Times New Roman" w:hAnsi="Times New Roman" w:cs="Times New Roman"/>
          <w:b w:val="0"/>
          <w:color w:val="auto"/>
          <w:lang w:val="es-ES"/>
        </w:rPr>
        <w:t>852</w:t>
      </w:r>
      <w:r w:rsidR="00552437">
        <w:rPr>
          <w:rFonts w:ascii="Times New Roman" w:hAnsi="Times New Roman" w:cs="Times New Roman"/>
          <w:b w:val="0"/>
          <w:color w:val="auto"/>
          <w:lang w:val="es-ES"/>
        </w:rPr>
        <w:t>.</w:t>
      </w:r>
      <w:r w:rsidR="008E6B62">
        <w:rPr>
          <w:rFonts w:ascii="Times New Roman" w:hAnsi="Times New Roman" w:cs="Times New Roman"/>
          <w:b w:val="0"/>
          <w:color w:val="auto"/>
          <w:lang w:val="es-ES"/>
        </w:rPr>
        <w:t>90</w:t>
      </w:r>
      <w:r w:rsidR="00262378">
        <w:rPr>
          <w:rFonts w:ascii="Times New Roman" w:hAnsi="Times New Roman" w:cs="Times New Roman"/>
          <w:b w:val="0"/>
          <w:color w:val="auto"/>
          <w:lang w:val="es-ES"/>
        </w:rPr>
        <w:t>8</w:t>
      </w:r>
      <w:r w:rsidR="00002F13">
        <w:rPr>
          <w:rFonts w:ascii="Times New Roman" w:hAnsi="Times New Roman" w:cs="Times New Roman"/>
          <w:b w:val="0"/>
          <w:color w:val="auto"/>
          <w:lang w:val="es-ES"/>
        </w:rPr>
        <w:t xml:space="preserve"> miles y </w:t>
      </w:r>
      <w:r w:rsidR="00002F13" w:rsidRPr="008A5F60">
        <w:rPr>
          <w:rFonts w:ascii="Times New Roman" w:hAnsi="Times New Roman" w:cs="Times New Roman"/>
          <w:b w:val="0"/>
          <w:i/>
          <w:iCs/>
          <w:color w:val="auto"/>
          <w:lang w:val="es-ES"/>
        </w:rPr>
        <w:t>E</w:t>
      </w:r>
      <w:r w:rsidR="00B55506" w:rsidRPr="008A5F60">
        <w:rPr>
          <w:rFonts w:ascii="Times New Roman" w:hAnsi="Times New Roman" w:cs="Times New Roman"/>
          <w:b w:val="0"/>
          <w:i/>
          <w:iCs/>
          <w:color w:val="auto"/>
          <w:lang w:val="es-ES"/>
        </w:rPr>
        <w:t>n Administración</w:t>
      </w:r>
      <w:r w:rsidR="00B55506">
        <w:rPr>
          <w:rFonts w:ascii="Times New Roman" w:hAnsi="Times New Roman" w:cs="Times New Roman"/>
          <w:b w:val="0"/>
          <w:color w:val="auto"/>
          <w:lang w:val="es-ES"/>
        </w:rPr>
        <w:t xml:space="preserve"> por valor de</w:t>
      </w:r>
      <w:r w:rsidR="006D4628" w:rsidRPr="00995A1F">
        <w:rPr>
          <w:rFonts w:ascii="Times New Roman" w:hAnsi="Times New Roman" w:cs="Times New Roman"/>
          <w:b w:val="0"/>
          <w:color w:val="auto"/>
          <w:lang w:val="es-ES"/>
        </w:rPr>
        <w:t xml:space="preserve"> </w:t>
      </w:r>
      <w:r w:rsidR="0091277B">
        <w:rPr>
          <w:rFonts w:ascii="Times New Roman" w:hAnsi="Times New Roman" w:cs="Times New Roman"/>
          <w:b w:val="0"/>
          <w:color w:val="auto"/>
          <w:lang w:val="es-ES"/>
        </w:rPr>
        <w:t>$</w:t>
      </w:r>
      <w:r w:rsidR="0091277B" w:rsidRPr="0091277B">
        <w:rPr>
          <w:rFonts w:ascii="Times New Roman" w:hAnsi="Times New Roman" w:cs="Times New Roman"/>
          <w:b w:val="0"/>
          <w:color w:val="auto"/>
          <w:lang w:val="es-ES"/>
        </w:rPr>
        <w:t xml:space="preserve">-11.891.100 </w:t>
      </w:r>
      <w:r w:rsidR="00002F13">
        <w:rPr>
          <w:rFonts w:ascii="Times New Roman" w:hAnsi="Times New Roman" w:cs="Times New Roman"/>
          <w:b w:val="0"/>
          <w:color w:val="auto"/>
          <w:lang w:val="es-ES"/>
        </w:rPr>
        <w:t>miles,</w:t>
      </w:r>
      <w:r w:rsidR="006D4628" w:rsidRPr="00995A1F">
        <w:rPr>
          <w:rFonts w:ascii="Times New Roman" w:hAnsi="Times New Roman" w:cs="Times New Roman"/>
          <w:b w:val="0"/>
          <w:color w:val="auto"/>
          <w:lang w:val="es-ES"/>
        </w:rPr>
        <w:t xml:space="preserve"> en virtud de la</w:t>
      </w:r>
      <w:r w:rsidR="00A7782B">
        <w:rPr>
          <w:rFonts w:ascii="Times New Roman" w:hAnsi="Times New Roman" w:cs="Times New Roman"/>
          <w:b w:val="0"/>
          <w:color w:val="auto"/>
          <w:lang w:val="es-ES"/>
        </w:rPr>
        <w:t>s</w:t>
      </w:r>
      <w:r w:rsidR="006D4628" w:rsidRPr="00995A1F">
        <w:rPr>
          <w:rFonts w:ascii="Times New Roman" w:hAnsi="Times New Roman" w:cs="Times New Roman"/>
          <w:b w:val="0"/>
          <w:color w:val="auto"/>
          <w:lang w:val="es-ES"/>
        </w:rPr>
        <w:t xml:space="preserve"> ejecuci</w:t>
      </w:r>
      <w:r w:rsidR="00A7782B">
        <w:rPr>
          <w:rFonts w:ascii="Times New Roman" w:hAnsi="Times New Roman" w:cs="Times New Roman"/>
          <w:b w:val="0"/>
          <w:color w:val="auto"/>
          <w:lang w:val="es-ES"/>
        </w:rPr>
        <w:t>ones</w:t>
      </w:r>
      <w:r w:rsidR="006D4628" w:rsidRPr="00995A1F">
        <w:rPr>
          <w:rFonts w:ascii="Times New Roman" w:hAnsi="Times New Roman" w:cs="Times New Roman"/>
          <w:b w:val="0"/>
          <w:color w:val="auto"/>
          <w:lang w:val="es-ES"/>
        </w:rPr>
        <w:t xml:space="preserve"> de los convenios interadministrativos</w:t>
      </w:r>
      <w:r w:rsidR="00002F13">
        <w:rPr>
          <w:rFonts w:ascii="Times New Roman" w:hAnsi="Times New Roman" w:cs="Times New Roman"/>
          <w:b w:val="0"/>
          <w:color w:val="auto"/>
          <w:lang w:val="es-ES"/>
        </w:rPr>
        <w:t xml:space="preserve"> </w:t>
      </w:r>
      <w:r w:rsidR="00056622">
        <w:rPr>
          <w:rFonts w:ascii="Times New Roman" w:hAnsi="Times New Roman" w:cs="Times New Roman"/>
          <w:b w:val="0"/>
          <w:color w:val="auto"/>
          <w:lang w:val="es-ES"/>
        </w:rPr>
        <w:t xml:space="preserve">suscritos entre </w:t>
      </w:r>
      <w:r w:rsidR="00002F13">
        <w:rPr>
          <w:rFonts w:ascii="Times New Roman" w:hAnsi="Times New Roman" w:cs="Times New Roman"/>
          <w:b w:val="0"/>
          <w:color w:val="auto"/>
          <w:lang w:val="es-ES"/>
        </w:rPr>
        <w:t xml:space="preserve">la Agencia </w:t>
      </w:r>
      <w:r w:rsidR="00056622">
        <w:rPr>
          <w:rFonts w:ascii="Times New Roman" w:hAnsi="Times New Roman" w:cs="Times New Roman"/>
          <w:b w:val="0"/>
          <w:color w:val="auto"/>
          <w:lang w:val="es-ES"/>
        </w:rPr>
        <w:t>y</w:t>
      </w:r>
      <w:r w:rsidR="00002F13">
        <w:rPr>
          <w:rFonts w:ascii="Times New Roman" w:hAnsi="Times New Roman" w:cs="Times New Roman"/>
          <w:b w:val="0"/>
          <w:color w:val="auto"/>
          <w:lang w:val="es-ES"/>
        </w:rPr>
        <w:t xml:space="preserve"> entidades diferentes a entidades fiduciarias.</w:t>
      </w:r>
    </w:p>
    <w:p w14:paraId="293BB0E3" w14:textId="77777777" w:rsidR="00ED05F1" w:rsidRPr="00EF4E57" w:rsidRDefault="00ED05F1" w:rsidP="00ED05F1">
      <w:pPr>
        <w:pStyle w:val="Prrafodelista"/>
        <w:rPr>
          <w:b/>
          <w:sz w:val="10"/>
          <w:szCs w:val="10"/>
        </w:rPr>
      </w:pPr>
    </w:p>
    <w:p w14:paraId="3A9F7A31" w14:textId="6F6AE6F9"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3A5B1F">
        <w:rPr>
          <w:bCs/>
        </w:rPr>
        <w:t xml:space="preserve">El aumento presentado en la cuenta </w:t>
      </w:r>
      <w:r w:rsidRPr="003A5B1F">
        <w:rPr>
          <w:bCs/>
          <w:i/>
          <w:iCs/>
        </w:rPr>
        <w:t>1.9.70 Activos intangibles</w:t>
      </w:r>
      <w:r w:rsidRPr="003A5B1F">
        <w:rPr>
          <w:bCs/>
        </w:rPr>
        <w:t xml:space="preserve">, por valor de </w:t>
      </w:r>
      <w:r w:rsidR="007828AA" w:rsidRPr="003A5B1F">
        <w:rPr>
          <w:bCs/>
        </w:rPr>
        <w:t>$</w:t>
      </w:r>
      <w:r w:rsidR="007828AA" w:rsidRPr="00021EEE">
        <w:rPr>
          <w:bCs/>
        </w:rPr>
        <w:t>13</w:t>
      </w:r>
      <w:r w:rsidR="000064B9">
        <w:rPr>
          <w:bCs/>
        </w:rPr>
        <w:t>5</w:t>
      </w:r>
      <w:r w:rsidR="007828AA" w:rsidRPr="00021EEE">
        <w:rPr>
          <w:bCs/>
        </w:rPr>
        <w:t>.</w:t>
      </w:r>
      <w:r w:rsidR="000064B9">
        <w:rPr>
          <w:bCs/>
        </w:rPr>
        <w:t>048</w:t>
      </w:r>
      <w:r w:rsidR="007828AA" w:rsidRPr="00021EEE">
        <w:rPr>
          <w:bCs/>
        </w:rPr>
        <w:t>.</w:t>
      </w:r>
      <w:r w:rsidR="000064B9">
        <w:rPr>
          <w:bCs/>
        </w:rPr>
        <w:t>120</w:t>
      </w:r>
      <w:r w:rsidR="007828AA">
        <w:rPr>
          <w:bCs/>
        </w:rPr>
        <w:t xml:space="preserve"> </w:t>
      </w:r>
      <w:r w:rsidRPr="003A5B1F">
        <w:rPr>
          <w:bCs/>
        </w:rPr>
        <w:t xml:space="preserve">miles, </w:t>
      </w:r>
      <w:r w:rsidR="00545B3F">
        <w:rPr>
          <w:bCs/>
        </w:rPr>
        <w:t xml:space="preserve">obedece </w:t>
      </w:r>
      <w:r w:rsidR="003A5B1F">
        <w:rPr>
          <w:bCs/>
        </w:rPr>
        <w:t xml:space="preserve">principalmente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7828AA" w:rsidRPr="007828AA">
        <w:rPr>
          <w:bCs/>
        </w:rPr>
        <w:t>134.218.848</w:t>
      </w:r>
      <w:r w:rsidR="00021EEE">
        <w:rPr>
          <w:bCs/>
        </w:rPr>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 férreo y portuario en el año 2020</w:t>
      </w:r>
      <w:r w:rsidR="00E879F0">
        <w:t>,</w:t>
      </w:r>
      <w:r w:rsidR="00AE3E13" w:rsidRPr="004D1113">
        <w:t xml:space="preserve"> y la actualización de la información del modo aeroportuari</w:t>
      </w:r>
      <w:r w:rsidR="00AE3E13">
        <w:t>o</w:t>
      </w:r>
      <w:r w:rsidR="00AE3E13" w:rsidRPr="004D1113">
        <w:t xml:space="preserve"> al mes de 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06790253" w:rsidR="009E32F2" w:rsidRDefault="00975A5D"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w:t>
      </w:r>
      <w:r w:rsidR="000064B9">
        <w:t>las</w:t>
      </w:r>
      <w:r w:rsidR="00AE3E13">
        <w:t xml:space="preserve"> registra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AE44AEA" w14:textId="3D068556" w:rsidR="004D1113" w:rsidRDefault="004D1113"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E360DA2" w14:textId="3AB5CE14" w:rsidR="00347751" w:rsidRDefault="00347751"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6BAFA104" w14:textId="77777777" w:rsidR="00347751" w:rsidRDefault="00347751"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09D4BCE4"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2172CA">
        <w:rPr>
          <w:rFonts w:ascii="Times New Roman" w:hAnsi="Times New Roman" w:cs="Times New Roman"/>
          <w:color w:val="auto"/>
        </w:rPr>
        <w:t>ABRIL</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5F07DA83" w:rsidR="0092313C" w:rsidRDefault="0092313C" w:rsidP="00567B01">
      <w:pPr>
        <w:pStyle w:val="Ttulo"/>
        <w:tabs>
          <w:tab w:val="left" w:pos="1843"/>
        </w:tabs>
        <w:jc w:val="left"/>
        <w:rPr>
          <w:rFonts w:ascii="Times New Roman" w:hAnsi="Times New Roman" w:cs="Times New Roman"/>
          <w:color w:val="auto"/>
        </w:rPr>
      </w:pPr>
    </w:p>
    <w:p w14:paraId="4B56C2DC" w14:textId="77777777" w:rsidR="00780631" w:rsidRDefault="00780631" w:rsidP="00567B01">
      <w:pPr>
        <w:pStyle w:val="Ttulo"/>
        <w:tabs>
          <w:tab w:val="left" w:pos="1843"/>
        </w:tabs>
        <w:jc w:val="left"/>
        <w:rPr>
          <w:rFonts w:ascii="Times New Roman" w:hAnsi="Times New Roman" w:cs="Times New Roman"/>
          <w:color w:val="auto"/>
        </w:rPr>
      </w:pPr>
    </w:p>
    <w:p w14:paraId="6119AB53" w14:textId="22D533F2" w:rsidR="00780631" w:rsidRDefault="00780631" w:rsidP="00567B01">
      <w:pPr>
        <w:pStyle w:val="Ttulo"/>
        <w:tabs>
          <w:tab w:val="left" w:pos="1843"/>
        </w:tabs>
        <w:jc w:val="left"/>
        <w:rPr>
          <w:rFonts w:ascii="Times New Roman" w:hAnsi="Times New Roman" w:cs="Times New Roman"/>
          <w:color w:val="auto"/>
        </w:rPr>
      </w:pPr>
      <w:r>
        <w:rPr>
          <w:rFonts w:ascii="Times New Roman" w:hAnsi="Times New Roman" w:cs="Times New Roman"/>
          <w:color w:val="auto"/>
        </w:rPr>
        <w:t xml:space="preserve">CUENTAS POR COBRAR </w:t>
      </w:r>
    </w:p>
    <w:p w14:paraId="7D5BDEE0" w14:textId="2A624183" w:rsidR="00780631" w:rsidRDefault="00780631" w:rsidP="00567B01">
      <w:pPr>
        <w:pStyle w:val="Ttulo"/>
        <w:tabs>
          <w:tab w:val="left" w:pos="1843"/>
        </w:tabs>
        <w:jc w:val="left"/>
        <w:rPr>
          <w:rFonts w:ascii="Times New Roman" w:hAnsi="Times New Roman" w:cs="Times New Roman"/>
          <w:color w:val="auto"/>
        </w:rPr>
      </w:pPr>
    </w:p>
    <w:p w14:paraId="67BAC4E2" w14:textId="64465FB1" w:rsidR="00616D3D" w:rsidRDefault="00780631" w:rsidP="00616D3D">
      <w:pPr>
        <w:jc w:val="both"/>
      </w:pPr>
      <w:r>
        <w:t>En el mes de abril de 2021, se registró</w:t>
      </w:r>
      <w:r w:rsidR="00616D3D">
        <w:t xml:space="preserve"> contablemente una disminución</w:t>
      </w:r>
      <w:r>
        <w:t xml:space="preserve"> </w:t>
      </w:r>
      <w:r w:rsidR="00616D3D">
        <w:t>a</w:t>
      </w:r>
      <w:r>
        <w:t xml:space="preserve"> la subcuenta </w:t>
      </w:r>
      <w:r w:rsidRPr="002F7C28">
        <w:t>1.3.84.90</w:t>
      </w:r>
      <w:r>
        <w:t xml:space="preserve"> </w:t>
      </w:r>
      <w:r w:rsidRPr="002F7C28">
        <w:rPr>
          <w:i/>
          <w:iCs/>
        </w:rPr>
        <w:t>Otras cuentas por cobrar</w:t>
      </w:r>
      <w:r>
        <w:t xml:space="preserve"> </w:t>
      </w:r>
      <w:r w:rsidR="00616D3D">
        <w:t xml:space="preserve">por valor de $931.768 miles, que obedece al retiro de derechos que se encontraban a nombre de </w:t>
      </w:r>
      <w:r w:rsidR="00616D3D" w:rsidRPr="00647597">
        <w:t>U</w:t>
      </w:r>
      <w:r w:rsidR="00616D3D">
        <w:t>nión</w:t>
      </w:r>
      <w:r w:rsidR="00616D3D" w:rsidRPr="00647597">
        <w:t xml:space="preserve"> T</w:t>
      </w:r>
      <w:r w:rsidR="00616D3D">
        <w:t>emporal</w:t>
      </w:r>
      <w:r w:rsidR="00616D3D" w:rsidRPr="00647597">
        <w:t xml:space="preserve"> D</w:t>
      </w:r>
      <w:r w:rsidR="00616D3D">
        <w:t>esarrollo</w:t>
      </w:r>
      <w:r w:rsidR="00616D3D" w:rsidRPr="00647597">
        <w:t xml:space="preserve"> V</w:t>
      </w:r>
      <w:r w:rsidR="00616D3D">
        <w:t>ial</w:t>
      </w:r>
      <w:r w:rsidR="00616D3D" w:rsidRPr="00647597">
        <w:t xml:space="preserve"> </w:t>
      </w:r>
      <w:r w:rsidR="00616D3D">
        <w:t>del</w:t>
      </w:r>
      <w:r w:rsidR="00616D3D" w:rsidRPr="00647597">
        <w:t xml:space="preserve"> V</w:t>
      </w:r>
      <w:r w:rsidR="00616D3D">
        <w:t>alle</w:t>
      </w:r>
      <w:r w:rsidR="00616D3D" w:rsidRPr="00647597">
        <w:t xml:space="preserve"> </w:t>
      </w:r>
      <w:r w:rsidR="00616D3D">
        <w:t>del</w:t>
      </w:r>
      <w:r w:rsidR="00616D3D" w:rsidRPr="00647597">
        <w:t xml:space="preserve"> C</w:t>
      </w:r>
      <w:r w:rsidR="00616D3D">
        <w:t>auca</w:t>
      </w:r>
      <w:r w:rsidR="00616D3D" w:rsidRPr="00647597">
        <w:t xml:space="preserve"> </w:t>
      </w:r>
      <w:r w:rsidR="00616D3D">
        <w:t>y</w:t>
      </w:r>
      <w:r w:rsidR="00616D3D" w:rsidRPr="00647597">
        <w:t xml:space="preserve"> C</w:t>
      </w:r>
      <w:r w:rsidR="00616D3D">
        <w:t>auca</w:t>
      </w:r>
      <w:r w:rsidR="00616D3D" w:rsidRPr="00647597">
        <w:t>, C</w:t>
      </w:r>
      <w:r w:rsidR="00616D3D">
        <w:t>oncesión</w:t>
      </w:r>
      <w:r w:rsidR="00616D3D" w:rsidRPr="00647597">
        <w:t xml:space="preserve"> A</w:t>
      </w:r>
      <w:r w:rsidR="00616D3D">
        <w:t>utopista</w:t>
      </w:r>
      <w:r w:rsidR="00616D3D" w:rsidRPr="00647597">
        <w:t xml:space="preserve"> B</w:t>
      </w:r>
      <w:r w:rsidR="00616D3D">
        <w:t>ogotá</w:t>
      </w:r>
      <w:r w:rsidR="00616D3D" w:rsidRPr="00647597">
        <w:t xml:space="preserve"> G</w:t>
      </w:r>
      <w:r w:rsidR="00616D3D">
        <w:t>irardot</w:t>
      </w:r>
      <w:r w:rsidR="00616D3D" w:rsidRPr="00647597">
        <w:t xml:space="preserve"> S.A. y C</w:t>
      </w:r>
      <w:r w:rsidR="00616D3D">
        <w:t>oncesionaria</w:t>
      </w:r>
      <w:r w:rsidR="00616D3D" w:rsidRPr="00647597">
        <w:t xml:space="preserve"> R</w:t>
      </w:r>
      <w:r w:rsidR="00616D3D">
        <w:t>uta</w:t>
      </w:r>
      <w:r w:rsidR="00616D3D" w:rsidRPr="00647597">
        <w:t xml:space="preserve"> </w:t>
      </w:r>
      <w:r w:rsidR="00616D3D">
        <w:t>del</w:t>
      </w:r>
      <w:r w:rsidR="00616D3D" w:rsidRPr="00647597">
        <w:t xml:space="preserve"> S</w:t>
      </w:r>
      <w:r w:rsidR="00616D3D">
        <w:t>ol</w:t>
      </w:r>
      <w:r w:rsidR="00616D3D" w:rsidRPr="00647597">
        <w:t xml:space="preserve"> S.A.S.</w:t>
      </w:r>
      <w:r w:rsidR="00616D3D">
        <w:t>.</w:t>
      </w:r>
      <w:r w:rsidR="00B97D7F">
        <w:t xml:space="preserve">  </w:t>
      </w:r>
      <w:r w:rsidR="00616D3D">
        <w:t>Con este registro se afectó</w:t>
      </w:r>
      <w:r w:rsidR="00581F24">
        <w:t>,</w:t>
      </w:r>
      <w:r w:rsidR="00616D3D">
        <w:t xml:space="preserve"> a su vez</w:t>
      </w:r>
      <w:r w:rsidR="00581F24">
        <w:t>,</w:t>
      </w:r>
      <w:r w:rsidR="00616D3D">
        <w:t xml:space="preserve"> la cuenta </w:t>
      </w:r>
      <w:r w:rsidR="00616D3D" w:rsidRPr="002F7C28">
        <w:t>3.1.09</w:t>
      </w:r>
      <w:r w:rsidR="00616D3D">
        <w:t xml:space="preserve"> </w:t>
      </w:r>
      <w:r w:rsidR="00616D3D" w:rsidRPr="002F7C28">
        <w:rPr>
          <w:i/>
          <w:iCs/>
        </w:rPr>
        <w:t>RESULTADOS DE EJERCICIOS ANTERIORES</w:t>
      </w:r>
      <w:r w:rsidR="00616D3D">
        <w:t xml:space="preserve">, subcuenta </w:t>
      </w:r>
      <w:r w:rsidR="00616D3D" w:rsidRPr="002F7C28">
        <w:t>3.1.09.01</w:t>
      </w:r>
      <w:r w:rsidR="00616D3D">
        <w:t xml:space="preserve"> </w:t>
      </w:r>
      <w:r w:rsidR="00616D3D" w:rsidRPr="002F7C28">
        <w:rPr>
          <w:i/>
          <w:iCs/>
        </w:rPr>
        <w:t>Utilidad o excedentes acumulados</w:t>
      </w:r>
      <w:r w:rsidR="00616D3D">
        <w:rPr>
          <w:i/>
          <w:iCs/>
        </w:rPr>
        <w:t>.</w:t>
      </w:r>
    </w:p>
    <w:p w14:paraId="38A55058" w14:textId="0320032C" w:rsidR="00616D3D" w:rsidRDefault="00616D3D" w:rsidP="00616D3D">
      <w:pPr>
        <w:jc w:val="both"/>
      </w:pPr>
    </w:p>
    <w:p w14:paraId="172A0146" w14:textId="77777777" w:rsidR="00780631" w:rsidRDefault="00780631" w:rsidP="00780631">
      <w:pPr>
        <w:jc w:val="both"/>
      </w:pPr>
      <w:r>
        <w:t>A continuación, se detalla por proyecto de concesión los derechos retirados que se encontraban en los patrimonios autónomos:</w:t>
      </w:r>
    </w:p>
    <w:p w14:paraId="417F8A3D" w14:textId="77777777" w:rsidR="00780631" w:rsidRDefault="00780631" w:rsidP="00780631">
      <w:pPr>
        <w:jc w:val="both"/>
      </w:pPr>
    </w:p>
    <w:p w14:paraId="54E70C4B" w14:textId="77777777" w:rsidR="00780631" w:rsidRDefault="00780631" w:rsidP="00780631">
      <w:pPr>
        <w:pStyle w:val="Prrafodelista"/>
        <w:numPr>
          <w:ilvl w:val="0"/>
          <w:numId w:val="15"/>
        </w:numPr>
        <w:spacing w:line="259" w:lineRule="auto"/>
        <w:jc w:val="both"/>
      </w:pPr>
      <w:r>
        <w:t>Concesión Malla Vial del Valle del Cauca y Cauca:</w:t>
      </w:r>
    </w:p>
    <w:p w14:paraId="3ECF73AF" w14:textId="77777777" w:rsidR="00780631" w:rsidRDefault="00780631" w:rsidP="00780631">
      <w:pPr>
        <w:pStyle w:val="Prrafodelista"/>
        <w:jc w:val="both"/>
      </w:pPr>
    </w:p>
    <w:p w14:paraId="3795E3A1" w14:textId="77777777" w:rsidR="00780631" w:rsidRDefault="00780631" w:rsidP="00780631">
      <w:pPr>
        <w:pStyle w:val="Prrafodelista"/>
        <w:jc w:val="both"/>
      </w:pPr>
      <w:r w:rsidRPr="004365CF">
        <w:t>El 1 de noviembre de 2018, la Agencia Nacional de Infraestructura, suscribió el ACTA DE REVERSI</w:t>
      </w:r>
      <w:r>
        <w:t>ÓN</w:t>
      </w:r>
      <w:r w:rsidRPr="004365CF">
        <w:t xml:space="preserve"> Y ENTREGA de la infraestructura vial y bienes destinados al contrato de concesión No. 005 de 1999, corredor vial Malla Vial del Valle del Cauca y Cauca al Instituto Nacional de vías -INVIAS, debido al comportamiento histórico del recaudo del peaje del proyecto, con corte al 31 de julio de 2017, se alcanzó al 100% el ingreso esperado del Concesionario, configurándose así una causal de terminación anticipada del Contrato de Concesión No. 005 de 1999, de conformidad con el numeral 10,1, de la Cláusula 10, Terminación Anticipada del Contrato y el numeral 11,4 de la Cláusula 11 Ingreso Esperado.</w:t>
      </w:r>
    </w:p>
    <w:p w14:paraId="0C4A7647" w14:textId="77777777" w:rsidR="00780631" w:rsidRDefault="00780631" w:rsidP="00780631">
      <w:pPr>
        <w:pStyle w:val="Prrafodelista"/>
        <w:jc w:val="both"/>
      </w:pPr>
    </w:p>
    <w:p w14:paraId="1FA82CA7" w14:textId="77777777" w:rsidR="00780631" w:rsidRDefault="00780631" w:rsidP="00780631">
      <w:pPr>
        <w:pStyle w:val="Prrafodelista"/>
        <w:jc w:val="both"/>
      </w:pPr>
      <w:r w:rsidRPr="006447E1">
        <w:t>Mediante memorando No. 20195000023353 del 5 de febrero de 2019, la Vicepresidencia Ejecutiva informó</w:t>
      </w:r>
      <w:r>
        <w:t xml:space="preserve"> </w:t>
      </w:r>
      <w:r w:rsidRPr="006447E1">
        <w:t>la relación de recaudo en exceso, luego de obtenido el ingreso esperado</w:t>
      </w:r>
      <w:r>
        <w:t>, el cual asciende a la suma de $225.364.566 miles, el cual esta consignado en la subcuenta excedentes ANI y es de libre destinación de la Agencia.</w:t>
      </w:r>
    </w:p>
    <w:p w14:paraId="11C5D89D" w14:textId="77777777" w:rsidR="00780631" w:rsidRDefault="00780631" w:rsidP="00780631">
      <w:pPr>
        <w:pStyle w:val="Prrafodelista"/>
        <w:jc w:val="both"/>
      </w:pPr>
    </w:p>
    <w:p w14:paraId="6E13BF9F" w14:textId="77777777" w:rsidR="00780631" w:rsidRDefault="00780631" w:rsidP="00780631">
      <w:pPr>
        <w:pStyle w:val="Prrafodelista"/>
        <w:jc w:val="both"/>
      </w:pPr>
      <w:r w:rsidRPr="004365CF">
        <w:t>Mediante oficio Radicado ANI No. 20204090025122 del 13 de enero de 2020, el INVIAS solicit</w:t>
      </w:r>
      <w:r>
        <w:t>ó</w:t>
      </w:r>
      <w:r w:rsidRPr="004365CF">
        <w:t xml:space="preserve"> la consignación de recursos, conforme al artículo 80 de la Ley 2008 del 27 de diciembre de 2019</w:t>
      </w:r>
      <w:r>
        <w:t>,</w:t>
      </w:r>
      <w:r w:rsidRPr="004365CF">
        <w:t xml:space="preserve"> </w:t>
      </w:r>
      <w:r>
        <w:t xml:space="preserve">que </w:t>
      </w:r>
      <w:r w:rsidRPr="004365CF">
        <w:t>estableció que los excedentes de peajes generados</w:t>
      </w:r>
      <w:r>
        <w:t>,</w:t>
      </w:r>
      <w:r w:rsidRPr="004365CF">
        <w:t xml:space="preserve"> en los proyectos de concesión</w:t>
      </w:r>
      <w:r>
        <w:t>,</w:t>
      </w:r>
      <w:r w:rsidRPr="004365CF">
        <w:t xml:space="preserve"> desde el alcance del ingreso esperado hasta la reversión del proyecto al Instituto Nacional de Vías, podrán ser destinados a la rehabilitación, conservación y mantenimiento de vías de la red vial nacional no concesionada.</w:t>
      </w:r>
    </w:p>
    <w:p w14:paraId="06AB26A2" w14:textId="77777777" w:rsidR="00780631" w:rsidRDefault="00780631" w:rsidP="00780631">
      <w:pPr>
        <w:pStyle w:val="Prrafodelista"/>
        <w:jc w:val="both"/>
      </w:pPr>
    </w:p>
    <w:p w14:paraId="6EF5CFAB" w14:textId="77777777" w:rsidR="00780631" w:rsidRDefault="00780631" w:rsidP="00780631">
      <w:pPr>
        <w:pStyle w:val="Prrafodelista"/>
        <w:jc w:val="both"/>
      </w:pPr>
      <w:r w:rsidRPr="004365CF">
        <w:t xml:space="preserve">En atención de lo anterior, se registró en los estados financieros de la Agencia a 30 de abril de 2021, </w:t>
      </w:r>
      <w:r>
        <w:t>el</w:t>
      </w:r>
      <w:r w:rsidRPr="004365CF">
        <w:t xml:space="preserve"> retir</w:t>
      </w:r>
      <w:r>
        <w:t>o</w:t>
      </w:r>
      <w:r w:rsidRPr="004365CF">
        <w:t xml:space="preserve"> </w:t>
      </w:r>
      <w:r>
        <w:t xml:space="preserve">del </w:t>
      </w:r>
      <w:r w:rsidRPr="004365CF">
        <w:t xml:space="preserve">NIT 830059605 UNION TEMPORAL DESARROLLO VIAL DEL VALLE DEL CAUCA Y CAUCA, </w:t>
      </w:r>
      <w:r>
        <w:t xml:space="preserve">de la subcuenta  </w:t>
      </w:r>
      <w:r w:rsidRPr="000D1079">
        <w:t xml:space="preserve">1.3.84.90 </w:t>
      </w:r>
      <w:r w:rsidRPr="000D1079">
        <w:rPr>
          <w:i/>
          <w:iCs/>
        </w:rPr>
        <w:t>Otras cuentas por cobrar</w:t>
      </w:r>
      <w:r w:rsidRPr="000D1079">
        <w:t xml:space="preserve"> </w:t>
      </w:r>
      <w:r w:rsidRPr="004365CF">
        <w:t>por valor de $225.364.56</w:t>
      </w:r>
      <w:r>
        <w:t>6 miles,</w:t>
      </w:r>
      <w:r w:rsidRPr="004365CF">
        <w:t xml:space="preserve"> correspondiente a exceso de recaudo del proyecto Malla Vial del Valle del Cauca y Cauca, con el fin de dar cumplimiento a lo indicado en el Artículo 80 de la Ley 2008 de 2019 el cual establece expresamente: </w:t>
      </w:r>
      <w:r w:rsidRPr="006447E1">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r>
        <w:t>.</w:t>
      </w:r>
    </w:p>
    <w:p w14:paraId="672CC383" w14:textId="77777777" w:rsidR="00780631" w:rsidRDefault="00780631" w:rsidP="00780631">
      <w:pPr>
        <w:pStyle w:val="Prrafodelista"/>
        <w:jc w:val="both"/>
      </w:pPr>
    </w:p>
    <w:p w14:paraId="3B55641D" w14:textId="77777777" w:rsidR="00780631" w:rsidRDefault="00780631" w:rsidP="00780631">
      <w:pPr>
        <w:pStyle w:val="Prrafodelista"/>
        <w:numPr>
          <w:ilvl w:val="0"/>
          <w:numId w:val="15"/>
        </w:numPr>
        <w:spacing w:line="259" w:lineRule="auto"/>
        <w:jc w:val="both"/>
      </w:pPr>
      <w:r>
        <w:t>Concesión Autopista Bogotá - Girardot:</w:t>
      </w:r>
    </w:p>
    <w:p w14:paraId="55EE791C" w14:textId="77777777" w:rsidR="00780631" w:rsidRDefault="00780631" w:rsidP="00780631">
      <w:pPr>
        <w:pStyle w:val="Prrafodelista"/>
        <w:jc w:val="both"/>
      </w:pPr>
    </w:p>
    <w:p w14:paraId="38A91970" w14:textId="77777777" w:rsidR="00780631" w:rsidRDefault="00780631" w:rsidP="00780631">
      <w:pPr>
        <w:ind w:left="708"/>
        <w:jc w:val="both"/>
      </w:pPr>
      <w:r>
        <w:t>El día 1 de marzo de 2016, la Vicepresidencia Ejecutiva notificó a la Sociedad Concesión Autopista Bogotá Girardot S.A., el inicio del proceso de reversión del corredor Bosa Granada Girardot, con ocasión de la obtención del ingreso esperado el día 31 de agosto de 2015.</w:t>
      </w:r>
    </w:p>
    <w:p w14:paraId="4A41B79A" w14:textId="77777777" w:rsidR="00780631" w:rsidRDefault="00780631" w:rsidP="00780631">
      <w:pPr>
        <w:ind w:left="708"/>
        <w:jc w:val="both"/>
      </w:pPr>
    </w:p>
    <w:p w14:paraId="562D6796" w14:textId="77777777" w:rsidR="00780631" w:rsidRPr="002A1752" w:rsidRDefault="00780631" w:rsidP="00780631">
      <w:pPr>
        <w:ind w:left="851" w:right="191"/>
        <w:jc w:val="both"/>
        <w:rPr>
          <w:i/>
          <w:iCs/>
          <w:sz w:val="18"/>
          <w:szCs w:val="18"/>
        </w:rPr>
      </w:pPr>
      <w:r w:rsidRPr="002A1752">
        <w:rPr>
          <w:i/>
          <w:iCs/>
          <w:sz w:val="18"/>
          <w:szCs w:val="18"/>
        </w:rPr>
        <w:t>"(...) habiendo operado una causal de terminación del Contrato, me permito solicitarle que de formo inmediata se adelanten , en cumplimiento del Manual de Reversión de la Entidad, todas los actividades necesarias para efectuar la reversión del corredor vial y toda lo infraestructura afecta al Contrato de Concesión, paro lo cual, el Concesionario tiene lo obligación contractual de brindar el apoyo y remitir la información solicitado por lo interventoría o la supervisión del proyecto, así como de permitir la entrada o los centros de control de operación, áreas de servicio, estaciones de pesaje, estaciones de peaje y centro de control del túnel de acuerdo con lo estipulado en lo Cláusula 53 del Contrato 'DEVOLUCION Y REVERSION DE BIENES". Actividades estas que tendrán como plazo máximo un (1) mes contado a partir de lo presente comunicación…”</w:t>
      </w:r>
    </w:p>
    <w:p w14:paraId="26EBBAC3" w14:textId="77777777" w:rsidR="00780631" w:rsidRPr="00D206A0" w:rsidRDefault="00780631" w:rsidP="00780631">
      <w:pPr>
        <w:ind w:left="708"/>
        <w:jc w:val="both"/>
        <w:rPr>
          <w:i/>
          <w:iCs/>
        </w:rPr>
      </w:pPr>
    </w:p>
    <w:p w14:paraId="3C689971" w14:textId="77777777" w:rsidR="00780631" w:rsidRDefault="00780631" w:rsidP="00780631">
      <w:pPr>
        <w:ind w:left="708"/>
        <w:jc w:val="both"/>
      </w:pPr>
      <w:r>
        <w:t>El 1 de mayo de 2016, se suscribe el acta de reversión y entrega de la Agencia Nacional de Infraestructura al Instituto Nacional de Vías -INVIAS, la infraestructura vial y bienes afectados al contrato de concesión GG-040-2004 del proyecto de concesión Bosa - Granada - Girardot.</w:t>
      </w:r>
    </w:p>
    <w:p w14:paraId="13D34C49" w14:textId="77777777" w:rsidR="00780631" w:rsidRDefault="00780631" w:rsidP="00780631">
      <w:pPr>
        <w:ind w:left="708"/>
        <w:jc w:val="both"/>
      </w:pPr>
    </w:p>
    <w:p w14:paraId="2C2243E5" w14:textId="77777777" w:rsidR="00780631" w:rsidRDefault="00780631" w:rsidP="00780631">
      <w:pPr>
        <w:ind w:left="708"/>
        <w:jc w:val="both"/>
      </w:pPr>
      <w:r>
        <w:t>La Agencia presentó a la Sociedad Concesionaria Autopista Bogotá Girardot S.A. Acta de liquidación bilateral, luego de ser aprobada por el comité de contratación, en sesión del 11 de agosto de 2016, para que suscribiera el acta propuesta y la radicara en las instalaciones de la Agencia Nacional de infraestructura, en caso de estar de acuerdo, o en el caso contrario que presentara las observaciones que considerara pertinentes.</w:t>
      </w:r>
    </w:p>
    <w:p w14:paraId="39936496" w14:textId="77777777" w:rsidR="00780631" w:rsidRDefault="00780631" w:rsidP="00780631">
      <w:pPr>
        <w:ind w:left="708"/>
        <w:jc w:val="both"/>
      </w:pPr>
    </w:p>
    <w:p w14:paraId="66869167" w14:textId="77777777" w:rsidR="00780631" w:rsidRDefault="00780631" w:rsidP="00780631">
      <w:pPr>
        <w:ind w:left="708"/>
        <w:jc w:val="both"/>
      </w:pPr>
      <w:r>
        <w:t>La Sociedad Concesionaria Autopista Bogotá Girardot S.A. mediante oficio del día 19 de agosto de 2016 manifestó no estar de acuerdo con la propuesta de acta de liquidación bilateral. Ante el desacuerdo presentado por la Sociedad Concesionaria Autopista Bogotá Girardot S.A., frente al acta bilateral enviada, y luego de vencidos los plazos para la liquidación bilateral la Agencia procede a liquidar unilateralmente el Contrato de Concesión GG-040 de 2004.</w:t>
      </w:r>
    </w:p>
    <w:p w14:paraId="5384FE20" w14:textId="77777777" w:rsidR="00780631" w:rsidRDefault="00780631" w:rsidP="00780631">
      <w:pPr>
        <w:ind w:left="708"/>
        <w:jc w:val="both"/>
      </w:pPr>
    </w:p>
    <w:p w14:paraId="3015E612" w14:textId="77777777" w:rsidR="00780631" w:rsidRDefault="00780631" w:rsidP="00780631">
      <w:pPr>
        <w:ind w:left="708"/>
        <w:jc w:val="both"/>
      </w:pPr>
      <w:r w:rsidRPr="00385312">
        <w:t>Mediante oficio 2015-409-058044-2 del 14 de septiembre de 2015 la Interventoría informó a la ANI</w:t>
      </w:r>
      <w:r>
        <w:t>,</w:t>
      </w:r>
      <w:r w:rsidRPr="00385312">
        <w:t xml:space="preserve"> al cierre mensual de agosto de 2015</w:t>
      </w:r>
      <w:r>
        <w:t>,</w:t>
      </w:r>
      <w:r w:rsidRPr="00385312">
        <w:t xml:space="preserve"> el cumplimiento del ingreso esperado</w:t>
      </w:r>
      <w:r>
        <w:t>,</w:t>
      </w:r>
      <w:r w:rsidRPr="00385312">
        <w:t xml:space="preserve"> e igualmente </w:t>
      </w:r>
      <w:r>
        <w:t>comunica,</w:t>
      </w:r>
      <w:r w:rsidRPr="00385312">
        <w:t xml:space="preserve"> que del recaudo en exceso se descuenta el 15% del mismo del ingreso generado por concepto de gastos que incurrió el concesionario por la administración, operación y mantenimiento del proyecto durante el periodo de la toma de posesión de la ANI, para posteriormente ser revertido al Instituto Nacional de Vías -INVIAS.</w:t>
      </w:r>
    </w:p>
    <w:p w14:paraId="53280F37" w14:textId="77777777" w:rsidR="00780631" w:rsidRDefault="00780631" w:rsidP="00780631">
      <w:pPr>
        <w:ind w:left="708"/>
        <w:jc w:val="both"/>
      </w:pPr>
    </w:p>
    <w:p w14:paraId="42DC802E" w14:textId="77777777" w:rsidR="00780631" w:rsidRDefault="00780631" w:rsidP="00780631">
      <w:pPr>
        <w:pStyle w:val="Prrafodelista"/>
        <w:jc w:val="both"/>
      </w:pPr>
      <w:r w:rsidRPr="00385312">
        <w:t>Posteriormente, la Interventoría del proyecto CIC 2012, mediante memorando No. 2016-409-051683-2 del 21 de junio de 2016, remitió el Balance Traslado del 85% Recaudo a la</w:t>
      </w:r>
      <w:r>
        <w:t xml:space="preserve"> subcuenta excedentes ANI por valor de $109.305.408 miles.</w:t>
      </w:r>
    </w:p>
    <w:p w14:paraId="202E3E54" w14:textId="77777777" w:rsidR="00780631" w:rsidRDefault="00780631" w:rsidP="00780631">
      <w:pPr>
        <w:pStyle w:val="Prrafodelista"/>
        <w:jc w:val="both"/>
      </w:pPr>
    </w:p>
    <w:p w14:paraId="2919D949" w14:textId="77777777" w:rsidR="00780631" w:rsidRDefault="00780631" w:rsidP="00780631">
      <w:pPr>
        <w:pStyle w:val="Prrafodelista"/>
        <w:jc w:val="both"/>
      </w:pPr>
      <w:r w:rsidRPr="00385312">
        <w:t>Del valor por $109</w:t>
      </w:r>
      <w:r>
        <w:t>.</w:t>
      </w:r>
      <w:r w:rsidRPr="00385312">
        <w:t>305</w:t>
      </w:r>
      <w:r>
        <w:t>.</w:t>
      </w:r>
      <w:r w:rsidRPr="00385312">
        <w:t>408</w:t>
      </w:r>
      <w:r>
        <w:t xml:space="preserve"> miles</w:t>
      </w:r>
      <w:r w:rsidRPr="00385312">
        <w:t xml:space="preserve">, reflejado a 31 de diciembre de 2017, correspondiente a los excedentes de peajes, la Agencia apropio en su presupuesto de la vigencia 2017 el valor de </w:t>
      </w:r>
      <w:r>
        <w:t>$</w:t>
      </w:r>
      <w:r w:rsidRPr="00385312">
        <w:t>90</w:t>
      </w:r>
      <w:r>
        <w:t>.</w:t>
      </w:r>
      <w:r w:rsidRPr="00385312">
        <w:t>000 millones, estos recursos quedaron asignados a diferentes proyectos de inversión, tal como se presenta a continuación:</w:t>
      </w:r>
    </w:p>
    <w:p w14:paraId="5FB184E8" w14:textId="77777777" w:rsidR="00780631" w:rsidRDefault="00780631" w:rsidP="00780631">
      <w:pPr>
        <w:pStyle w:val="Prrafodelista"/>
        <w:jc w:val="both"/>
      </w:pPr>
    </w:p>
    <w:p w14:paraId="3844ABBF" w14:textId="77777777" w:rsidR="00780631" w:rsidRDefault="00780631" w:rsidP="00780631">
      <w:pPr>
        <w:pStyle w:val="Prrafodelista"/>
        <w:numPr>
          <w:ilvl w:val="0"/>
          <w:numId w:val="16"/>
        </w:numPr>
        <w:spacing w:line="259" w:lineRule="auto"/>
        <w:jc w:val="both"/>
      </w:pPr>
      <w:r w:rsidRPr="00385312">
        <w:t>El valor de $44.099.730</w:t>
      </w:r>
      <w:r>
        <w:t xml:space="preserve"> miles</w:t>
      </w:r>
      <w:r w:rsidRPr="00385312">
        <w:t>, para el pago parcial de la vigencia futura de 2017 del proyecto Ruta del Sol sector 3.</w:t>
      </w:r>
    </w:p>
    <w:p w14:paraId="3D7D94B4" w14:textId="77777777" w:rsidR="00780631" w:rsidRDefault="00780631" w:rsidP="00780631">
      <w:pPr>
        <w:pStyle w:val="Prrafodelista"/>
        <w:numPr>
          <w:ilvl w:val="0"/>
          <w:numId w:val="16"/>
        </w:numPr>
        <w:spacing w:line="259" w:lineRule="auto"/>
        <w:jc w:val="both"/>
      </w:pPr>
      <w:r w:rsidRPr="00385312">
        <w:t>El valor de $1.172.98</w:t>
      </w:r>
      <w:r>
        <w:t>9 miles</w:t>
      </w:r>
      <w:r w:rsidRPr="00385312">
        <w:t xml:space="preserve">, para pago parcial de la apropiación de la vigencia 2017, para el proyecto </w:t>
      </w:r>
      <w:proofErr w:type="spellStart"/>
      <w:r w:rsidRPr="00385312">
        <w:t>Mulaló</w:t>
      </w:r>
      <w:proofErr w:type="spellEnd"/>
      <w:r w:rsidRPr="00385312">
        <w:t xml:space="preserve"> - Loboguerrero.</w:t>
      </w:r>
    </w:p>
    <w:p w14:paraId="15BEA0D3" w14:textId="77777777" w:rsidR="00780631" w:rsidRDefault="00780631" w:rsidP="00780631">
      <w:pPr>
        <w:pStyle w:val="Prrafodelista"/>
        <w:numPr>
          <w:ilvl w:val="0"/>
          <w:numId w:val="16"/>
        </w:numPr>
        <w:spacing w:line="259" w:lineRule="auto"/>
        <w:jc w:val="both"/>
      </w:pPr>
      <w:r w:rsidRPr="00385312">
        <w:t>El valor de $32.106.03</w:t>
      </w:r>
      <w:r>
        <w:t>1 miles</w:t>
      </w:r>
      <w:r w:rsidRPr="00385312">
        <w:t>, Pago atención calamidad pública concesión Malla Vial del Cauca y Cauca.</w:t>
      </w:r>
    </w:p>
    <w:p w14:paraId="4D2C738D" w14:textId="77777777" w:rsidR="00780631" w:rsidRDefault="00780631" w:rsidP="00780631">
      <w:pPr>
        <w:pStyle w:val="Prrafodelista"/>
        <w:numPr>
          <w:ilvl w:val="0"/>
          <w:numId w:val="16"/>
        </w:numPr>
        <w:spacing w:line="259" w:lineRule="auto"/>
        <w:jc w:val="both"/>
      </w:pPr>
      <w:r>
        <w:t>E</w:t>
      </w:r>
      <w:r w:rsidRPr="00385312">
        <w:t>l valor de $5.741.762</w:t>
      </w:r>
      <w:r>
        <w:t xml:space="preserve"> miles</w:t>
      </w:r>
      <w:r w:rsidRPr="00385312">
        <w:t>, para pago parcial de la vigencia futura del proyecto de concesión Cartagena - Barranquilla y Circunvalar de la prosperidad.</w:t>
      </w:r>
    </w:p>
    <w:p w14:paraId="3D59CB34" w14:textId="77777777" w:rsidR="00780631" w:rsidRDefault="00780631" w:rsidP="00780631">
      <w:pPr>
        <w:pStyle w:val="Prrafodelista"/>
        <w:numPr>
          <w:ilvl w:val="0"/>
          <w:numId w:val="16"/>
        </w:numPr>
        <w:spacing w:line="259" w:lineRule="auto"/>
        <w:jc w:val="both"/>
      </w:pPr>
      <w:r w:rsidRPr="00385312">
        <w:t>El valor de $336.322</w:t>
      </w:r>
      <w:r>
        <w:t xml:space="preserve"> miles, </w:t>
      </w:r>
      <w:r w:rsidRPr="00385312">
        <w:t>para GMF de los pagos efectuados a cargo del exceso de peajes de la concesión Bogotá-Girardot</w:t>
      </w:r>
      <w:r>
        <w:t>.</w:t>
      </w:r>
    </w:p>
    <w:p w14:paraId="38D561B5" w14:textId="77777777" w:rsidR="00780631" w:rsidRDefault="00780631" w:rsidP="00780631">
      <w:pPr>
        <w:ind w:left="708"/>
        <w:jc w:val="both"/>
      </w:pPr>
    </w:p>
    <w:p w14:paraId="6D123218" w14:textId="77777777" w:rsidR="00780631" w:rsidRDefault="00780631" w:rsidP="00780631">
      <w:pPr>
        <w:ind w:left="708"/>
        <w:jc w:val="both"/>
      </w:pPr>
      <w:r>
        <w:t xml:space="preserve">El </w:t>
      </w:r>
      <w:r w:rsidRPr="00B01794">
        <w:t>Valor total trasferido a otros proyectos</w:t>
      </w:r>
      <w:r>
        <w:t>,</w:t>
      </w:r>
      <w:r w:rsidRPr="00B01794">
        <w:t xml:space="preserve"> a cargo de peajes de CABG</w:t>
      </w:r>
      <w:r>
        <w:t>,</w:t>
      </w:r>
      <w:r w:rsidRPr="00B01794">
        <w:t xml:space="preserve"> </w:t>
      </w:r>
      <w:r>
        <w:t>fue de $</w:t>
      </w:r>
      <w:r w:rsidRPr="00B01794">
        <w:t>83</w:t>
      </w:r>
      <w:r>
        <w:t>.</w:t>
      </w:r>
      <w:r w:rsidRPr="00B01794">
        <w:t>456</w:t>
      </w:r>
      <w:r>
        <w:t>.</w:t>
      </w:r>
      <w:r w:rsidRPr="00B01794">
        <w:t>834</w:t>
      </w:r>
      <w:r>
        <w:t xml:space="preserve"> miles, q</w:t>
      </w:r>
      <w:r w:rsidRPr="00B01794">
        <w:t>uedando un saldo de</w:t>
      </w:r>
      <w:r>
        <w:t xml:space="preserve"> $25.848.574 miles, </w:t>
      </w:r>
      <w:r w:rsidRPr="00B01794">
        <w:t>a 31 de diciembre de 2017</w:t>
      </w:r>
      <w:r>
        <w:t>.</w:t>
      </w:r>
    </w:p>
    <w:p w14:paraId="6E18BEA6" w14:textId="77777777" w:rsidR="00780631" w:rsidRDefault="00780631" w:rsidP="00780631">
      <w:pPr>
        <w:ind w:left="708"/>
        <w:jc w:val="both"/>
      </w:pPr>
    </w:p>
    <w:p w14:paraId="4656D0ED" w14:textId="77777777" w:rsidR="00780631" w:rsidRDefault="00780631" w:rsidP="00780631">
      <w:pPr>
        <w:ind w:left="708"/>
        <w:jc w:val="both"/>
      </w:pPr>
      <w:r w:rsidRPr="00B01794">
        <w:t>Mediante oficio Radicado ANI No. 20204090025122 del 13 de enero de 2020, el INVIAS, solicit</w:t>
      </w:r>
      <w:r>
        <w:t>ó</w:t>
      </w:r>
      <w:r w:rsidRPr="00B01794">
        <w:t xml:space="preserve"> la consignación de recursos conforme al artículo 80 de la Ley 2008</w:t>
      </w:r>
      <w:r>
        <w:t xml:space="preserve">, </w:t>
      </w:r>
      <w:r w:rsidRPr="00B01794">
        <w:t>del 27 de diciembre de 2019</w:t>
      </w:r>
      <w:r>
        <w:t>,</w:t>
      </w:r>
      <w:r w:rsidRPr="00B01794">
        <w:t xml:space="preserve"> </w:t>
      </w:r>
      <w:r>
        <w:t xml:space="preserve">que </w:t>
      </w:r>
      <w:r w:rsidRPr="00B01794">
        <w:t>estableció que los excedentes de peajes generados en los proyectos de concesión, desde el alcance del ingreso esperado hasta la reversión del proyecto al Instituto Nacional de Vías, podrán ser destinados a la rehabilitación, conservación y mantenimiento de vías de la red vial nacional no concesionada.</w:t>
      </w:r>
    </w:p>
    <w:p w14:paraId="0B9A0039" w14:textId="77777777" w:rsidR="00780631" w:rsidRDefault="00780631" w:rsidP="00780631">
      <w:pPr>
        <w:ind w:left="708"/>
        <w:jc w:val="both"/>
      </w:pPr>
    </w:p>
    <w:p w14:paraId="2E07424E" w14:textId="77777777" w:rsidR="00780631" w:rsidRDefault="00780631" w:rsidP="00780631">
      <w:pPr>
        <w:ind w:left="708"/>
        <w:jc w:val="both"/>
        <w:rPr>
          <w:i/>
          <w:iCs/>
        </w:rPr>
      </w:pPr>
      <w:r w:rsidRPr="00B01794">
        <w:t xml:space="preserve">En atención </w:t>
      </w:r>
      <w:r>
        <w:t>a</w:t>
      </w:r>
      <w:r w:rsidRPr="00B01794">
        <w:t xml:space="preserve"> lo anterior, </w:t>
      </w:r>
      <w:r>
        <w:t xml:space="preserve">en el mes de abril de 2021, </w:t>
      </w:r>
      <w:r w:rsidRPr="00B01794">
        <w:t xml:space="preserve">se </w:t>
      </w:r>
      <w:r>
        <w:t xml:space="preserve">retiró de la </w:t>
      </w:r>
      <w:r w:rsidRPr="00E92DE1">
        <w:t xml:space="preserve">subcuenta  1.3.84.90 </w:t>
      </w:r>
      <w:r w:rsidRPr="00E92DE1">
        <w:rPr>
          <w:i/>
          <w:iCs/>
        </w:rPr>
        <w:t>Otras cuentas por cobrar</w:t>
      </w:r>
      <w:r>
        <w:t xml:space="preserve"> un valor de </w:t>
      </w:r>
      <w:r w:rsidRPr="00B01794">
        <w:t>$25.848.574</w:t>
      </w:r>
      <w:r>
        <w:t xml:space="preserve"> miles, al NIT </w:t>
      </w:r>
      <w:r w:rsidRPr="00B01794">
        <w:t>830</w:t>
      </w:r>
      <w:r>
        <w:t>.</w:t>
      </w:r>
      <w:r w:rsidRPr="00B01794">
        <w:t>143</w:t>
      </w:r>
      <w:r>
        <w:t>.</w:t>
      </w:r>
      <w:r w:rsidRPr="00B01794">
        <w:t>442 CONCESI</w:t>
      </w:r>
      <w:r>
        <w:t>ON</w:t>
      </w:r>
      <w:r w:rsidRPr="00B01794">
        <w:t xml:space="preserve"> AUTOPISTA BOGOT</w:t>
      </w:r>
      <w:r>
        <w:t>A</w:t>
      </w:r>
      <w:r w:rsidRPr="00B01794">
        <w:t xml:space="preserve"> GIRARDOT S.A., correspondiente a exceso de recaudo del proyecto Bogotá - Girardot, con el fin de dar cumplimiento a lo indicado en el Artículo 80 de la Ley 2008 de 2019 el cual establece expresamente: </w:t>
      </w:r>
      <w:r w:rsidRPr="00B01794">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r>
        <w:rPr>
          <w:i/>
          <w:iCs/>
        </w:rPr>
        <w:t>.</w:t>
      </w:r>
    </w:p>
    <w:p w14:paraId="67877BA2" w14:textId="77777777" w:rsidR="00780631" w:rsidRDefault="00780631" w:rsidP="00780631">
      <w:pPr>
        <w:ind w:left="708"/>
        <w:jc w:val="both"/>
      </w:pPr>
    </w:p>
    <w:p w14:paraId="539ED2C3" w14:textId="77777777" w:rsidR="00780631" w:rsidRDefault="00780631" w:rsidP="00780631">
      <w:pPr>
        <w:pStyle w:val="Prrafodelista"/>
        <w:numPr>
          <w:ilvl w:val="0"/>
          <w:numId w:val="15"/>
        </w:numPr>
        <w:spacing w:line="259" w:lineRule="auto"/>
        <w:jc w:val="both"/>
      </w:pPr>
      <w:r>
        <w:t>Concesión Ruta del Sol Sector 2:</w:t>
      </w:r>
    </w:p>
    <w:p w14:paraId="0F0865AC" w14:textId="77777777" w:rsidR="00780631" w:rsidRDefault="00780631" w:rsidP="00780631">
      <w:pPr>
        <w:jc w:val="both"/>
      </w:pPr>
    </w:p>
    <w:p w14:paraId="5031415D" w14:textId="77777777" w:rsidR="00780631" w:rsidRDefault="00780631" w:rsidP="00780631">
      <w:pPr>
        <w:ind w:left="708"/>
        <w:jc w:val="both"/>
      </w:pPr>
      <w:r>
        <w:t>El 16 de febrero de 2017, la Superintendencia de Industria y Comercio, emitió la Resolución No. 5216, en la que dispuso lo siguiente:</w:t>
      </w:r>
    </w:p>
    <w:p w14:paraId="0CA56A60" w14:textId="77777777" w:rsidR="00780631" w:rsidRDefault="00780631" w:rsidP="00780631">
      <w:pPr>
        <w:ind w:left="708"/>
        <w:jc w:val="both"/>
      </w:pPr>
    </w:p>
    <w:p w14:paraId="40EE9355" w14:textId="77777777" w:rsidR="00780631" w:rsidRPr="00863DBC" w:rsidRDefault="00780631" w:rsidP="00780631">
      <w:pPr>
        <w:ind w:left="851" w:right="191"/>
        <w:jc w:val="both"/>
        <w:rPr>
          <w:i/>
          <w:iCs/>
          <w:sz w:val="20"/>
          <w:szCs w:val="20"/>
        </w:rPr>
      </w:pPr>
      <w:r w:rsidRPr="00863DBC">
        <w:rPr>
          <w:i/>
          <w:iCs/>
          <w:sz w:val="20"/>
          <w:szCs w:val="20"/>
        </w:rPr>
        <w:t>"ARTICULO SEGUNDO. Como consecuencia de lo anterior, y con el fin de reestablecer la libre competencia económica, se ORDENA a la AGENCIA NACIONAL DE INFRAETRUCTURA (ANI) dar por terminado de manera inmediata el Contrato de Concesión No. 001 del 14 de enero de 2010 junto con sus modificaciones, adiciones y otrosíes, suscrito con la CONCESIONARIA RUTA DEL SOL SAS..."</w:t>
      </w:r>
    </w:p>
    <w:p w14:paraId="1B96EF09" w14:textId="77777777" w:rsidR="00780631" w:rsidRPr="00863DBC" w:rsidRDefault="00780631" w:rsidP="00780631">
      <w:pPr>
        <w:ind w:left="851" w:right="191"/>
        <w:jc w:val="both"/>
        <w:rPr>
          <w:i/>
          <w:iCs/>
          <w:sz w:val="20"/>
          <w:szCs w:val="20"/>
        </w:rPr>
      </w:pPr>
    </w:p>
    <w:p w14:paraId="085CE6DE" w14:textId="77777777" w:rsidR="00780631" w:rsidRPr="00863DBC" w:rsidRDefault="00780631" w:rsidP="00780631">
      <w:pPr>
        <w:ind w:left="851" w:right="191"/>
        <w:jc w:val="both"/>
        <w:rPr>
          <w:i/>
          <w:iCs/>
          <w:sz w:val="20"/>
          <w:szCs w:val="20"/>
        </w:rPr>
      </w:pPr>
      <w:r w:rsidRPr="00863DBC">
        <w:rPr>
          <w:i/>
          <w:iCs/>
          <w:sz w:val="20"/>
          <w:szCs w:val="20"/>
        </w:rPr>
        <w:t>El día 14 de septiembre de 2017, el Tribunal Administrativo de Cundinamarca, dentro de la acción popular, emitió auto interlocutorio por el cual accedió a decretar las medidas cautelares complementarias requeridas por la Agencia, providencia y en la cual se ordenó: "En el término máximo de veinte (20) días, contados a partir de la notificación del auto, haga entrega material a esta agencia de los cinco (5) tramos correspondientes a cada uno de los procesos licitatorios del INVIAS"</w:t>
      </w:r>
    </w:p>
    <w:p w14:paraId="6F1187C5" w14:textId="77777777" w:rsidR="00780631" w:rsidRDefault="00780631" w:rsidP="00780631">
      <w:pPr>
        <w:ind w:left="708"/>
        <w:jc w:val="both"/>
      </w:pPr>
    </w:p>
    <w:p w14:paraId="0E928874" w14:textId="77777777" w:rsidR="00780631" w:rsidRDefault="00780631" w:rsidP="00780631">
      <w:pPr>
        <w:ind w:left="708"/>
        <w:jc w:val="both"/>
      </w:pPr>
      <w:r w:rsidRPr="00FE576A">
        <w:t xml:space="preserve">El 20 de octubre de 2017, a las 20:30 horas, la Agencia Nacional de Infraestructura, suscribió el ACTA DE REVERSION Y ENTREGA de la infraestructura vial y bienes destinados al contrato de concesión No. 001 de 2010, corredor vial ruta del Sol 2 troncal Puerto </w:t>
      </w:r>
      <w:r>
        <w:t>S</w:t>
      </w:r>
      <w:r w:rsidRPr="00FE576A">
        <w:t>algar</w:t>
      </w:r>
      <w:r>
        <w:t xml:space="preserve"> </w:t>
      </w:r>
      <w:r w:rsidRPr="00FE576A">
        <w:t>-San Roque y Transversal R</w:t>
      </w:r>
      <w:r>
        <w:t>í</w:t>
      </w:r>
      <w:r w:rsidRPr="00FE576A">
        <w:t xml:space="preserve">o de Oro </w:t>
      </w:r>
      <w:proofErr w:type="spellStart"/>
      <w:r w:rsidRPr="00FE576A">
        <w:t>Aguaclara</w:t>
      </w:r>
      <w:proofErr w:type="spellEnd"/>
      <w:r>
        <w:t xml:space="preserve"> </w:t>
      </w:r>
      <w:r w:rsidRPr="00FE576A">
        <w:t>-</w:t>
      </w:r>
      <w:r>
        <w:t xml:space="preserve"> </w:t>
      </w:r>
      <w:r w:rsidRPr="00FE576A">
        <w:t>Gamarra, con el concesionario, y el mismo día se suscribieron las actas de entrega al INVIAS de las estaciones de peajes y pesajes.</w:t>
      </w:r>
    </w:p>
    <w:p w14:paraId="26899598" w14:textId="77777777" w:rsidR="00780631" w:rsidRDefault="00780631" w:rsidP="00780631">
      <w:pPr>
        <w:ind w:left="708"/>
        <w:jc w:val="both"/>
      </w:pPr>
    </w:p>
    <w:p w14:paraId="073CBEB1" w14:textId="77777777" w:rsidR="00780631" w:rsidRDefault="00780631" w:rsidP="00780631">
      <w:pPr>
        <w:ind w:left="708"/>
        <w:jc w:val="both"/>
      </w:pPr>
      <w:r w:rsidRPr="00FE576A">
        <w:t>Mediante memorando No. 20185000024393</w:t>
      </w:r>
      <w:r>
        <w:t>,</w:t>
      </w:r>
      <w:r w:rsidRPr="00FE576A">
        <w:t xml:space="preserve"> del 30 de enero de 2018, la Vicepresidencia Ejecutiva informó</w:t>
      </w:r>
      <w:r>
        <w:t>,</w:t>
      </w:r>
      <w:r w:rsidRPr="00FE576A">
        <w:t xml:space="preserve"> </w:t>
      </w:r>
      <w:r>
        <w:t>en</w:t>
      </w:r>
      <w:r w:rsidRPr="00FE576A">
        <w:t xml:space="preserve"> el formato GCSP-F-007</w:t>
      </w:r>
      <w:r>
        <w:t>,</w:t>
      </w:r>
      <w:r w:rsidRPr="00FE576A">
        <w:t xml:space="preserve"> </w:t>
      </w:r>
      <w:r>
        <w:t>la</w:t>
      </w:r>
      <w:r w:rsidRPr="00FE576A">
        <w:t xml:space="preserve"> Ejecución de recursos pendientes a fecha de corte 31 de diciembre de 2017, </w:t>
      </w:r>
      <w:r>
        <w:t>del</w:t>
      </w:r>
      <w:r w:rsidRPr="00FE576A">
        <w:t xml:space="preserve"> proyecto de concesión Ruta del Sol Sector 2</w:t>
      </w:r>
      <w:r>
        <w:t>,</w:t>
      </w:r>
      <w:r w:rsidRPr="00FE576A">
        <w:t xml:space="preserve"> </w:t>
      </w:r>
      <w:r>
        <w:t>por valor de</w:t>
      </w:r>
      <w:r w:rsidRPr="00052A4D">
        <w:t xml:space="preserve"> $ 680.555.087</w:t>
      </w:r>
      <w:r>
        <w:t xml:space="preserve"> miles.</w:t>
      </w:r>
    </w:p>
    <w:p w14:paraId="406C30F1" w14:textId="77777777" w:rsidR="00780631" w:rsidRDefault="00780631" w:rsidP="00780631">
      <w:pPr>
        <w:jc w:val="both"/>
      </w:pPr>
    </w:p>
    <w:p w14:paraId="119E6093" w14:textId="77777777" w:rsidR="00780631" w:rsidRDefault="00780631" w:rsidP="00780631">
      <w:pPr>
        <w:ind w:left="708"/>
        <w:jc w:val="both"/>
      </w:pPr>
      <w:r>
        <w:t>El tribunal de Arbitramento, convocado por la Concesionaria Ruta del Sol SAS vs la Agencia Nacional de Infraestructura (tramites 4190 y 4209), el día 6 de agosto de 2019 profiere en derecho el Laudo de mérito que finaliza el proceso surtido, entre la concesionaria y la Agencia como parte convocada y convocante en reconvención.</w:t>
      </w:r>
    </w:p>
    <w:p w14:paraId="03EBA4C6" w14:textId="77777777" w:rsidR="00780631" w:rsidRDefault="00780631" w:rsidP="00780631">
      <w:pPr>
        <w:jc w:val="both"/>
      </w:pPr>
    </w:p>
    <w:p w14:paraId="021CEA58" w14:textId="77777777" w:rsidR="00780631" w:rsidRDefault="00780631" w:rsidP="00780631">
      <w:pPr>
        <w:ind w:left="708"/>
        <w:jc w:val="both"/>
      </w:pPr>
      <w:r>
        <w:t>De acuerdo con, el examen de los documentos obrantes en el expediente, material probatorio y demás consideraciones, el Tribunal Arbitral convocado por la Concesionaria ruta del Sol SAS, para resolver las controversias con la Agencia Nacional de Infraestructura, decide lo siguiente:</w:t>
      </w:r>
    </w:p>
    <w:p w14:paraId="2A56DE1A" w14:textId="77777777" w:rsidR="00780631" w:rsidRDefault="00780631" w:rsidP="00780631">
      <w:pPr>
        <w:ind w:left="708"/>
        <w:jc w:val="both"/>
      </w:pPr>
    </w:p>
    <w:p w14:paraId="619364C3" w14:textId="77777777" w:rsidR="00780631" w:rsidRDefault="00780631" w:rsidP="00780631">
      <w:pPr>
        <w:ind w:left="708"/>
        <w:jc w:val="both"/>
      </w:pPr>
      <w:r>
        <w:t>Ordena a la Agencia, disponer de los recursos que se encuentran en patrimonios autónomos Fideicomiso Ruta del Sol Sector 2, administrado por Corficolombiana S.A., los cuales serán utilizados para pagar las deudas con terceros de buena fe.</w:t>
      </w:r>
    </w:p>
    <w:p w14:paraId="6E8D6B19" w14:textId="77777777" w:rsidR="00780631" w:rsidRDefault="00780631" w:rsidP="00780631">
      <w:pPr>
        <w:ind w:left="708"/>
        <w:jc w:val="both"/>
      </w:pPr>
    </w:p>
    <w:p w14:paraId="42528B41" w14:textId="77777777" w:rsidR="00780631" w:rsidRDefault="00780631" w:rsidP="00780631">
      <w:pPr>
        <w:ind w:left="708"/>
        <w:jc w:val="both"/>
      </w:pPr>
      <w:r w:rsidRPr="00052A4D">
        <w:t xml:space="preserve">En atención </w:t>
      </w:r>
      <w:r>
        <w:t>a</w:t>
      </w:r>
      <w:r w:rsidRPr="00052A4D">
        <w:t xml:space="preserve"> lo anterior, </w:t>
      </w:r>
      <w:r>
        <w:t xml:space="preserve">y </w:t>
      </w:r>
      <w:r w:rsidRPr="00052A4D">
        <w:t>para efectos de reflejar la realidad económica del proyecto Ruta del Sol 2</w:t>
      </w:r>
      <w:r>
        <w:t xml:space="preserve">, se retiró de los estados </w:t>
      </w:r>
      <w:r w:rsidRPr="00052A4D">
        <w:t>financieros de la Agencia</w:t>
      </w:r>
      <w:r>
        <w:t xml:space="preserve"> el saldo que se traía al corte 31 de marzo de 2021, por valor de </w:t>
      </w:r>
      <w:r w:rsidRPr="00052A4D">
        <w:t>$680.555.087</w:t>
      </w:r>
      <w:r>
        <w:t xml:space="preserve"> miles, de la subcuenta </w:t>
      </w:r>
      <w:r w:rsidRPr="00701AEC">
        <w:t>1.3.84.90</w:t>
      </w:r>
      <w:r>
        <w:t xml:space="preserve"> </w:t>
      </w:r>
      <w:r w:rsidRPr="00701AEC">
        <w:rPr>
          <w:i/>
          <w:iCs/>
        </w:rPr>
        <w:t>Otras cuentas por cobrar</w:t>
      </w:r>
      <w:r>
        <w:t xml:space="preserve">, </w:t>
      </w:r>
      <w:r w:rsidRPr="00052A4D">
        <w:t xml:space="preserve">correspondiente a recursos pendientes de ejecutar en patrimonios autónomos constituidos por el concesionario, con fundamento en la decisión DÉCIMA del Laudo Arbitral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  </w:t>
      </w:r>
    </w:p>
    <w:p w14:paraId="393B468D" w14:textId="3FDEA6B9" w:rsidR="00567B01" w:rsidRDefault="00567B01" w:rsidP="00567B01">
      <w:pPr>
        <w:pStyle w:val="Ttulo"/>
        <w:tabs>
          <w:tab w:val="left" w:pos="1843"/>
        </w:tabs>
        <w:jc w:val="left"/>
        <w:rPr>
          <w:rFonts w:ascii="Times New Roman" w:hAnsi="Times New Roman" w:cs="Times New Roman"/>
          <w:color w:val="auto"/>
        </w:rPr>
      </w:pPr>
    </w:p>
    <w:p w14:paraId="5BAEE158" w14:textId="77777777" w:rsidR="00780631" w:rsidRDefault="00780631" w:rsidP="00567B01">
      <w:pPr>
        <w:pStyle w:val="Ttulo"/>
        <w:tabs>
          <w:tab w:val="left" w:pos="1843"/>
        </w:tabs>
        <w:jc w:val="left"/>
        <w:rPr>
          <w:rFonts w:ascii="Times New Roman" w:hAnsi="Times New Roman" w:cs="Times New Roman"/>
          <w:color w:val="auto"/>
        </w:rPr>
      </w:pPr>
    </w:p>
    <w:p w14:paraId="6F85099A" w14:textId="6C47EFB4" w:rsidR="00567B01" w:rsidRDefault="00567B01" w:rsidP="00567B01">
      <w:pPr>
        <w:pStyle w:val="Ttulo"/>
        <w:tabs>
          <w:tab w:val="left" w:pos="1843"/>
        </w:tabs>
        <w:jc w:val="left"/>
        <w:rPr>
          <w:rFonts w:ascii="Times New Roman" w:hAnsi="Times New Roman" w:cs="Times New Roman"/>
          <w:color w:val="auto"/>
        </w:rPr>
      </w:pPr>
      <w:r w:rsidRPr="00567B01">
        <w:rPr>
          <w:rFonts w:ascii="Times New Roman" w:hAnsi="Times New Roman" w:cs="Times New Roman"/>
          <w:color w:val="auto"/>
        </w:rPr>
        <w:t>PROPIEDADES, PLANTA Y EQUIPO</w:t>
      </w:r>
    </w:p>
    <w:p w14:paraId="1EC3BDD6" w14:textId="5F031022" w:rsidR="00567B01" w:rsidRDefault="00567B01" w:rsidP="00567B01">
      <w:pPr>
        <w:pStyle w:val="Ttulo"/>
        <w:tabs>
          <w:tab w:val="left" w:pos="1843"/>
        </w:tabs>
        <w:jc w:val="left"/>
        <w:rPr>
          <w:rFonts w:ascii="Times New Roman" w:hAnsi="Times New Roman" w:cs="Times New Roman"/>
          <w:color w:val="auto"/>
        </w:rPr>
      </w:pPr>
    </w:p>
    <w:p w14:paraId="06DF1F61" w14:textId="613BF282" w:rsidR="00BF3544" w:rsidRDefault="00567B01" w:rsidP="00BF3544">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el mes de abril de 2021, se registró en la cuenta 1.6.35 </w:t>
      </w:r>
      <w:r w:rsidRPr="00567B01">
        <w:rPr>
          <w:rFonts w:ascii="Times New Roman" w:hAnsi="Times New Roman" w:cs="Times New Roman"/>
          <w:b w:val="0"/>
          <w:bCs w:val="0"/>
          <w:i/>
          <w:iCs/>
          <w:color w:val="auto"/>
        </w:rPr>
        <w:t>Bienes muebles en bodega</w:t>
      </w:r>
      <w:r w:rsidRPr="00567B01">
        <w:rPr>
          <w:rFonts w:ascii="Times New Roman" w:hAnsi="Times New Roman" w:cs="Times New Roman"/>
          <w:b w:val="0"/>
          <w:bCs w:val="0"/>
          <w:color w:val="auto"/>
        </w:rPr>
        <w:t xml:space="preserve">, </w:t>
      </w:r>
      <w:r w:rsidR="00BF3544">
        <w:rPr>
          <w:rFonts w:ascii="Times New Roman" w:hAnsi="Times New Roman" w:cs="Times New Roman"/>
          <w:b w:val="0"/>
          <w:bCs w:val="0"/>
          <w:color w:val="auto"/>
        </w:rPr>
        <w:t xml:space="preserve">subcuenta </w:t>
      </w:r>
      <w:r w:rsidR="00BF3544" w:rsidRPr="00A16978">
        <w:rPr>
          <w:rFonts w:ascii="Times New Roman" w:hAnsi="Times New Roman" w:cs="Times New Roman"/>
          <w:b w:val="0"/>
          <w:bCs w:val="0"/>
          <w:color w:val="auto"/>
        </w:rPr>
        <w:t>1.6.35.04</w:t>
      </w:r>
      <w:r w:rsidR="00BF3544">
        <w:rPr>
          <w:rFonts w:ascii="Times New Roman" w:hAnsi="Times New Roman" w:cs="Times New Roman"/>
          <w:b w:val="0"/>
          <w:bCs w:val="0"/>
          <w:color w:val="auto"/>
        </w:rPr>
        <w:t xml:space="preserve"> </w:t>
      </w:r>
      <w:r w:rsidR="00BF3544" w:rsidRPr="00A16978">
        <w:rPr>
          <w:rFonts w:ascii="Times New Roman" w:hAnsi="Times New Roman" w:cs="Times New Roman"/>
          <w:b w:val="0"/>
          <w:bCs w:val="0"/>
          <w:i/>
          <w:iCs/>
          <w:color w:val="auto"/>
        </w:rPr>
        <w:t xml:space="preserve">Equipos de comunicación y computación </w:t>
      </w:r>
      <w:r w:rsidR="00BF3544">
        <w:rPr>
          <w:rFonts w:ascii="Times New Roman" w:hAnsi="Times New Roman" w:cs="Times New Roman"/>
          <w:b w:val="0"/>
          <w:bCs w:val="0"/>
          <w:color w:val="auto"/>
        </w:rPr>
        <w:t xml:space="preserve">un valor de $257.656 miles, que corresponde a compra </w:t>
      </w:r>
      <w:r w:rsidR="00BF3544" w:rsidRPr="00567B01">
        <w:rPr>
          <w:rFonts w:ascii="Times New Roman" w:hAnsi="Times New Roman" w:cs="Times New Roman"/>
          <w:b w:val="0"/>
          <w:bCs w:val="0"/>
          <w:color w:val="auto"/>
        </w:rPr>
        <w:t>de portátiles, teclados</w:t>
      </w:r>
      <w:r w:rsidR="00BF3544">
        <w:rPr>
          <w:rFonts w:ascii="Times New Roman" w:hAnsi="Times New Roman" w:cs="Times New Roman"/>
          <w:b w:val="0"/>
          <w:bCs w:val="0"/>
          <w:color w:val="auto"/>
        </w:rPr>
        <w:t xml:space="preserve"> y </w:t>
      </w:r>
      <w:r w:rsidR="00BF3544" w:rsidRPr="00567B01">
        <w:rPr>
          <w:rFonts w:ascii="Times New Roman" w:hAnsi="Times New Roman" w:cs="Times New Roman"/>
          <w:b w:val="0"/>
          <w:bCs w:val="0"/>
          <w:color w:val="auto"/>
        </w:rPr>
        <w:t>mouse</w:t>
      </w:r>
      <w:r w:rsidR="00BF3544">
        <w:rPr>
          <w:rFonts w:ascii="Times New Roman" w:hAnsi="Times New Roman" w:cs="Times New Roman"/>
          <w:b w:val="0"/>
          <w:bCs w:val="0"/>
          <w:color w:val="auto"/>
        </w:rPr>
        <w:t>, y en la subcuenta 1</w:t>
      </w:r>
      <w:r w:rsidR="00BF3544" w:rsidRPr="00A16978">
        <w:rPr>
          <w:rFonts w:ascii="Times New Roman" w:hAnsi="Times New Roman" w:cs="Times New Roman"/>
          <w:b w:val="0"/>
          <w:bCs w:val="0"/>
          <w:color w:val="auto"/>
        </w:rPr>
        <w:t>.6.35.03</w:t>
      </w:r>
      <w:r w:rsidR="00BF3544">
        <w:rPr>
          <w:rFonts w:ascii="Times New Roman" w:hAnsi="Times New Roman" w:cs="Times New Roman"/>
          <w:b w:val="0"/>
          <w:bCs w:val="0"/>
          <w:color w:val="auto"/>
        </w:rPr>
        <w:t xml:space="preserve"> </w:t>
      </w:r>
      <w:r w:rsidR="00BF3544" w:rsidRPr="00A16978">
        <w:rPr>
          <w:rFonts w:ascii="Times New Roman" w:hAnsi="Times New Roman" w:cs="Times New Roman"/>
          <w:b w:val="0"/>
          <w:bCs w:val="0"/>
          <w:i/>
          <w:iCs/>
          <w:color w:val="auto"/>
        </w:rPr>
        <w:t>Muebles, enseres y equipo de oficina</w:t>
      </w:r>
      <w:r w:rsidR="00BF3544">
        <w:rPr>
          <w:rFonts w:ascii="Times New Roman" w:hAnsi="Times New Roman" w:cs="Times New Roman"/>
          <w:b w:val="0"/>
          <w:bCs w:val="0"/>
          <w:color w:val="auto"/>
        </w:rPr>
        <w:t xml:space="preserve"> un valor de $916 miles, que corresponden a compra </w:t>
      </w:r>
      <w:r w:rsidR="00BF3544" w:rsidRPr="00567B01">
        <w:rPr>
          <w:rFonts w:ascii="Times New Roman" w:hAnsi="Times New Roman" w:cs="Times New Roman"/>
          <w:b w:val="0"/>
          <w:bCs w:val="0"/>
          <w:color w:val="auto"/>
        </w:rPr>
        <w:t xml:space="preserve">de </w:t>
      </w:r>
      <w:r w:rsidR="00BF3544">
        <w:rPr>
          <w:rFonts w:ascii="Times New Roman" w:hAnsi="Times New Roman" w:cs="Times New Roman"/>
          <w:b w:val="0"/>
          <w:bCs w:val="0"/>
          <w:color w:val="auto"/>
        </w:rPr>
        <w:t>bases para portátil</w:t>
      </w:r>
      <w:r w:rsidR="00BF3544" w:rsidRPr="00567B01">
        <w:rPr>
          <w:rFonts w:ascii="Times New Roman" w:hAnsi="Times New Roman" w:cs="Times New Roman"/>
          <w:b w:val="0"/>
          <w:bCs w:val="0"/>
          <w:color w:val="auto"/>
        </w:rPr>
        <w:t>.  Estos bienes</w:t>
      </w:r>
      <w:r w:rsidR="00BF3544">
        <w:rPr>
          <w:rFonts w:ascii="Times New Roman" w:hAnsi="Times New Roman" w:cs="Times New Roman"/>
          <w:b w:val="0"/>
          <w:bCs w:val="0"/>
          <w:color w:val="auto"/>
        </w:rPr>
        <w:t xml:space="preserve"> son </w:t>
      </w:r>
      <w:r w:rsidR="00BF3544" w:rsidRPr="00567B01">
        <w:rPr>
          <w:rFonts w:ascii="Times New Roman" w:hAnsi="Times New Roman" w:cs="Times New Roman"/>
          <w:b w:val="0"/>
          <w:bCs w:val="0"/>
          <w:color w:val="auto"/>
        </w:rPr>
        <w:t>para uso administrativo</w:t>
      </w:r>
      <w:r w:rsidR="00BF3544">
        <w:rPr>
          <w:rFonts w:ascii="Times New Roman" w:hAnsi="Times New Roman" w:cs="Times New Roman"/>
          <w:b w:val="0"/>
          <w:bCs w:val="0"/>
          <w:color w:val="auto"/>
        </w:rPr>
        <w:t xml:space="preserve"> de la Agencia y se encuentran</w:t>
      </w:r>
      <w:r w:rsidR="00BF3544" w:rsidRPr="00567B01">
        <w:rPr>
          <w:rFonts w:ascii="Times New Roman" w:hAnsi="Times New Roman" w:cs="Times New Roman"/>
          <w:b w:val="0"/>
          <w:bCs w:val="0"/>
          <w:color w:val="auto"/>
        </w:rPr>
        <w:t xml:space="preserve"> en alistamiento para su debida asignación a los funcionarios.</w:t>
      </w:r>
    </w:p>
    <w:p w14:paraId="1BAAEEE8" w14:textId="38C38CC1" w:rsidR="00BF3544" w:rsidRPr="00567B01" w:rsidRDefault="00BF3544" w:rsidP="00BF3544">
      <w:pPr>
        <w:pStyle w:val="Ttulo"/>
        <w:tabs>
          <w:tab w:val="left" w:pos="1843"/>
        </w:tabs>
        <w:jc w:val="both"/>
        <w:rPr>
          <w:rFonts w:ascii="Times New Roman" w:hAnsi="Times New Roman" w:cs="Times New Roman"/>
          <w:b w:val="0"/>
          <w:bCs w:val="0"/>
          <w:color w:val="auto"/>
        </w:rPr>
      </w:pPr>
    </w:p>
    <w:p w14:paraId="15274BC8" w14:textId="1E5CA107" w:rsidR="00D36D3C" w:rsidRPr="00D36D3C" w:rsidRDefault="00D36D3C" w:rsidP="00567B01">
      <w:pPr>
        <w:pStyle w:val="Ttulo"/>
        <w:tabs>
          <w:tab w:val="left" w:pos="1843"/>
        </w:tabs>
        <w:jc w:val="left"/>
        <w:rPr>
          <w:rFonts w:ascii="Times New Roman" w:hAnsi="Times New Roman" w:cs="Times New Roman"/>
          <w:b w:val="0"/>
          <w:bCs w:val="0"/>
          <w:color w:val="auto"/>
        </w:rPr>
      </w:pPr>
      <w:r>
        <w:rPr>
          <w:rFonts w:ascii="Times New Roman" w:hAnsi="Times New Roman" w:cs="Times New Roman"/>
          <w:b w:val="0"/>
          <w:bCs w:val="0"/>
          <w:color w:val="auto"/>
        </w:rPr>
        <w:t>A</w:t>
      </w:r>
      <w:r w:rsidR="00E82315">
        <w:rPr>
          <w:rFonts w:ascii="Times New Roman" w:hAnsi="Times New Roman" w:cs="Times New Roman"/>
          <w:b w:val="0"/>
          <w:bCs w:val="0"/>
          <w:color w:val="auto"/>
        </w:rPr>
        <w:t xml:space="preserve"> </w:t>
      </w:r>
      <w:r>
        <w:rPr>
          <w:rFonts w:ascii="Times New Roman" w:hAnsi="Times New Roman" w:cs="Times New Roman"/>
          <w:b w:val="0"/>
          <w:bCs w:val="0"/>
          <w:color w:val="auto"/>
        </w:rPr>
        <w:t>continuación, se detalla las adquisiciones:</w:t>
      </w:r>
    </w:p>
    <w:p w14:paraId="21310640" w14:textId="53385181" w:rsidR="00D36D3C" w:rsidRDefault="00D36D3C" w:rsidP="00567B01">
      <w:pPr>
        <w:pStyle w:val="Ttulo"/>
        <w:tabs>
          <w:tab w:val="left" w:pos="1843"/>
        </w:tabs>
        <w:jc w:val="left"/>
        <w:rPr>
          <w:rFonts w:ascii="Times New Roman" w:hAnsi="Times New Roman" w:cs="Times New Roman"/>
          <w:color w:val="auto"/>
        </w:rPr>
      </w:pPr>
    </w:p>
    <w:p w14:paraId="7F0C0800" w14:textId="3FBDB92F" w:rsidR="00D36D3C" w:rsidRDefault="00200E72" w:rsidP="00567B01">
      <w:pPr>
        <w:pStyle w:val="Ttulo"/>
        <w:tabs>
          <w:tab w:val="left" w:pos="1843"/>
        </w:tabs>
        <w:jc w:val="left"/>
        <w:rPr>
          <w:rFonts w:ascii="Times New Roman" w:hAnsi="Times New Roman" w:cs="Times New Roman"/>
          <w:color w:val="auto"/>
        </w:rPr>
      </w:pPr>
      <w:r w:rsidRPr="00200E72">
        <w:rPr>
          <w:noProof/>
        </w:rPr>
        <w:drawing>
          <wp:inline distT="0" distB="0" distL="0" distR="0" wp14:anchorId="0F369A5A" wp14:editId="1FB6B801">
            <wp:extent cx="5504180" cy="1151890"/>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180" cy="1151890"/>
                    </a:xfrm>
                    <a:prstGeom prst="rect">
                      <a:avLst/>
                    </a:prstGeom>
                    <a:noFill/>
                    <a:ln>
                      <a:noFill/>
                    </a:ln>
                  </pic:spPr>
                </pic:pic>
              </a:graphicData>
            </a:graphic>
          </wp:inline>
        </w:drawing>
      </w:r>
    </w:p>
    <w:p w14:paraId="795B4B49" w14:textId="77777777" w:rsidR="00D36D3C" w:rsidRDefault="00D36D3C" w:rsidP="00567B01">
      <w:pPr>
        <w:pStyle w:val="Ttulo"/>
        <w:tabs>
          <w:tab w:val="left" w:pos="1843"/>
        </w:tabs>
        <w:jc w:val="left"/>
        <w:rPr>
          <w:rFonts w:ascii="Times New Roman" w:hAnsi="Times New Roman" w:cs="Times New Roman"/>
          <w:color w:val="auto"/>
        </w:rPr>
      </w:pPr>
    </w:p>
    <w:p w14:paraId="7D13409D" w14:textId="7D40B71E" w:rsidR="008B19C5" w:rsidRDefault="008B19C5" w:rsidP="00CD48B3">
      <w:pPr>
        <w:pStyle w:val="Prrafodelista"/>
        <w:ind w:left="1080"/>
        <w:jc w:val="both"/>
        <w:rPr>
          <w:bCs/>
          <w:sz w:val="10"/>
          <w:szCs w:val="10"/>
        </w:rPr>
      </w:pPr>
    </w:p>
    <w:p w14:paraId="36BE02DE" w14:textId="77777777" w:rsidR="00D36D3C" w:rsidRPr="00EF4E57" w:rsidRDefault="00D36D3C" w:rsidP="00CD48B3">
      <w:pPr>
        <w:pStyle w:val="Prrafodelista"/>
        <w:ind w:left="1080"/>
        <w:jc w:val="both"/>
        <w:rPr>
          <w:bCs/>
          <w:sz w:val="10"/>
          <w:szCs w:val="10"/>
        </w:rPr>
      </w:pPr>
    </w:p>
    <w:p w14:paraId="1B24A2F4" w14:textId="119CEFA1" w:rsidR="000509E9" w:rsidRDefault="000509E9" w:rsidP="00540A9F">
      <w:pPr>
        <w:pStyle w:val="Ttulo"/>
        <w:tabs>
          <w:tab w:val="left" w:pos="1843"/>
        </w:tabs>
        <w:jc w:val="left"/>
        <w:rPr>
          <w:rFonts w:ascii="Times New Roman" w:hAnsi="Times New Roman" w:cs="Times New Roman"/>
          <w:color w:val="auto"/>
        </w:rPr>
      </w:pPr>
      <w:bookmarkStart w:id="3" w:name="_Toc28337400"/>
      <w:r w:rsidRPr="00995A1F">
        <w:rPr>
          <w:rFonts w:ascii="Times New Roman" w:hAnsi="Times New Roman" w:cs="Times New Roman"/>
          <w:color w:val="auto"/>
        </w:rPr>
        <w:t>OTROS DERECHOS Y GARANTÍAS</w:t>
      </w:r>
      <w:bookmarkEnd w:id="3"/>
    </w:p>
    <w:p w14:paraId="4CA1BCD8" w14:textId="73D67DA3" w:rsidR="00A30666" w:rsidRDefault="00A30666"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6FB210B0" w:rsidR="003D21BD"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1D371086" w14:textId="64819D66" w:rsidR="009F1554" w:rsidRDefault="009F1554" w:rsidP="000A71D3">
      <w:pPr>
        <w:jc w:val="both"/>
        <w:rPr>
          <w:rFonts w:eastAsia="Calibri"/>
          <w:bCs/>
          <w:color w:val="000000"/>
          <w:lang w:val="es-CO" w:eastAsia="es-CO"/>
        </w:rPr>
      </w:pPr>
    </w:p>
    <w:p w14:paraId="6A57293E" w14:textId="33CF0C70" w:rsidR="00004205" w:rsidRPr="00995A1F" w:rsidRDefault="006A3E13" w:rsidP="00471A69">
      <w:pPr>
        <w:pStyle w:val="Prrafodelista"/>
        <w:numPr>
          <w:ilvl w:val="0"/>
          <w:numId w:val="8"/>
        </w:numPr>
        <w:jc w:val="both"/>
        <w:rPr>
          <w:bCs/>
        </w:rPr>
      </w:pPr>
      <w:r w:rsidRPr="00995A1F">
        <w:rPr>
          <w:rFonts w:eastAsia="Calibri"/>
          <w:bCs/>
          <w:color w:val="000000"/>
          <w:lang w:val="es-CO" w:eastAsia="es-CO"/>
        </w:rPr>
        <w:t xml:space="preserve">En el código contable 1.9.08.01.002 </w:t>
      </w:r>
      <w:r w:rsidRPr="00995A1F">
        <w:rPr>
          <w:rFonts w:eastAsia="Calibri"/>
          <w:bCs/>
          <w:i/>
          <w:iCs/>
          <w:color w:val="000000"/>
          <w:lang w:val="es-CO" w:eastAsia="es-CO"/>
        </w:rPr>
        <w:t xml:space="preserve">En administración </w:t>
      </w:r>
      <w:r w:rsidR="009F511F" w:rsidRPr="00995A1F">
        <w:rPr>
          <w:rFonts w:eastAsia="Calibri"/>
          <w:bCs/>
          <w:i/>
          <w:iCs/>
          <w:color w:val="000000"/>
          <w:lang w:val="es-CO" w:eastAsia="es-CO"/>
        </w:rPr>
        <w:t>DTN - SCUN</w:t>
      </w:r>
      <w:r w:rsidR="00004205" w:rsidRPr="00995A1F">
        <w:rPr>
          <w:rFonts w:eastAsia="Calibri"/>
          <w:bCs/>
          <w:color w:val="000000"/>
          <w:lang w:val="es-CO" w:eastAsia="es-CO"/>
        </w:rPr>
        <w:t xml:space="preserve">, </w:t>
      </w:r>
      <w:r w:rsidR="00343B12">
        <w:rPr>
          <w:rFonts w:eastAsia="Calibri"/>
          <w:bCs/>
          <w:color w:val="000000"/>
          <w:lang w:val="es-CO" w:eastAsia="es-CO"/>
        </w:rPr>
        <w:t xml:space="preserve">se </w:t>
      </w:r>
      <w:r w:rsidR="000C5795" w:rsidRPr="00995A1F">
        <w:rPr>
          <w:rFonts w:eastAsia="Calibri"/>
          <w:bCs/>
          <w:color w:val="000000"/>
          <w:lang w:val="es-CO" w:eastAsia="es-CO"/>
        </w:rPr>
        <w:t>registra</w:t>
      </w:r>
      <w:r w:rsidRPr="00995A1F">
        <w:rPr>
          <w:rFonts w:eastAsia="Calibri"/>
          <w:bCs/>
          <w:color w:val="000000"/>
          <w:lang w:val="es-CO" w:eastAsia="es-CO"/>
        </w:rPr>
        <w:t xml:space="preserve"> </w:t>
      </w:r>
      <w:r w:rsidR="007333A7" w:rsidRPr="00995A1F">
        <w:rPr>
          <w:rFonts w:eastAsia="Calibri"/>
          <w:bCs/>
          <w:color w:val="000000"/>
          <w:lang w:val="es-CO" w:eastAsia="es-CO"/>
        </w:rPr>
        <w:t xml:space="preserve">un saldo por valor de </w:t>
      </w:r>
      <w:r w:rsidR="007333A7" w:rsidRPr="00995A1F">
        <w:rPr>
          <w:bCs/>
        </w:rPr>
        <w:t>$</w:t>
      </w:r>
      <w:r w:rsidR="000C68E9" w:rsidRPr="000C68E9">
        <w:rPr>
          <w:bCs/>
        </w:rPr>
        <w:t xml:space="preserve"> 15</w:t>
      </w:r>
      <w:r w:rsidR="0020677A">
        <w:rPr>
          <w:bCs/>
        </w:rPr>
        <w:t>9</w:t>
      </w:r>
      <w:r w:rsidR="000C68E9" w:rsidRPr="000C68E9">
        <w:rPr>
          <w:bCs/>
        </w:rPr>
        <w:t>.</w:t>
      </w:r>
      <w:r w:rsidR="0020677A">
        <w:rPr>
          <w:bCs/>
        </w:rPr>
        <w:t>935</w:t>
      </w:r>
      <w:r w:rsidR="000C68E9" w:rsidRPr="000C68E9">
        <w:rPr>
          <w:bCs/>
        </w:rPr>
        <w:t>.</w:t>
      </w:r>
      <w:r w:rsidR="0020677A">
        <w:rPr>
          <w:bCs/>
        </w:rPr>
        <w:t>28</w:t>
      </w:r>
      <w:r w:rsidR="00DB4810">
        <w:rPr>
          <w:bCs/>
        </w:rPr>
        <w:t>2</w:t>
      </w:r>
      <w:r w:rsidR="000C68E9" w:rsidRPr="000C68E9">
        <w:rPr>
          <w:bCs/>
        </w:rPr>
        <w:t xml:space="preserve"> </w:t>
      </w:r>
      <w:r w:rsidR="007333A7" w:rsidRPr="00995A1F">
        <w:rPr>
          <w:bCs/>
        </w:rPr>
        <w:t xml:space="preserve">miles, </w:t>
      </w:r>
      <w:r w:rsidR="00343B12" w:rsidRPr="00995A1F">
        <w:rPr>
          <w:rFonts w:eastAsia="Calibri"/>
          <w:bCs/>
          <w:color w:val="000000"/>
          <w:lang w:val="es-CO" w:eastAsia="es-CO"/>
        </w:rPr>
        <w:t xml:space="preserve">a </w:t>
      </w:r>
      <w:r w:rsidR="00343B12">
        <w:rPr>
          <w:rFonts w:eastAsia="Calibri"/>
          <w:bCs/>
          <w:color w:val="000000"/>
          <w:lang w:val="es-CO" w:eastAsia="es-CO"/>
        </w:rPr>
        <w:t>3</w:t>
      </w:r>
      <w:r w:rsidR="0020677A">
        <w:rPr>
          <w:rFonts w:eastAsia="Calibri"/>
          <w:bCs/>
          <w:color w:val="000000"/>
          <w:lang w:val="es-CO" w:eastAsia="es-CO"/>
        </w:rPr>
        <w:t>0</w:t>
      </w:r>
      <w:r w:rsidR="00343B12">
        <w:rPr>
          <w:rFonts w:eastAsia="Calibri"/>
          <w:bCs/>
          <w:color w:val="000000"/>
          <w:lang w:val="es-CO" w:eastAsia="es-CO"/>
        </w:rPr>
        <w:t xml:space="preserve"> </w:t>
      </w:r>
      <w:r w:rsidR="00343B12" w:rsidRPr="00995A1F">
        <w:rPr>
          <w:rFonts w:eastAsia="Calibri"/>
          <w:bCs/>
          <w:color w:val="000000"/>
          <w:lang w:val="es-CO" w:eastAsia="es-CO"/>
        </w:rPr>
        <w:t xml:space="preserve">de </w:t>
      </w:r>
      <w:r w:rsidR="0020677A">
        <w:rPr>
          <w:rFonts w:eastAsia="Calibri"/>
          <w:bCs/>
          <w:color w:val="000000"/>
          <w:lang w:val="es-CO" w:eastAsia="es-CO"/>
        </w:rPr>
        <w:t>abril</w:t>
      </w:r>
      <w:r w:rsidR="00343B12" w:rsidRPr="00995A1F">
        <w:rPr>
          <w:rFonts w:eastAsia="Calibri"/>
          <w:bCs/>
          <w:color w:val="000000"/>
          <w:lang w:val="es-CO" w:eastAsia="es-CO"/>
        </w:rPr>
        <w:t xml:space="preserve"> de 202</w:t>
      </w:r>
      <w:r w:rsidR="00343B12">
        <w:rPr>
          <w:rFonts w:eastAsia="Calibri"/>
          <w:bCs/>
          <w:color w:val="000000"/>
          <w:lang w:val="es-CO" w:eastAsia="es-CO"/>
        </w:rPr>
        <w:t xml:space="preserve">1, </w:t>
      </w:r>
      <w:r w:rsidR="007333A7" w:rsidRPr="00995A1F">
        <w:rPr>
          <w:bCs/>
        </w:rPr>
        <w:t xml:space="preserve">que corresponde a </w:t>
      </w:r>
      <w:r w:rsidR="00004205" w:rsidRPr="00995A1F">
        <w:rPr>
          <w:rFonts w:eastAsia="Calibri"/>
          <w:bCs/>
          <w:color w:val="000000"/>
          <w:lang w:val="es-CO" w:eastAsia="es-CO"/>
        </w:rPr>
        <w:t xml:space="preserve">los recursos </w:t>
      </w:r>
      <w:r w:rsidR="007333A7" w:rsidRPr="00995A1F">
        <w:rPr>
          <w:rFonts w:eastAsia="Calibri"/>
          <w:bCs/>
          <w:color w:val="000000"/>
          <w:lang w:val="es-CO" w:eastAsia="es-CO"/>
        </w:rPr>
        <w:t>en el</w:t>
      </w:r>
      <w:r w:rsidR="00004205" w:rsidRPr="00995A1F">
        <w:rPr>
          <w:rFonts w:eastAsia="Calibri"/>
          <w:bCs/>
          <w:color w:val="000000"/>
          <w:lang w:val="es-CO" w:eastAsia="es-CO"/>
        </w:rPr>
        <w:t xml:space="preserve"> </w:t>
      </w:r>
      <w:r w:rsidR="00986F2B" w:rsidRPr="00995A1F">
        <w:rPr>
          <w:bCs/>
        </w:rPr>
        <w:t>sistema de cuenta única nacional – SCUN</w:t>
      </w:r>
      <w:r w:rsidR="00004205" w:rsidRPr="00995A1F">
        <w:rPr>
          <w:bCs/>
        </w:rPr>
        <w:t>,</w:t>
      </w:r>
      <w:r w:rsidR="00986F2B" w:rsidRPr="00995A1F">
        <w:rPr>
          <w:bCs/>
        </w:rPr>
        <w:t xml:space="preserve"> </w:t>
      </w:r>
      <w:r w:rsidR="00D0643A" w:rsidRPr="00995A1F">
        <w:rPr>
          <w:bCs/>
        </w:rPr>
        <w:t xml:space="preserve">el cual es </w:t>
      </w:r>
      <w:r w:rsidR="00986F2B" w:rsidRPr="00995A1F">
        <w:rPr>
          <w:bCs/>
        </w:rPr>
        <w:t>definido</w:t>
      </w:r>
      <w:r w:rsidR="000C5795" w:rsidRPr="00995A1F">
        <w:rPr>
          <w:bCs/>
        </w:rPr>
        <w:t>,</w:t>
      </w:r>
      <w:r w:rsidR="00986F2B" w:rsidRPr="00995A1F">
        <w:rPr>
          <w:bCs/>
        </w:rPr>
        <w:t xml:space="preserve"> en el artículo 1º del Decreto 2785 del 29 de noviembre de 2013</w:t>
      </w:r>
      <w:r w:rsidR="000C5795" w:rsidRPr="00995A1F">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6C4A346D"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474ADF" w:rsidRPr="00995A1F">
        <w:rPr>
          <w:bCs/>
        </w:rPr>
        <w:t xml:space="preserve">el mes de </w:t>
      </w:r>
      <w:r w:rsidR="00D96E1F">
        <w:rPr>
          <w:bCs/>
        </w:rPr>
        <w:t>abril</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22537A9F" w14:textId="18A4495C" w:rsidR="00720BD7" w:rsidRDefault="00720BD7" w:rsidP="007333A7">
      <w:pPr>
        <w:ind w:left="708"/>
        <w:jc w:val="both"/>
        <w:rPr>
          <w:bCs/>
        </w:rPr>
      </w:pPr>
    </w:p>
    <w:p w14:paraId="719F10CE" w14:textId="2B02146F" w:rsidR="00180AAC" w:rsidRDefault="00180AAC" w:rsidP="006700FF">
      <w:pPr>
        <w:jc w:val="both"/>
        <w:rPr>
          <w:bCs/>
        </w:rPr>
      </w:pPr>
      <w:r w:rsidRPr="00180AAC">
        <w:rPr>
          <w:noProof/>
        </w:rPr>
        <w:drawing>
          <wp:inline distT="0" distB="0" distL="0" distR="0" wp14:anchorId="41956984" wp14:editId="555A0611">
            <wp:extent cx="5612130" cy="4675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75505"/>
                    </a:xfrm>
                    <a:prstGeom prst="rect">
                      <a:avLst/>
                    </a:prstGeom>
                    <a:noFill/>
                    <a:ln>
                      <a:noFill/>
                    </a:ln>
                  </pic:spPr>
                </pic:pic>
              </a:graphicData>
            </a:graphic>
          </wp:inline>
        </w:drawing>
      </w:r>
    </w:p>
    <w:p w14:paraId="116A28C8" w14:textId="30AB2D64" w:rsidR="00180AAC" w:rsidRDefault="00180AAC" w:rsidP="007333A7">
      <w:pPr>
        <w:ind w:left="708"/>
        <w:jc w:val="both"/>
        <w:rPr>
          <w:bCs/>
        </w:rPr>
      </w:pPr>
    </w:p>
    <w:p w14:paraId="137661CB" w14:textId="749AD077" w:rsidR="001209CF" w:rsidRDefault="001209CF" w:rsidP="00540A9F">
      <w:pPr>
        <w:pStyle w:val="Ttulo"/>
        <w:tabs>
          <w:tab w:val="left" w:pos="1843"/>
        </w:tabs>
        <w:jc w:val="left"/>
        <w:rPr>
          <w:rFonts w:ascii="Times New Roman" w:hAnsi="Times New Roman" w:cs="Times New Roman"/>
          <w:color w:val="auto"/>
        </w:rPr>
      </w:pPr>
    </w:p>
    <w:p w14:paraId="248A9EA6" w14:textId="15BAF5EE" w:rsidR="001209CF" w:rsidRDefault="001209CF" w:rsidP="001209CF">
      <w:pPr>
        <w:jc w:val="both"/>
        <w:rPr>
          <w:rFonts w:eastAsia="Calibri"/>
          <w:b/>
          <w:bCs/>
          <w:color w:val="000000"/>
          <w:lang w:val="es-CO" w:eastAsia="es-CO"/>
        </w:rPr>
      </w:pPr>
      <w:r w:rsidRPr="00E82315">
        <w:rPr>
          <w:rFonts w:eastAsia="Calibri"/>
          <w:b/>
          <w:bCs/>
          <w:color w:val="000000"/>
          <w:lang w:val="es-CO" w:eastAsia="es-CO"/>
        </w:rPr>
        <w:t>Intangibles</w:t>
      </w:r>
    </w:p>
    <w:p w14:paraId="40796322" w14:textId="0BDCE79F" w:rsidR="00D30E8E" w:rsidRDefault="00D30E8E" w:rsidP="001209CF">
      <w:pPr>
        <w:jc w:val="both"/>
        <w:rPr>
          <w:rFonts w:eastAsia="Calibri"/>
          <w:b/>
          <w:bCs/>
          <w:color w:val="000000"/>
          <w:lang w:val="es-CO" w:eastAsia="es-CO"/>
        </w:rPr>
      </w:pPr>
    </w:p>
    <w:p w14:paraId="38EA443E" w14:textId="541C7698" w:rsidR="001209CF" w:rsidRPr="00E82315" w:rsidRDefault="001209CF" w:rsidP="001209CF">
      <w:pPr>
        <w:jc w:val="both"/>
      </w:pPr>
      <w:r w:rsidRPr="00E82315">
        <w:t xml:space="preserve">En </w:t>
      </w:r>
      <w:r w:rsidR="00F26028" w:rsidRPr="00E82315">
        <w:t>abril</w:t>
      </w:r>
      <w:r w:rsidRPr="00E82315">
        <w:t xml:space="preserve"> de 2021, los montos adquiridos por devolutivo en servicio en la subcuenta 1.9.70.07 </w:t>
      </w:r>
      <w:r w:rsidRPr="00E82315">
        <w:rPr>
          <w:i/>
          <w:iCs/>
        </w:rPr>
        <w:t>Licencias</w:t>
      </w:r>
      <w:r w:rsidRPr="00E82315">
        <w:t xml:space="preserve"> </w:t>
      </w:r>
      <w:r w:rsidR="00E066A0">
        <w:t xml:space="preserve">son por valor </w:t>
      </w:r>
      <w:r w:rsidRPr="00E82315">
        <w:t>de $</w:t>
      </w:r>
      <w:r w:rsidR="00E82315" w:rsidRPr="00E82315">
        <w:t>78.187</w:t>
      </w:r>
      <w:r w:rsidRPr="00E82315">
        <w:t xml:space="preserve"> miles.</w:t>
      </w:r>
    </w:p>
    <w:p w14:paraId="0F7A005B" w14:textId="566C5BC7" w:rsidR="001209CF" w:rsidRPr="00E82315" w:rsidRDefault="001209CF" w:rsidP="001209CF">
      <w:pPr>
        <w:jc w:val="both"/>
      </w:pPr>
    </w:p>
    <w:p w14:paraId="1609CE64" w14:textId="62D14FB7" w:rsidR="001209CF" w:rsidRDefault="001209CF" w:rsidP="001209CF">
      <w:pPr>
        <w:jc w:val="both"/>
      </w:pPr>
      <w:r w:rsidRPr="00E82315">
        <w:t>A continuación, se detalla las adquisiciones:</w:t>
      </w:r>
    </w:p>
    <w:p w14:paraId="12EBFEB8" w14:textId="02978727" w:rsidR="00E82315" w:rsidRDefault="00E82315" w:rsidP="001209CF">
      <w:pPr>
        <w:jc w:val="both"/>
      </w:pPr>
    </w:p>
    <w:p w14:paraId="0A28A063" w14:textId="20EC49DC" w:rsidR="00E82315" w:rsidRDefault="00E066A0" w:rsidP="00E82315">
      <w:pPr>
        <w:jc w:val="center"/>
      </w:pPr>
      <w:r w:rsidRPr="00E066A0">
        <w:rPr>
          <w:noProof/>
        </w:rPr>
        <w:drawing>
          <wp:inline distT="0" distB="0" distL="0" distR="0" wp14:anchorId="0340130B" wp14:editId="1CE97AF6">
            <wp:extent cx="5052951" cy="15319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6128" cy="1535970"/>
                    </a:xfrm>
                    <a:prstGeom prst="rect">
                      <a:avLst/>
                    </a:prstGeom>
                    <a:noFill/>
                    <a:ln>
                      <a:noFill/>
                    </a:ln>
                  </pic:spPr>
                </pic:pic>
              </a:graphicData>
            </a:graphic>
          </wp:inline>
        </w:drawing>
      </w: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767E8F16"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F26028">
        <w:rPr>
          <w:rFonts w:ascii="Times New Roman" w:hAnsi="Times New Roman" w:cs="Times New Roman"/>
          <w:color w:val="auto"/>
        </w:rPr>
        <w:t>ABRIL</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F26028">
        <w:rPr>
          <w:rFonts w:ascii="Times New Roman" w:hAnsi="Times New Roman" w:cs="Times New Roman"/>
          <w:color w:val="auto"/>
        </w:rPr>
        <w:t>ABRIL</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644079B4" w14:textId="5C4B7D92" w:rsidR="00F53779" w:rsidRDefault="00F53779" w:rsidP="00540A9F">
      <w:pPr>
        <w:pStyle w:val="Ttulo"/>
        <w:tabs>
          <w:tab w:val="left" w:pos="1843"/>
        </w:tabs>
        <w:rPr>
          <w:rFonts w:ascii="Times New Roman" w:hAnsi="Times New Roman" w:cs="Times New Roman"/>
          <w:color w:val="auto"/>
        </w:rPr>
      </w:pPr>
    </w:p>
    <w:p w14:paraId="571D242D" w14:textId="6DCDEFD7" w:rsidR="00041229" w:rsidRDefault="00041229" w:rsidP="00540A9F">
      <w:pPr>
        <w:pStyle w:val="Ttulo"/>
        <w:tabs>
          <w:tab w:val="left" w:pos="1843"/>
        </w:tabs>
        <w:rPr>
          <w:rFonts w:ascii="Times New Roman" w:hAnsi="Times New Roman" w:cs="Times New Roman"/>
          <w:color w:val="auto"/>
        </w:rPr>
      </w:pPr>
      <w:r w:rsidRPr="00041229">
        <w:rPr>
          <w:noProof/>
        </w:rPr>
        <w:drawing>
          <wp:inline distT="0" distB="0" distL="0" distR="0" wp14:anchorId="6ED1A08F" wp14:editId="5C9A2C66">
            <wp:extent cx="5612130" cy="242125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21255"/>
                    </a:xfrm>
                    <a:prstGeom prst="rect">
                      <a:avLst/>
                    </a:prstGeom>
                    <a:noFill/>
                    <a:ln>
                      <a:noFill/>
                    </a:ln>
                  </pic:spPr>
                </pic:pic>
              </a:graphicData>
            </a:graphic>
          </wp:inline>
        </w:drawing>
      </w:r>
    </w:p>
    <w:p w14:paraId="222B7D19" w14:textId="77777777" w:rsidR="00041229" w:rsidRDefault="00041229" w:rsidP="00540A9F">
      <w:pPr>
        <w:pStyle w:val="Ttulo"/>
        <w:tabs>
          <w:tab w:val="left" w:pos="1843"/>
        </w:tabs>
        <w:rPr>
          <w:rFonts w:ascii="Times New Roman" w:hAnsi="Times New Roman" w:cs="Times New Roman"/>
          <w:color w:val="auto"/>
        </w:rPr>
      </w:pPr>
    </w:p>
    <w:p w14:paraId="3BBAA7D3" w14:textId="6E2BDF2C" w:rsidR="00C21E64" w:rsidRDefault="00CF3505" w:rsidP="00360BD6">
      <w:pPr>
        <w:jc w:val="both"/>
      </w:pPr>
      <w:r w:rsidRPr="00995A1F">
        <w:t xml:space="preserve">Los pasivos </w:t>
      </w:r>
      <w:r w:rsidR="00360BD6">
        <w:t>a</w:t>
      </w:r>
      <w:r w:rsidR="00EA39A5">
        <w:t>l corte de</w:t>
      </w:r>
      <w:r w:rsidRPr="00995A1F">
        <w:t xml:space="preserve"> </w:t>
      </w:r>
      <w:r w:rsidR="00041229">
        <w:t>abril</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041229">
        <w:t>19</w:t>
      </w:r>
      <w:r w:rsidR="00E11F68" w:rsidRPr="00995A1F">
        <w:t>.</w:t>
      </w:r>
      <w:r w:rsidR="00041229">
        <w:t>65</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de $</w:t>
      </w:r>
      <w:r w:rsidR="00041229" w:rsidRPr="00041229">
        <w:t xml:space="preserve"> 5.332.277.131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041229">
        <w:t>abril</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obedece principalmente a</w:t>
      </w:r>
      <w:r w:rsidR="000C550D" w:rsidRPr="00995A1F">
        <w:t xml:space="preserve"> un incremento </w:t>
      </w:r>
      <w:r w:rsidR="00E23DCB" w:rsidRPr="00995A1F">
        <w:t xml:space="preserve">del </w:t>
      </w:r>
      <w:r w:rsidR="009E58CA" w:rsidRPr="00995A1F">
        <w:t xml:space="preserve">grupo </w:t>
      </w:r>
      <w:r w:rsidR="00360BD6">
        <w:t xml:space="preserve">2.9 </w:t>
      </w:r>
      <w:r w:rsidR="00360BD6" w:rsidRPr="0012553F">
        <w:rPr>
          <w:i/>
          <w:iCs/>
        </w:rPr>
        <w:t>Otros pasivos</w:t>
      </w:r>
      <w:r w:rsidR="00360BD6">
        <w:t xml:space="preserve"> (1) por valor de</w:t>
      </w:r>
      <w:r w:rsidR="00FF53C1">
        <w:t xml:space="preserve"> $</w:t>
      </w:r>
      <w:r w:rsidR="00AE7F00" w:rsidRPr="00AE7F00">
        <w:t>3.188.824.113</w:t>
      </w:r>
      <w:r w:rsidR="00AE7F00">
        <w:t xml:space="preserve"> </w:t>
      </w:r>
      <w:r w:rsidR="00DF71E7">
        <w:t xml:space="preserve">miles, </w:t>
      </w:r>
      <w:r w:rsidR="00360BD6" w:rsidRPr="00995A1F">
        <w:t xml:space="preserve">un incremento </w:t>
      </w:r>
      <w:r w:rsidR="0062190E">
        <w:t>en</w:t>
      </w:r>
      <w:r w:rsidR="00360BD6" w:rsidRPr="00995A1F">
        <w:t xml:space="preserve"> el pasivo corriente y no corriente del grupo</w:t>
      </w:r>
      <w:r w:rsidR="00360BD6">
        <w:t xml:space="preserve"> </w:t>
      </w:r>
      <w:r w:rsidR="009E58CA" w:rsidRPr="00995A1F">
        <w:t>2</w:t>
      </w:r>
      <w:r w:rsidR="00A731EA" w:rsidRPr="00995A1F">
        <w:t>.</w:t>
      </w:r>
      <w:r w:rsidR="009E58CA" w:rsidRPr="00995A1F">
        <w:t xml:space="preserve">3 </w:t>
      </w:r>
      <w:r w:rsidR="009E58CA" w:rsidRPr="0012553F">
        <w:rPr>
          <w:i/>
        </w:rPr>
        <w:t>Préstamos por pagar</w:t>
      </w:r>
      <w:r w:rsidR="007D0BB9" w:rsidRPr="00995A1F">
        <w:rPr>
          <w:iCs/>
        </w:rPr>
        <w:t xml:space="preserve"> (</w:t>
      </w:r>
      <w:r w:rsidR="00360BD6">
        <w:rPr>
          <w:iCs/>
        </w:rPr>
        <w:t>2</w:t>
      </w:r>
      <w:r w:rsidR="007D0BB9" w:rsidRPr="00995A1F">
        <w:rPr>
          <w:iCs/>
        </w:rPr>
        <w:t>)</w:t>
      </w:r>
      <w:r w:rsidR="000C550D" w:rsidRPr="00995A1F">
        <w:rPr>
          <w:iCs/>
        </w:rPr>
        <w:t xml:space="preserve"> por valor</w:t>
      </w:r>
      <w:r w:rsidR="000C550D" w:rsidRPr="00995A1F">
        <w:t xml:space="preserve"> de $</w:t>
      </w:r>
      <w:r w:rsidR="00041229" w:rsidRPr="00041229">
        <w:t xml:space="preserve">1.553.251.823 </w:t>
      </w:r>
      <w:r w:rsidR="000C550D" w:rsidRPr="00995A1F">
        <w:t>miles</w:t>
      </w:r>
      <w:r w:rsidR="00C84585">
        <w:t>,</w:t>
      </w:r>
      <w:r w:rsidR="00DF71E7">
        <w:t xml:space="preserve"> y un incremento </w:t>
      </w:r>
      <w:r w:rsidR="00C84585">
        <w:t xml:space="preserve">en el grupo 2.4 </w:t>
      </w:r>
      <w:r w:rsidR="00C84585" w:rsidRPr="003912E2">
        <w:rPr>
          <w:i/>
          <w:iCs/>
        </w:rPr>
        <w:t>Cuentas por pagar</w:t>
      </w:r>
      <w:r w:rsidR="00C84585">
        <w:t xml:space="preserve"> </w:t>
      </w:r>
      <w:r w:rsidR="00DF71E7">
        <w:t>de $</w:t>
      </w:r>
      <w:r w:rsidR="00041229" w:rsidRPr="00041229">
        <w:t xml:space="preserve"> 607.184.364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65BFD477"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8040EC" w:rsidRPr="008040EC">
        <w:t>3.188.824.113</w:t>
      </w:r>
      <w:r w:rsidR="008040EC">
        <w:t xml:space="preserve"> </w:t>
      </w:r>
      <w:r w:rsidR="003035F3">
        <w:t xml:space="preserve">miles, </w:t>
      </w:r>
      <w:r>
        <w:t>se debe a</w:t>
      </w:r>
      <w:r w:rsidR="003035F3">
        <w:t xml:space="preserve"> un incremento en </w:t>
      </w:r>
      <w:r w:rsidR="00CA6663">
        <w:t xml:space="preserve">la cuenta </w:t>
      </w:r>
      <w:r w:rsidR="003035F3" w:rsidRPr="00CC5D7D">
        <w:rPr>
          <w:i/>
          <w:iCs/>
        </w:rPr>
        <w:t xml:space="preserve">Otros </w:t>
      </w:r>
      <w:r w:rsidR="002C4F4F">
        <w:rPr>
          <w:i/>
          <w:iCs/>
        </w:rPr>
        <w:t>pasivos diferidos</w:t>
      </w:r>
      <w:r w:rsidR="003035F3">
        <w:t xml:space="preserve">, subcuenta </w:t>
      </w:r>
      <w:r w:rsidR="00CA6663" w:rsidRPr="00CA6663">
        <w:t>2.9.90.04</w:t>
      </w:r>
      <w:r w:rsidR="00CA6663">
        <w:t xml:space="preserve">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7777777"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24A90E40" w14:textId="69F93EE5"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Pr>
          <w:rFonts w:ascii="Times New Roman" w:hAnsi="Times New Roman" w:cs="Times New Roman"/>
          <w:b w:val="0"/>
          <w:color w:val="auto"/>
          <w:lang w:val="es-ES"/>
        </w:rPr>
        <w:t xml:space="preserve"> de las </w:t>
      </w:r>
      <w:r w:rsidRPr="00995A1F">
        <w:rPr>
          <w:rFonts w:ascii="Times New Roman" w:hAnsi="Times New Roman" w:cs="Times New Roman"/>
          <w:b w:val="0"/>
          <w:color w:val="auto"/>
          <w:lang w:val="es-ES"/>
        </w:rPr>
        <w:t xml:space="preserve">inversiones realizadas por los concesionarios en </w:t>
      </w:r>
      <w:r w:rsidR="001A3EB3">
        <w:rPr>
          <w:rFonts w:ascii="Times New Roman" w:hAnsi="Times New Roman" w:cs="Times New Roman"/>
          <w:b w:val="0"/>
          <w:color w:val="auto"/>
          <w:lang w:val="es-ES"/>
        </w:rPr>
        <w:t xml:space="preserve">el </w:t>
      </w:r>
      <w:r w:rsidRPr="00995A1F">
        <w:rPr>
          <w:rFonts w:ascii="Times New Roman" w:hAnsi="Times New Roman" w:cs="Times New Roman"/>
          <w:b w:val="0"/>
          <w:color w:val="auto"/>
          <w:lang w:val="es-ES"/>
        </w:rPr>
        <w:t>modo portuario</w:t>
      </w:r>
      <w:r w:rsidR="00E632E3">
        <w:rPr>
          <w:rFonts w:ascii="Times New Roman" w:hAnsi="Times New Roman" w:cs="Times New Roman"/>
          <w:b w:val="0"/>
          <w:color w:val="auto"/>
          <w:lang w:val="es-ES"/>
        </w:rPr>
        <w:t>,</w:t>
      </w:r>
      <w:r>
        <w:rPr>
          <w:rFonts w:ascii="Times New Roman" w:hAnsi="Times New Roman" w:cs="Times New Roman"/>
          <w:b w:val="0"/>
          <w:color w:val="auto"/>
          <w:lang w:val="es-ES"/>
        </w:rPr>
        <w:t xml:space="preserve"> para la vigencia 2020.</w:t>
      </w:r>
    </w:p>
    <w:p w14:paraId="23688142" w14:textId="2FCDBA8C" w:rsidR="005B5AFA" w:rsidRPr="005B5AFA" w:rsidRDefault="005B5AFA" w:rsidP="00471A69">
      <w:pPr>
        <w:pStyle w:val="Prrafodelista"/>
        <w:numPr>
          <w:ilvl w:val="0"/>
          <w:numId w:val="2"/>
        </w:numPr>
        <w:ind w:left="709" w:hanging="349"/>
        <w:jc w:val="both"/>
        <w:rPr>
          <w:lang w:eastAsia="es-CO"/>
        </w:rPr>
      </w:pPr>
      <w:r w:rsidRPr="005B5AFA">
        <w:rPr>
          <w:bCs/>
        </w:rPr>
        <w:t>Actualización de</w:t>
      </w:r>
      <w:r w:rsidRPr="000C0989">
        <w:t xml:space="preserve">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05887E8" w14:textId="05AEE4A4" w:rsidR="005B5AFA" w:rsidRDefault="005B5AFA" w:rsidP="00471A69">
      <w:pPr>
        <w:pStyle w:val="Prrafodelista"/>
        <w:numPr>
          <w:ilvl w:val="0"/>
          <w:numId w:val="2"/>
        </w:numPr>
        <w:ind w:left="709" w:hanging="349"/>
        <w:jc w:val="both"/>
        <w:rPr>
          <w:bCs/>
          <w:lang w:eastAsia="es-CO"/>
        </w:rPr>
      </w:pPr>
      <w:r w:rsidRPr="005B5AFA">
        <w:rPr>
          <w:bCs/>
        </w:rPr>
        <w:t>Amortización</w:t>
      </w:r>
      <w:r>
        <w:rPr>
          <w:bCs/>
        </w:rPr>
        <w:t xml:space="preserve"> del pasivo diferido conforme a los plazos de los acuerdo</w:t>
      </w:r>
      <w:r w:rsidR="00E632E3">
        <w:rPr>
          <w:bCs/>
        </w:rPr>
        <w:t>s</w:t>
      </w:r>
      <w:r>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2C6346E9" w:rsidR="009526BA" w:rsidRDefault="001B0559" w:rsidP="00471A69">
      <w:pPr>
        <w:pStyle w:val="Prrafodelista"/>
        <w:numPr>
          <w:ilvl w:val="0"/>
          <w:numId w:val="8"/>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CB0B6A">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2169B5C9" w:rsidR="00D7755C" w:rsidRDefault="009526BA" w:rsidP="00471A69">
      <w:pPr>
        <w:pStyle w:val="Prrafodelista"/>
        <w:numPr>
          <w:ilvl w:val="0"/>
          <w:numId w:val="8"/>
        </w:numPr>
        <w:jc w:val="both"/>
        <w:rPr>
          <w:lang w:eastAsia="es-CO"/>
        </w:rPr>
      </w:pPr>
      <w:r>
        <w:rPr>
          <w:lang w:eastAsia="es-CO"/>
        </w:rPr>
        <w:t>El incremento en l</w:t>
      </w:r>
      <w:r w:rsidR="00BA1A76" w:rsidRPr="00995A1F">
        <w:rPr>
          <w:lang w:eastAsia="es-CO"/>
        </w:rPr>
        <w:t xml:space="preserve">a subcuenta </w:t>
      </w:r>
      <w:r w:rsidR="00BA1A76" w:rsidRPr="009526BA">
        <w:rPr>
          <w:i/>
          <w:iCs/>
          <w:lang w:eastAsia="es-CO"/>
        </w:rPr>
        <w:t>P</w:t>
      </w:r>
      <w:r w:rsidR="00D7755C" w:rsidRPr="009526BA">
        <w:rPr>
          <w:i/>
          <w:iCs/>
          <w:lang w:eastAsia="es-CO"/>
        </w:rPr>
        <w:t xml:space="preserve">asivo </w:t>
      </w:r>
      <w:r w:rsidR="00BA1A76" w:rsidRPr="009526BA">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w:t>
      </w:r>
      <w:r w:rsidR="00CF676B">
        <w:rPr>
          <w:lang w:eastAsia="es-CO"/>
        </w:rPr>
        <w:t>0</w:t>
      </w:r>
      <w:r w:rsidR="00592A10">
        <w:rPr>
          <w:lang w:eastAsia="es-CO"/>
        </w:rPr>
        <w:t xml:space="preserve"> </w:t>
      </w:r>
      <w:r w:rsidR="00084579" w:rsidRPr="00995A1F">
        <w:rPr>
          <w:lang w:eastAsia="es-CO"/>
        </w:rPr>
        <w:t xml:space="preserve">de </w:t>
      </w:r>
      <w:r w:rsidR="00CF676B">
        <w:rPr>
          <w:lang w:eastAsia="es-CO"/>
        </w:rPr>
        <w:t>abril</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9526BA">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0D8A2291"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075CDC03" w14:textId="10710F92" w:rsidR="00A35340" w:rsidRDefault="00A35340" w:rsidP="00366E43">
      <w:pPr>
        <w:jc w:val="both"/>
        <w:rPr>
          <w:lang w:eastAsia="es-CO"/>
        </w:rPr>
      </w:pPr>
    </w:p>
    <w:p w14:paraId="5C6F1B85" w14:textId="2D7FA219" w:rsidR="00A35340" w:rsidRDefault="00A35340" w:rsidP="00366E43">
      <w:pPr>
        <w:jc w:val="both"/>
        <w:rPr>
          <w:lang w:eastAsia="es-CO"/>
        </w:rPr>
      </w:pPr>
    </w:p>
    <w:p w14:paraId="147A5853" w14:textId="1AB50BED" w:rsidR="00A35340" w:rsidRDefault="00A35340" w:rsidP="00366E43">
      <w:pPr>
        <w:jc w:val="both"/>
        <w:rPr>
          <w:lang w:eastAsia="es-CO"/>
        </w:rPr>
      </w:pPr>
      <w:r w:rsidRPr="00A35340">
        <w:rPr>
          <w:noProof/>
        </w:rPr>
        <w:drawing>
          <wp:inline distT="0" distB="0" distL="0" distR="0" wp14:anchorId="63B8536F" wp14:editId="7293DF9C">
            <wp:extent cx="5541666" cy="2167006"/>
            <wp:effectExtent l="0" t="0" r="190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743" cy="2168209"/>
                    </a:xfrm>
                    <a:prstGeom prst="rect">
                      <a:avLst/>
                    </a:prstGeom>
                    <a:noFill/>
                    <a:ln>
                      <a:noFill/>
                    </a:ln>
                  </pic:spPr>
                </pic:pic>
              </a:graphicData>
            </a:graphic>
          </wp:inline>
        </w:drawing>
      </w:r>
    </w:p>
    <w:p w14:paraId="4DA3574D" w14:textId="610BF291" w:rsidR="00FF0DC1" w:rsidRPr="00566EEC" w:rsidRDefault="00FF0DC1" w:rsidP="00366E43">
      <w:pPr>
        <w:jc w:val="both"/>
        <w:rPr>
          <w:lang w:eastAsia="es-CO"/>
        </w:rPr>
      </w:pPr>
    </w:p>
    <w:p w14:paraId="5E56F8E2" w14:textId="77777777" w:rsidR="00566EEC" w:rsidRPr="00566EEC" w:rsidRDefault="00566EEC"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7E03774E"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w:t>
      </w:r>
      <w:r w:rsidR="00A35340" w:rsidRPr="00A35340">
        <w:rPr>
          <w:lang w:eastAsia="es-CO"/>
        </w:rPr>
        <w:t>698.329.501</w:t>
      </w:r>
      <w:r w:rsidR="00A35340">
        <w:rPr>
          <w:lang w:eastAsia="es-CO"/>
        </w:rPr>
        <w:t xml:space="preserve"> </w:t>
      </w:r>
      <w:r>
        <w:rPr>
          <w:lang w:eastAsia="es-CO"/>
        </w:rPr>
        <w:t xml:space="preserve">miles, en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w:t>
      </w:r>
      <w:r w:rsidR="00A35340">
        <w:rPr>
          <w:lang w:eastAsia="es-CO"/>
        </w:rPr>
        <w:t>Esta</w:t>
      </w:r>
      <w:r>
        <w:rPr>
          <w:lang w:eastAsia="es-CO"/>
        </w:rPr>
        <w:t xml:space="preserve"> </w:t>
      </w:r>
      <w:r w:rsidR="00A35340">
        <w:rPr>
          <w:lang w:eastAsia="es-CO"/>
        </w:rPr>
        <w:t>i</w:t>
      </w:r>
      <w:r>
        <w:rPr>
          <w:lang w:eastAsia="es-CO"/>
        </w:rPr>
        <w:t xml:space="preserve">nformación </w:t>
      </w:r>
      <w:r w:rsidR="00A35340">
        <w:rPr>
          <w:lang w:eastAsia="es-CO"/>
        </w:rPr>
        <w:t xml:space="preserve">es </w:t>
      </w:r>
      <w:r>
        <w:rPr>
          <w:lang w:eastAsia="es-CO"/>
        </w:rPr>
        <w:t xml:space="preserve">reportada </w:t>
      </w:r>
      <w:r w:rsidRPr="00950AD3">
        <w:rPr>
          <w:lang w:eastAsia="es-CO"/>
        </w:rPr>
        <w:t>por la Vicepresidencia Ejecutiva y la Vicepresidencia de Gestión Contractual, mediante formato GCSP-F-006-LIQUIDACIÓN DE LA DEUDA.</w:t>
      </w:r>
    </w:p>
    <w:p w14:paraId="3C218DEC" w14:textId="7384E9E3" w:rsidR="00950AD3" w:rsidRPr="00566EEC" w:rsidRDefault="00950AD3" w:rsidP="00C37BB5">
      <w:pPr>
        <w:jc w:val="both"/>
        <w:rPr>
          <w:sz w:val="16"/>
          <w:szCs w:val="16"/>
          <w:lang w:eastAsia="es-CO"/>
        </w:rPr>
      </w:pPr>
    </w:p>
    <w:p w14:paraId="24BCF96B" w14:textId="7CC027E6" w:rsidR="00C37BB5" w:rsidRDefault="00C37BB5" w:rsidP="00C37BB5">
      <w:pPr>
        <w:jc w:val="both"/>
        <w:rPr>
          <w:sz w:val="20"/>
          <w:szCs w:val="20"/>
          <w:lang w:eastAsia="es-CO"/>
        </w:rPr>
      </w:pPr>
    </w:p>
    <w:p w14:paraId="72C79DF5" w14:textId="6F03C67F" w:rsidR="00566EEC" w:rsidRDefault="00566EEC" w:rsidP="00C37BB5">
      <w:pPr>
        <w:jc w:val="both"/>
        <w:rPr>
          <w:sz w:val="20"/>
          <w:szCs w:val="20"/>
          <w:lang w:eastAsia="es-CO"/>
        </w:rPr>
      </w:pPr>
    </w:p>
    <w:p w14:paraId="567079BC" w14:textId="36D14AF4"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BC1935">
        <w:rPr>
          <w:b/>
          <w:bCs/>
        </w:rPr>
        <w:t>ABRIL</w:t>
      </w:r>
      <w:r w:rsidRPr="00995A1F">
        <w:rPr>
          <w:b/>
          <w:bCs/>
        </w:rPr>
        <w:t xml:space="preserve"> DE 20</w:t>
      </w:r>
      <w:r w:rsidR="00771FF2" w:rsidRPr="00995A1F">
        <w:rPr>
          <w:b/>
          <w:bCs/>
        </w:rPr>
        <w:t>2</w:t>
      </w:r>
      <w:bookmarkStart w:id="4" w:name="_Toc28337432"/>
      <w:r w:rsidR="008658AB">
        <w:rPr>
          <w:b/>
          <w:bCs/>
        </w:rPr>
        <w:t>1</w:t>
      </w:r>
    </w:p>
    <w:bookmarkEnd w:id="4"/>
    <w:p w14:paraId="06F9CB3E" w14:textId="0C4ABD13" w:rsidR="0028539E" w:rsidRDefault="0028539E" w:rsidP="005C3962">
      <w:pPr>
        <w:ind w:left="708"/>
        <w:jc w:val="both"/>
      </w:pPr>
    </w:p>
    <w:p w14:paraId="5863BF5F" w14:textId="31988F9F" w:rsidR="00474434" w:rsidRDefault="00474434" w:rsidP="006F4303">
      <w:pPr>
        <w:rPr>
          <w:b/>
          <w:bCs/>
        </w:rPr>
      </w:pPr>
      <w:r w:rsidRPr="00995A1F">
        <w:rPr>
          <w:b/>
          <w:bCs/>
        </w:rPr>
        <w:t>Créditos judiciales</w:t>
      </w:r>
    </w:p>
    <w:p w14:paraId="44CA9FDA" w14:textId="77777777" w:rsidR="00566EEC" w:rsidRPr="00566EEC" w:rsidRDefault="00566EEC" w:rsidP="006F4303">
      <w:pPr>
        <w:rPr>
          <w:b/>
          <w:bCs/>
        </w:rPr>
      </w:pPr>
    </w:p>
    <w:p w14:paraId="595E2AB8" w14:textId="3B4B6CD1" w:rsidR="00E61846" w:rsidRDefault="00336FE2" w:rsidP="00D82D90">
      <w:pPr>
        <w:jc w:val="both"/>
        <w:rPr>
          <w:lang w:eastAsia="es-CO"/>
        </w:rPr>
      </w:pPr>
      <w:bookmarkStart w:id="5" w:name="_Hlk44090119"/>
      <w:r>
        <w:rPr>
          <w:lang w:eastAsia="es-CO"/>
        </w:rPr>
        <w:t xml:space="preserve">En el grupo 2.4 </w:t>
      </w:r>
      <w:r w:rsidRPr="00F7080D">
        <w:rPr>
          <w:i/>
          <w:iCs/>
          <w:lang w:eastAsia="es-CO"/>
        </w:rPr>
        <w:t>Cuentas por pagar</w:t>
      </w:r>
      <w:r>
        <w:rPr>
          <w:lang w:eastAsia="es-CO"/>
        </w:rPr>
        <w:t xml:space="preserve">, cuenta 2.4.60 </w:t>
      </w:r>
      <w:r w:rsidRPr="00F7080D">
        <w:rPr>
          <w:i/>
          <w:iCs/>
          <w:lang w:eastAsia="es-CO"/>
        </w:rPr>
        <w:t>Créditos judiciales</w:t>
      </w:r>
      <w:r>
        <w:rPr>
          <w:lang w:eastAsia="es-CO"/>
        </w:rPr>
        <w:t>, subcuenta 2.4.60.0</w:t>
      </w:r>
      <w:r w:rsidR="00D82D90">
        <w:rPr>
          <w:lang w:eastAsia="es-CO"/>
        </w:rPr>
        <w:t>3</w:t>
      </w:r>
      <w:r>
        <w:rPr>
          <w:lang w:eastAsia="es-CO"/>
        </w:rPr>
        <w:t xml:space="preserve"> </w:t>
      </w:r>
      <w:r w:rsidR="00D82D90" w:rsidRPr="00D82D90">
        <w:rPr>
          <w:i/>
          <w:iCs/>
          <w:lang w:eastAsia="es-CO"/>
        </w:rPr>
        <w:t>Laudos arbitrales y conciliaciones extrajudiciales</w:t>
      </w:r>
      <w:r w:rsidR="00D82D90">
        <w:rPr>
          <w:lang w:eastAsia="es-CO"/>
        </w:rPr>
        <w:t xml:space="preserve"> </w:t>
      </w:r>
      <w:r>
        <w:rPr>
          <w:lang w:eastAsia="es-CO"/>
        </w:rPr>
        <w:t>se realiz</w:t>
      </w:r>
      <w:r w:rsidR="001F74FA">
        <w:rPr>
          <w:lang w:eastAsia="es-CO"/>
        </w:rPr>
        <w:t>ó un</w:t>
      </w:r>
      <w:r>
        <w:rPr>
          <w:lang w:eastAsia="es-CO"/>
        </w:rPr>
        <w:t xml:space="preserve"> pago por valor de </w:t>
      </w:r>
      <w:r w:rsidR="00D82D90" w:rsidRPr="00D82D90">
        <w:rPr>
          <w:lang w:eastAsia="es-CO"/>
        </w:rPr>
        <w:t xml:space="preserve">$498.163 </w:t>
      </w:r>
      <w:r>
        <w:rPr>
          <w:lang w:eastAsia="es-CO"/>
        </w:rPr>
        <w:t xml:space="preserve">miles, </w:t>
      </w:r>
      <w:r w:rsidR="00344D7C">
        <w:rPr>
          <w:lang w:eastAsia="es-CO"/>
        </w:rPr>
        <w:t xml:space="preserve">de la cuenta por pagar constituida a 31 de diciembre de 2020, </w:t>
      </w:r>
      <w:r w:rsidR="00D82D90">
        <w:rPr>
          <w:lang w:eastAsia="es-CO"/>
        </w:rPr>
        <w:t xml:space="preserve">a nombre de </w:t>
      </w:r>
      <w:r w:rsidR="00D82D90" w:rsidRPr="00D82D90">
        <w:rPr>
          <w:lang w:eastAsia="es-CO"/>
        </w:rPr>
        <w:t>UNIÓN TEMPORAL DESARROLLO VIAL DEL VALLE DEL CAUCA Y CAUCA,</w:t>
      </w:r>
      <w:r w:rsidR="00D82D90">
        <w:rPr>
          <w:lang w:eastAsia="es-CO"/>
        </w:rPr>
        <w:t xml:space="preserve"> </w:t>
      </w:r>
      <w:r w:rsidR="00D82D90" w:rsidRPr="00D82D90">
        <w:rPr>
          <w:lang w:eastAsia="es-CO"/>
        </w:rPr>
        <w:t>correspondiente a los intereses que quedaron pendientes por pagar en la vigencia 2020, por falta de recursos en el rubro de Laudos Arbitrales</w:t>
      </w:r>
      <w:r w:rsidR="00510031">
        <w:rPr>
          <w:lang w:eastAsia="es-CO"/>
        </w:rPr>
        <w:t>.  Estos</w:t>
      </w:r>
      <w:r w:rsidR="00E61846">
        <w:rPr>
          <w:lang w:eastAsia="es-CO"/>
        </w:rPr>
        <w:t xml:space="preserve"> Intereses</w:t>
      </w:r>
      <w:r w:rsidR="00510031">
        <w:rPr>
          <w:lang w:eastAsia="es-CO"/>
        </w:rPr>
        <w:t xml:space="preserve"> se generan por la obligación de </w:t>
      </w:r>
      <w:r w:rsidR="00E61846">
        <w:rPr>
          <w:lang w:eastAsia="es-CO"/>
        </w:rPr>
        <w:t>reembols</w:t>
      </w:r>
      <w:r w:rsidR="00510031">
        <w:rPr>
          <w:lang w:eastAsia="es-CO"/>
        </w:rPr>
        <w:t>ar</w:t>
      </w:r>
      <w:r w:rsidR="00E61846">
        <w:rPr>
          <w:lang w:eastAsia="es-CO"/>
        </w:rPr>
        <w:t xml:space="preserve"> a la Unión Temporal </w:t>
      </w:r>
      <w:r w:rsidR="00510031">
        <w:rPr>
          <w:lang w:eastAsia="es-CO"/>
        </w:rPr>
        <w:t xml:space="preserve">el valor </w:t>
      </w:r>
      <w:r w:rsidR="00E61846" w:rsidRPr="00E61846">
        <w:rPr>
          <w:lang w:eastAsia="es-CO"/>
        </w:rPr>
        <w:t>de los honorarios y gastos administrativos y de funcionamiento</w:t>
      </w:r>
      <w:r w:rsidR="00510031">
        <w:rPr>
          <w:lang w:eastAsia="es-CO"/>
        </w:rPr>
        <w:t>,</w:t>
      </w:r>
      <w:r w:rsidR="00E61846" w:rsidRPr="00E61846">
        <w:rPr>
          <w:lang w:eastAsia="es-CO"/>
        </w:rPr>
        <w:t xml:space="preserve"> de la parte que le correspondía a la A</w:t>
      </w:r>
      <w:r w:rsidR="00E61846">
        <w:rPr>
          <w:lang w:eastAsia="es-CO"/>
        </w:rPr>
        <w:t>gencia</w:t>
      </w:r>
      <w:r w:rsidR="00E61846" w:rsidRPr="00E61846">
        <w:rPr>
          <w:lang w:eastAsia="es-CO"/>
        </w:rPr>
        <w:t xml:space="preserve"> para la instalación del Tribunal de Arbitramento convocado por la Unión Temporal</w:t>
      </w:r>
      <w:r w:rsidR="00DF3D95">
        <w:rPr>
          <w:lang w:eastAsia="es-CO"/>
        </w:rPr>
        <w:t>,</w:t>
      </w:r>
      <w:r w:rsidR="00510031">
        <w:rPr>
          <w:lang w:eastAsia="es-CO"/>
        </w:rPr>
        <w:t xml:space="preserve"> hasta el momento en que realiza </w:t>
      </w:r>
      <w:r w:rsidR="00DF3D95">
        <w:rPr>
          <w:lang w:eastAsia="es-CO"/>
        </w:rPr>
        <w:t xml:space="preserve">el pago de </w:t>
      </w:r>
      <w:r w:rsidR="00510031">
        <w:rPr>
          <w:lang w:eastAsia="es-CO"/>
        </w:rPr>
        <w:t>la totalidad de los montos a cargo</w:t>
      </w:r>
      <w:r w:rsidR="00E61846" w:rsidRPr="00E61846">
        <w:rPr>
          <w:lang w:eastAsia="es-CO"/>
        </w:rPr>
        <w:t>.</w:t>
      </w:r>
    </w:p>
    <w:p w14:paraId="579A655E" w14:textId="592FA003" w:rsidR="00F0301B" w:rsidRDefault="00F0301B" w:rsidP="00D82D90">
      <w:pPr>
        <w:jc w:val="both"/>
        <w:rPr>
          <w:lang w:eastAsia="es-CO"/>
        </w:rPr>
      </w:pPr>
    </w:p>
    <w:p w14:paraId="0E2BB29B" w14:textId="1D3B9CA2" w:rsidR="00F0301B" w:rsidRDefault="00F0301B" w:rsidP="00F0301B">
      <w:pPr>
        <w:rPr>
          <w:b/>
          <w:bCs/>
        </w:rPr>
      </w:pPr>
      <w:r>
        <w:rPr>
          <w:b/>
          <w:bCs/>
        </w:rPr>
        <w:t>Cuentas por pagar</w:t>
      </w:r>
    </w:p>
    <w:p w14:paraId="12F4A475" w14:textId="4E55D96C" w:rsidR="00F0301B" w:rsidRDefault="00F0301B" w:rsidP="00F0301B">
      <w:pPr>
        <w:rPr>
          <w:b/>
          <w:bCs/>
        </w:rPr>
      </w:pPr>
    </w:p>
    <w:p w14:paraId="79A4FDAE" w14:textId="54ECDE8F" w:rsidR="00C32E4E" w:rsidRDefault="008E26E5" w:rsidP="00C32E4E">
      <w:pPr>
        <w:jc w:val="both"/>
        <w:rPr>
          <w:rFonts w:eastAsiaTheme="minorHAnsi"/>
          <w:color w:val="000000"/>
          <w:lang w:eastAsia="en-US"/>
        </w:rPr>
      </w:pPr>
      <w:r w:rsidRPr="006E522C">
        <w:t>En el grupo 2.4 Cuentas por pagar, cuenta 2.4.90 Otras cuentas por pagar, subcuenta 2.4.90.19</w:t>
      </w:r>
      <w:r>
        <w:t xml:space="preserve"> </w:t>
      </w:r>
      <w:r w:rsidRPr="006E522C">
        <w:rPr>
          <w:i/>
          <w:iCs/>
        </w:rPr>
        <w:t>Garantías contractuales-concesiones</w:t>
      </w:r>
      <w:r w:rsidRPr="006E522C">
        <w:t xml:space="preserve">, se registró un valor de $3.087.663 miles, correspondiente </w:t>
      </w:r>
      <w:r w:rsidR="006C159C">
        <w:t xml:space="preserve">al </w:t>
      </w:r>
      <w:r>
        <w:t xml:space="preserve">reconocimiento de la </w:t>
      </w:r>
      <w:r w:rsidRPr="006E522C">
        <w:rPr>
          <w:rFonts w:eastAsiaTheme="minorHAnsi"/>
          <w:color w:val="000000"/>
          <w:lang w:eastAsia="en-US"/>
        </w:rPr>
        <w:t>deuda</w:t>
      </w:r>
      <w:r>
        <w:rPr>
          <w:rFonts w:eastAsiaTheme="minorHAnsi"/>
          <w:color w:val="000000"/>
          <w:lang w:eastAsia="en-US"/>
        </w:rPr>
        <w:t xml:space="preserve"> por </w:t>
      </w:r>
      <w:r w:rsidRPr="006E522C">
        <w:rPr>
          <w:rFonts w:eastAsiaTheme="minorHAnsi"/>
          <w:color w:val="000000"/>
          <w:lang w:eastAsia="en-US"/>
        </w:rPr>
        <w:t>Garantía de Ingreso</w:t>
      </w:r>
      <w:r>
        <w:rPr>
          <w:rFonts w:eastAsiaTheme="minorHAnsi"/>
          <w:color w:val="000000"/>
          <w:lang w:eastAsia="en-US"/>
        </w:rPr>
        <w:t xml:space="preserve"> del año</w:t>
      </w:r>
      <w:r w:rsidRPr="006E522C">
        <w:rPr>
          <w:rFonts w:eastAsiaTheme="minorHAnsi"/>
          <w:color w:val="000000"/>
          <w:lang w:eastAsia="en-US"/>
        </w:rPr>
        <w:t xml:space="preserve"> 2020</w:t>
      </w:r>
      <w:r>
        <w:rPr>
          <w:rFonts w:eastAsiaTheme="minorHAnsi"/>
          <w:color w:val="000000"/>
          <w:lang w:eastAsia="en-US"/>
        </w:rPr>
        <w:t xml:space="preserve">, </w:t>
      </w:r>
      <w:r w:rsidRPr="006E522C">
        <w:rPr>
          <w:rFonts w:eastAsiaTheme="minorHAnsi"/>
          <w:color w:val="000000"/>
          <w:lang w:eastAsia="en-US"/>
        </w:rPr>
        <w:t>del proyecto Desarrollo Vial Armenia</w:t>
      </w:r>
      <w:r>
        <w:rPr>
          <w:rFonts w:eastAsiaTheme="minorHAnsi"/>
          <w:color w:val="000000"/>
          <w:lang w:eastAsia="en-US"/>
        </w:rPr>
        <w:t xml:space="preserve"> - </w:t>
      </w:r>
      <w:r w:rsidRPr="006E522C">
        <w:rPr>
          <w:rFonts w:eastAsiaTheme="minorHAnsi"/>
          <w:color w:val="000000"/>
          <w:lang w:eastAsia="en-US"/>
        </w:rPr>
        <w:t xml:space="preserve">Pereira </w:t>
      </w:r>
      <w:r>
        <w:rPr>
          <w:rFonts w:eastAsiaTheme="minorHAnsi"/>
          <w:color w:val="000000"/>
          <w:lang w:eastAsia="en-US"/>
        </w:rPr>
        <w:t>-</w:t>
      </w:r>
      <w:r w:rsidRPr="006E522C">
        <w:rPr>
          <w:rFonts w:eastAsiaTheme="minorHAnsi"/>
          <w:color w:val="000000"/>
          <w:lang w:eastAsia="en-US"/>
        </w:rPr>
        <w:t>Manizales Contrato No. 113 de 1997</w:t>
      </w:r>
      <w:r>
        <w:rPr>
          <w:rFonts w:eastAsiaTheme="minorHAnsi"/>
          <w:color w:val="000000"/>
          <w:lang w:eastAsia="en-US"/>
        </w:rPr>
        <w:t xml:space="preserve">.  </w:t>
      </w:r>
    </w:p>
    <w:p w14:paraId="56C25F4B" w14:textId="77777777" w:rsidR="00C32E4E" w:rsidRDefault="00C32E4E" w:rsidP="00C32E4E">
      <w:pPr>
        <w:jc w:val="both"/>
        <w:rPr>
          <w:rFonts w:eastAsiaTheme="minorHAnsi"/>
          <w:color w:val="000000"/>
          <w:lang w:eastAsia="en-US"/>
        </w:rPr>
      </w:pPr>
    </w:p>
    <w:p w14:paraId="1BBF8D8F" w14:textId="11DDAE53" w:rsidR="008E26E5" w:rsidRDefault="00C32E4E" w:rsidP="00C32E4E">
      <w:pPr>
        <w:jc w:val="both"/>
        <w:rPr>
          <w:rFonts w:eastAsiaTheme="minorHAnsi"/>
          <w:color w:val="000000"/>
          <w:lang w:eastAsia="en-US"/>
        </w:rPr>
      </w:pPr>
      <w:r>
        <w:rPr>
          <w:rFonts w:eastAsiaTheme="minorHAnsi"/>
          <w:color w:val="000000"/>
          <w:lang w:eastAsia="en-US"/>
        </w:rPr>
        <w:t xml:space="preserve">Adicionalmente, se reconoció un ingreso por recuperación </w:t>
      </w:r>
      <w:r w:rsidR="00405FCB">
        <w:rPr>
          <w:rFonts w:eastAsiaTheme="minorHAnsi"/>
          <w:color w:val="000000"/>
          <w:lang w:eastAsia="en-US"/>
        </w:rPr>
        <w:t xml:space="preserve">por valor de </w:t>
      </w:r>
      <w:r w:rsidR="00405FCB">
        <w:t>$</w:t>
      </w:r>
      <w:r w:rsidR="00405FCB" w:rsidRPr="00A30F3B">
        <w:t xml:space="preserve">10.040.126 </w:t>
      </w:r>
      <w:r w:rsidR="00405FCB" w:rsidRPr="006E522C">
        <w:t>miles</w:t>
      </w:r>
      <w:r w:rsidR="00405FCB">
        <w:t>,</w:t>
      </w:r>
      <w:r w:rsidR="00405FCB">
        <w:rPr>
          <w:rFonts w:eastAsiaTheme="minorHAnsi"/>
          <w:color w:val="000000"/>
          <w:lang w:eastAsia="en-US"/>
        </w:rPr>
        <w:t xml:space="preserve"> </w:t>
      </w:r>
      <w:r w:rsidR="00611E72">
        <w:rPr>
          <w:rFonts w:eastAsiaTheme="minorHAnsi"/>
          <w:color w:val="000000"/>
          <w:lang w:eastAsia="en-US"/>
        </w:rPr>
        <w:t>de</w:t>
      </w:r>
      <w:r w:rsidR="00454219">
        <w:rPr>
          <w:rFonts w:eastAsiaTheme="minorHAnsi"/>
          <w:color w:val="000000"/>
          <w:lang w:eastAsia="en-US"/>
        </w:rPr>
        <w:t xml:space="preserve"> </w:t>
      </w:r>
      <w:r w:rsidR="00405FCB">
        <w:rPr>
          <w:rFonts w:eastAsiaTheme="minorHAnsi"/>
          <w:color w:val="000000"/>
          <w:lang w:eastAsia="en-US"/>
        </w:rPr>
        <w:t>parte de</w:t>
      </w:r>
      <w:r>
        <w:rPr>
          <w:rFonts w:eastAsiaTheme="minorHAnsi"/>
          <w:color w:val="000000"/>
          <w:lang w:eastAsia="en-US"/>
        </w:rPr>
        <w:t xml:space="preserve"> la </w:t>
      </w:r>
      <w:r w:rsidR="008E26E5">
        <w:rPr>
          <w:rFonts w:eastAsiaTheme="minorHAnsi"/>
          <w:color w:val="000000"/>
          <w:lang w:eastAsia="en-US"/>
        </w:rPr>
        <w:t>provisión reconocida</w:t>
      </w:r>
      <w:r>
        <w:rPr>
          <w:rFonts w:eastAsiaTheme="minorHAnsi"/>
          <w:color w:val="000000"/>
          <w:lang w:eastAsia="en-US"/>
        </w:rPr>
        <w:t xml:space="preserve"> </w:t>
      </w:r>
      <w:r w:rsidR="008E26E5">
        <w:rPr>
          <w:rFonts w:eastAsiaTheme="minorHAnsi"/>
          <w:color w:val="000000"/>
          <w:lang w:eastAsia="en-US"/>
        </w:rPr>
        <w:t>al 31 de diciembre de 2020</w:t>
      </w:r>
      <w:r w:rsidR="000D136F">
        <w:rPr>
          <w:rFonts w:eastAsiaTheme="minorHAnsi"/>
          <w:color w:val="000000"/>
          <w:lang w:eastAsia="en-US"/>
        </w:rPr>
        <w:t xml:space="preserve">, </w:t>
      </w:r>
      <w:r w:rsidR="00405FCB">
        <w:t>como</w:t>
      </w:r>
      <w:r w:rsidR="00A30F3B">
        <w:t xml:space="preserve"> resultado de reconocer</w:t>
      </w:r>
      <w:r w:rsidR="0074131F">
        <w:t>: (i)</w:t>
      </w:r>
      <w:r w:rsidR="00A30F3B">
        <w:t xml:space="preserve"> el valor liquidado de la deuda</w:t>
      </w:r>
      <w:r w:rsidR="0082506E">
        <w:t>, mencionado en el párrafo anterior</w:t>
      </w:r>
      <w:r w:rsidR="00A30F3B">
        <w:t xml:space="preserve">, </w:t>
      </w:r>
      <w:r w:rsidR="0074131F">
        <w:t>(</w:t>
      </w:r>
      <w:proofErr w:type="spellStart"/>
      <w:r w:rsidR="0074131F">
        <w:t>ii</w:t>
      </w:r>
      <w:proofErr w:type="spellEnd"/>
      <w:r w:rsidR="0074131F">
        <w:t xml:space="preserve">) </w:t>
      </w:r>
      <w:r>
        <w:t xml:space="preserve">un gasto en la subcuenta </w:t>
      </w:r>
      <w:r w:rsidRPr="00C32E4E">
        <w:rPr>
          <w:i/>
          <w:iCs/>
        </w:rPr>
        <w:t>Garantías contractuales</w:t>
      </w:r>
      <w:r>
        <w:t xml:space="preserve"> </w:t>
      </w:r>
      <w:r w:rsidR="0074131F">
        <w:t xml:space="preserve">por valor de </w:t>
      </w:r>
      <w:r w:rsidR="0074131F" w:rsidRPr="00C32E4E">
        <w:t>$79.630 miles</w:t>
      </w:r>
      <w:r w:rsidR="0074131F">
        <w:t xml:space="preserve">, </w:t>
      </w:r>
      <w:r>
        <w:t xml:space="preserve">por intereses corrientes </w:t>
      </w:r>
      <w:r w:rsidR="00A30F3B">
        <w:t>y</w:t>
      </w:r>
      <w:r w:rsidR="0084342E">
        <w:t>,</w:t>
      </w:r>
      <w:r w:rsidR="00A30F3B">
        <w:t xml:space="preserve"> </w:t>
      </w:r>
      <w:r w:rsidR="0074131F">
        <w:t>(</w:t>
      </w:r>
      <w:proofErr w:type="spellStart"/>
      <w:r w:rsidR="0074131F">
        <w:t>iii</w:t>
      </w:r>
      <w:proofErr w:type="spellEnd"/>
      <w:r w:rsidR="0074131F">
        <w:t xml:space="preserve">) </w:t>
      </w:r>
      <w:r w:rsidR="00A30F3B">
        <w:t>la cancelación de la provisión reconocida</w:t>
      </w:r>
      <w:r w:rsidR="0084342E">
        <w:t xml:space="preserve"> </w:t>
      </w:r>
      <w:r w:rsidR="00A30F3B">
        <w:t xml:space="preserve">al 31 de diciembre de 2020, por valor de </w:t>
      </w:r>
      <w:r w:rsidR="00A30F3B" w:rsidRPr="006E522C">
        <w:t>$13.048.159</w:t>
      </w:r>
      <w:r w:rsidR="0074131F">
        <w:t>.</w:t>
      </w:r>
    </w:p>
    <w:p w14:paraId="1D966A7B" w14:textId="77777777" w:rsidR="00611E72" w:rsidRDefault="00611E72" w:rsidP="008E26E5">
      <w:pPr>
        <w:jc w:val="both"/>
        <w:rPr>
          <w:rFonts w:eastAsiaTheme="minorHAnsi"/>
          <w:color w:val="000000"/>
          <w:lang w:eastAsia="en-US"/>
        </w:rPr>
      </w:pPr>
    </w:p>
    <w:p w14:paraId="30FB95B2" w14:textId="5909611E" w:rsidR="008E26E5" w:rsidRPr="006E522C" w:rsidRDefault="0074131F" w:rsidP="0074131F">
      <w:pPr>
        <w:jc w:val="both"/>
        <w:rPr>
          <w:rFonts w:eastAsiaTheme="minorHAnsi"/>
          <w:color w:val="000000"/>
          <w:lang w:eastAsia="en-US"/>
        </w:rPr>
      </w:pPr>
      <w:r>
        <w:rPr>
          <w:rFonts w:eastAsiaTheme="minorHAnsi"/>
          <w:color w:val="000000"/>
          <w:lang w:eastAsia="en-US"/>
        </w:rPr>
        <w:t xml:space="preserve">La actualización de la calificación de la deuda y su liquidación es </w:t>
      </w:r>
      <w:r w:rsidR="008E26E5" w:rsidRPr="006E522C">
        <w:rPr>
          <w:rFonts w:eastAsiaTheme="minorHAnsi"/>
          <w:color w:val="000000"/>
          <w:lang w:eastAsia="en-US"/>
        </w:rPr>
        <w:t xml:space="preserve">reportada </w:t>
      </w:r>
      <w:r w:rsidR="004D7151" w:rsidRPr="006E522C">
        <w:rPr>
          <w:lang w:eastAsia="es-CO"/>
        </w:rPr>
        <w:t>por la Vicepresidencia Ejecutiva</w:t>
      </w:r>
      <w:r w:rsidR="004D7151">
        <w:rPr>
          <w:lang w:eastAsia="es-CO"/>
        </w:rPr>
        <w:t>,</w:t>
      </w:r>
      <w:r w:rsidR="004D7151" w:rsidRPr="006E522C">
        <w:rPr>
          <w:rFonts w:eastAsiaTheme="minorHAnsi"/>
          <w:color w:val="000000"/>
          <w:lang w:eastAsia="en-US"/>
        </w:rPr>
        <w:t xml:space="preserve"> </w:t>
      </w:r>
      <w:r w:rsidR="008E26E5" w:rsidRPr="006E522C">
        <w:rPr>
          <w:rFonts w:eastAsiaTheme="minorHAnsi"/>
          <w:color w:val="000000"/>
          <w:lang w:eastAsia="en-US"/>
        </w:rPr>
        <w:t>en el formato GCSP-F-006-</w:t>
      </w:r>
      <w:r w:rsidR="008E26E5" w:rsidRPr="00972523">
        <w:rPr>
          <w:rFonts w:eastAsiaTheme="minorHAnsi"/>
          <w:i/>
          <w:iCs/>
          <w:color w:val="000000"/>
          <w:lang w:eastAsia="en-US"/>
        </w:rPr>
        <w:t>Liquidación de la deuda</w:t>
      </w:r>
      <w:r w:rsidR="004D7151">
        <w:rPr>
          <w:rFonts w:eastAsiaTheme="minorHAnsi"/>
          <w:color w:val="000000"/>
          <w:lang w:eastAsia="en-US"/>
        </w:rPr>
        <w:t>.</w:t>
      </w:r>
    </w:p>
    <w:p w14:paraId="4E82D18F" w14:textId="77777777" w:rsidR="00F0301B" w:rsidRDefault="00F0301B" w:rsidP="00F0301B">
      <w:pPr>
        <w:rPr>
          <w:b/>
          <w:bCs/>
        </w:rPr>
      </w:pPr>
    </w:p>
    <w:p w14:paraId="0AE6D397" w14:textId="77777777" w:rsidR="00B75FBD" w:rsidRPr="00995A1F" w:rsidRDefault="00B75FBD" w:rsidP="00B75FBD">
      <w:pPr>
        <w:jc w:val="both"/>
        <w:rPr>
          <w:lang w:eastAsia="es-CO"/>
        </w:rPr>
      </w:pPr>
    </w:p>
    <w:bookmarkEnd w:id="5"/>
    <w:p w14:paraId="5B5B80AC" w14:textId="4AF04498" w:rsidR="00D46ECC" w:rsidRPr="00995A1F" w:rsidRDefault="00D46ECC" w:rsidP="00056B24">
      <w:pPr>
        <w:rPr>
          <w:b/>
          <w:bCs/>
        </w:rPr>
      </w:pPr>
      <w:r w:rsidRPr="00995A1F">
        <w:rPr>
          <w:b/>
          <w:bCs/>
        </w:rPr>
        <w:t xml:space="preserve">NOTA </w:t>
      </w:r>
      <w:r w:rsidR="007D585E">
        <w:rPr>
          <w:b/>
          <w:bCs/>
        </w:rPr>
        <w:t>3</w:t>
      </w:r>
      <w:r w:rsidRPr="00995A1F">
        <w:rPr>
          <w:b/>
          <w:bCs/>
        </w:rPr>
        <w:t>.  INGRESOS</w:t>
      </w:r>
    </w:p>
    <w:p w14:paraId="7F9DD4E0" w14:textId="2B4DBD1C" w:rsidR="009613B5" w:rsidRPr="00995A1F" w:rsidRDefault="009613B5" w:rsidP="00D46ECC">
      <w:pPr>
        <w:jc w:val="both"/>
        <w:rPr>
          <w:b/>
          <w:bCs/>
        </w:rPr>
      </w:pPr>
    </w:p>
    <w:p w14:paraId="7C10A3A2" w14:textId="528FF4AE"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643E92">
        <w:rPr>
          <w:b/>
          <w:bCs/>
        </w:rPr>
        <w:t>ABRIL</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643E92">
        <w:rPr>
          <w:b/>
          <w:bCs/>
        </w:rPr>
        <w:t>ABRIL</w:t>
      </w:r>
      <w:r w:rsidR="00DA7232">
        <w:rPr>
          <w:b/>
          <w:bCs/>
        </w:rPr>
        <w:t xml:space="preserve"> DE 2020</w:t>
      </w:r>
    </w:p>
    <w:p w14:paraId="77AA9A90" w14:textId="66F880F8" w:rsidR="00643E92" w:rsidRDefault="00643E92" w:rsidP="00D46ECC">
      <w:pPr>
        <w:jc w:val="center"/>
        <w:rPr>
          <w:b/>
          <w:bCs/>
        </w:rPr>
      </w:pPr>
    </w:p>
    <w:p w14:paraId="66789145" w14:textId="4E6B98F3" w:rsidR="00643E92" w:rsidRDefault="00643E92" w:rsidP="00D46ECC">
      <w:pPr>
        <w:jc w:val="center"/>
        <w:rPr>
          <w:b/>
          <w:bCs/>
        </w:rPr>
      </w:pPr>
      <w:r w:rsidRPr="00643E92">
        <w:rPr>
          <w:noProof/>
        </w:rPr>
        <w:drawing>
          <wp:inline distT="0" distB="0" distL="0" distR="0" wp14:anchorId="77EC3EE3" wp14:editId="70CEF3CB">
            <wp:extent cx="5612130" cy="169989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699895"/>
                    </a:xfrm>
                    <a:prstGeom prst="rect">
                      <a:avLst/>
                    </a:prstGeom>
                    <a:noFill/>
                    <a:ln>
                      <a:noFill/>
                    </a:ln>
                  </pic:spPr>
                </pic:pic>
              </a:graphicData>
            </a:graphic>
          </wp:inline>
        </w:drawing>
      </w:r>
    </w:p>
    <w:p w14:paraId="10D772D4" w14:textId="77777777" w:rsidR="00643E92" w:rsidRDefault="00643E92" w:rsidP="00D46ECC">
      <w:pPr>
        <w:jc w:val="center"/>
        <w:rPr>
          <w:b/>
          <w:bCs/>
        </w:rPr>
      </w:pPr>
    </w:p>
    <w:p w14:paraId="21F7A7A8" w14:textId="34E795A0" w:rsidR="00926342" w:rsidRDefault="00926342" w:rsidP="00D46ECC">
      <w:pPr>
        <w:jc w:val="center"/>
        <w:rPr>
          <w:b/>
          <w:bCs/>
        </w:rPr>
      </w:pPr>
    </w:p>
    <w:p w14:paraId="011A79FF" w14:textId="5FB4CBBA" w:rsidR="0005349B" w:rsidRPr="00995A1F" w:rsidRDefault="0005349B" w:rsidP="0005349B">
      <w:pPr>
        <w:jc w:val="both"/>
        <w:rPr>
          <w:bCs/>
        </w:rPr>
      </w:pPr>
      <w:r w:rsidRPr="00995A1F">
        <w:rPr>
          <w:bCs/>
        </w:rPr>
        <w:t>Los ingresos</w:t>
      </w:r>
      <w:r w:rsidR="00DE2EDE">
        <w:rPr>
          <w:bCs/>
        </w:rPr>
        <w:t xml:space="preserve"> registrados a abril </w:t>
      </w:r>
      <w:r w:rsidRPr="00995A1F">
        <w:rPr>
          <w:bCs/>
        </w:rPr>
        <w:t>de 202</w:t>
      </w:r>
      <w:r w:rsidR="00DA7232">
        <w:rPr>
          <w:bCs/>
        </w:rPr>
        <w:t>1</w:t>
      </w:r>
      <w:r w:rsidRPr="00995A1F">
        <w:rPr>
          <w:bCs/>
        </w:rPr>
        <w:t xml:space="preserve"> presentan un </w:t>
      </w:r>
      <w:r w:rsidR="00DA7232">
        <w:rPr>
          <w:bCs/>
        </w:rPr>
        <w:t>incremento</w:t>
      </w:r>
      <w:r w:rsidRPr="00995A1F">
        <w:rPr>
          <w:bCs/>
        </w:rPr>
        <w:t xml:space="preserve"> del </w:t>
      </w:r>
      <w:r w:rsidR="00643E92">
        <w:rPr>
          <w:bCs/>
        </w:rPr>
        <w:t>4</w:t>
      </w:r>
      <w:r w:rsidR="00DA7232">
        <w:rPr>
          <w:bCs/>
        </w:rPr>
        <w:t>,</w:t>
      </w:r>
      <w:r w:rsidR="00643E92">
        <w:rPr>
          <w:bCs/>
        </w:rPr>
        <w:t>98</w:t>
      </w:r>
      <w:r w:rsidRPr="00995A1F">
        <w:rPr>
          <w:bCs/>
        </w:rPr>
        <w:t>%</w:t>
      </w:r>
      <w:r w:rsidR="00DA7232">
        <w:rPr>
          <w:bCs/>
        </w:rPr>
        <w:t xml:space="preserve"> en términos corrientes</w:t>
      </w:r>
      <w:r w:rsidRPr="00995A1F">
        <w:rPr>
          <w:bCs/>
        </w:rPr>
        <w:t>, con relación a</w:t>
      </w:r>
      <w:r w:rsidR="003504F8">
        <w:rPr>
          <w:bCs/>
        </w:rPr>
        <w:t xml:space="preserve"> los ingresos de</w:t>
      </w:r>
      <w:r w:rsidRPr="00995A1F">
        <w:rPr>
          <w:bCs/>
        </w:rPr>
        <w:t xml:space="preserve"> </w:t>
      </w:r>
      <w:r w:rsidR="00643E92">
        <w:rPr>
          <w:bCs/>
        </w:rPr>
        <w:t>abril</w:t>
      </w:r>
      <w:r w:rsidR="00DA7232">
        <w:rPr>
          <w:bCs/>
        </w:rPr>
        <w:t xml:space="preserve"> de 2020</w:t>
      </w:r>
      <w:r w:rsidRPr="00995A1F">
        <w:rPr>
          <w:bCs/>
        </w:rPr>
        <w:t>, y una variación por valor de $</w:t>
      </w:r>
      <w:r w:rsidR="00643E92" w:rsidRPr="00643E92">
        <w:rPr>
          <w:bCs/>
        </w:rPr>
        <w:t xml:space="preserve">17.573.652 </w:t>
      </w:r>
      <w:r w:rsidRPr="00995A1F">
        <w:rPr>
          <w:bCs/>
        </w:rPr>
        <w:t>miles. Est</w:t>
      </w:r>
      <w:r w:rsidR="00DA7232">
        <w:rPr>
          <w:bCs/>
        </w:rPr>
        <w:t>e</w:t>
      </w:r>
      <w:r w:rsidRPr="00995A1F">
        <w:rPr>
          <w:bCs/>
        </w:rPr>
        <w:t xml:space="preserve"> </w:t>
      </w:r>
      <w:r w:rsidR="00DA7232">
        <w:rPr>
          <w:bCs/>
        </w:rPr>
        <w:t>aumento</w:t>
      </w:r>
      <w:r w:rsidRPr="00995A1F">
        <w:rPr>
          <w:bCs/>
        </w:rPr>
        <w:t xml:space="preserve"> en los ingresos </w:t>
      </w:r>
      <w:r w:rsidR="005D0C0D" w:rsidRPr="00995A1F">
        <w:rPr>
          <w:bCs/>
        </w:rPr>
        <w:t>se presenta</w:t>
      </w:r>
      <w:r w:rsidRPr="00995A1F">
        <w:rPr>
          <w:bCs/>
        </w:rPr>
        <w:t xml:space="preserve"> principalmente por</w:t>
      </w:r>
      <w:r w:rsidR="00926342">
        <w:rPr>
          <w:bCs/>
        </w:rPr>
        <w:t xml:space="preserve">:  </w:t>
      </w:r>
      <w:r w:rsidR="00015762">
        <w:rPr>
          <w:bCs/>
        </w:rPr>
        <w:t>incremento en el</w:t>
      </w:r>
      <w:r w:rsidRPr="00995A1F">
        <w:rPr>
          <w:bCs/>
        </w:rPr>
        <w:t xml:space="preserve"> grupo 4.7 </w:t>
      </w:r>
      <w:r w:rsidRPr="00995A1F">
        <w:rPr>
          <w:bCs/>
          <w:i/>
          <w:iCs/>
        </w:rPr>
        <w:t>Operaciones interinstitucionales</w:t>
      </w:r>
      <w:r w:rsidR="00A81D31">
        <w:rPr>
          <w:bCs/>
          <w:i/>
          <w:iCs/>
        </w:rPr>
        <w:t xml:space="preserve"> </w:t>
      </w:r>
      <w:r w:rsidR="00A81D31">
        <w:rPr>
          <w:bCs/>
        </w:rPr>
        <w:t>(1)</w:t>
      </w:r>
      <w:r w:rsidRPr="00995A1F">
        <w:rPr>
          <w:bCs/>
        </w:rPr>
        <w:t xml:space="preserve"> por valor de $</w:t>
      </w:r>
      <w:r w:rsidR="00643E92" w:rsidRPr="00643E92">
        <w:t xml:space="preserve"> </w:t>
      </w:r>
      <w:r w:rsidR="00643E92" w:rsidRPr="00643E92">
        <w:rPr>
          <w:bCs/>
        </w:rPr>
        <w:t xml:space="preserve">46.877.023 </w:t>
      </w:r>
      <w:r w:rsidRPr="00995A1F">
        <w:rPr>
          <w:bCs/>
        </w:rPr>
        <w:t>miles</w:t>
      </w:r>
      <w:r w:rsidR="00926342">
        <w:rPr>
          <w:bCs/>
        </w:rPr>
        <w:t xml:space="preserve">, </w:t>
      </w:r>
      <w:r w:rsidR="00015762">
        <w:rPr>
          <w:bCs/>
        </w:rPr>
        <w:t xml:space="preserve">una disminución en el grupo </w:t>
      </w:r>
      <w:r w:rsidR="00A81D31">
        <w:rPr>
          <w:bCs/>
        </w:rPr>
        <w:t xml:space="preserve">4.8 </w:t>
      </w:r>
      <w:r w:rsidR="00015762" w:rsidRPr="00A81D31">
        <w:rPr>
          <w:bCs/>
          <w:i/>
          <w:iCs/>
        </w:rPr>
        <w:t>Otros ingresos</w:t>
      </w:r>
      <w:r w:rsidR="00A81D31">
        <w:rPr>
          <w:bCs/>
        </w:rPr>
        <w:t xml:space="preserve"> (2) por valor</w:t>
      </w:r>
      <w:r w:rsidR="00015762">
        <w:rPr>
          <w:bCs/>
        </w:rPr>
        <w:t xml:space="preserve"> de $</w:t>
      </w:r>
      <w:r w:rsidR="00643E92" w:rsidRPr="00643E92">
        <w:rPr>
          <w:bCs/>
        </w:rPr>
        <w:t xml:space="preserve">-46.601.185 </w:t>
      </w:r>
      <w:r w:rsidR="00015762">
        <w:rPr>
          <w:bCs/>
        </w:rPr>
        <w:t>miles</w:t>
      </w:r>
      <w:r w:rsidR="00696682">
        <w:rPr>
          <w:bCs/>
        </w:rPr>
        <w:t xml:space="preserve"> y un incremento en el grupo 4.1 </w:t>
      </w:r>
      <w:r w:rsidR="00696682">
        <w:rPr>
          <w:bCs/>
          <w:i/>
          <w:iCs/>
        </w:rPr>
        <w:t xml:space="preserve">Ingresos fiscales </w:t>
      </w:r>
      <w:r w:rsidR="00696682" w:rsidRPr="00926342">
        <w:rPr>
          <w:bCs/>
        </w:rPr>
        <w:t>(</w:t>
      </w:r>
      <w:r w:rsidR="00696682">
        <w:rPr>
          <w:bCs/>
        </w:rPr>
        <w:t>3</w:t>
      </w:r>
      <w:r w:rsidR="00696682" w:rsidRPr="00926342">
        <w:rPr>
          <w:bCs/>
        </w:rPr>
        <w:t>)</w:t>
      </w:r>
      <w:r w:rsidR="00696682">
        <w:rPr>
          <w:bCs/>
        </w:rPr>
        <w:t xml:space="preserve"> por valor de $</w:t>
      </w:r>
      <w:r w:rsidR="00696682" w:rsidRPr="00643E92">
        <w:t xml:space="preserve"> </w:t>
      </w:r>
      <w:r w:rsidR="00696682" w:rsidRPr="00643E92">
        <w:rPr>
          <w:bCs/>
        </w:rPr>
        <w:t xml:space="preserve">17.797.814 </w:t>
      </w:r>
      <w:r w:rsidR="00696682">
        <w:rPr>
          <w:bCs/>
        </w:rPr>
        <w:t>miles,</w:t>
      </w:r>
    </w:p>
    <w:p w14:paraId="6FC6CD47" w14:textId="77777777" w:rsidR="0005349B" w:rsidRPr="00995A1F" w:rsidRDefault="0005349B" w:rsidP="0005349B">
      <w:pPr>
        <w:jc w:val="both"/>
        <w:rPr>
          <w:bCs/>
        </w:rPr>
      </w:pPr>
    </w:p>
    <w:p w14:paraId="54593869" w14:textId="43BC9514" w:rsidR="00015762" w:rsidRDefault="00015762" w:rsidP="00A37414">
      <w:pPr>
        <w:jc w:val="both"/>
        <w:rPr>
          <w:bCs/>
        </w:rPr>
      </w:pPr>
      <w:r>
        <w:rPr>
          <w:bCs/>
        </w:rPr>
        <w:t>A continuación</w:t>
      </w:r>
      <w:r w:rsidR="00A81D31">
        <w:rPr>
          <w:bCs/>
        </w:rPr>
        <w:t>,</w:t>
      </w:r>
      <w:r>
        <w:rPr>
          <w:bCs/>
        </w:rPr>
        <w:t xml:space="preserve"> se explica las razo</w:t>
      </w:r>
      <w:r w:rsidR="00A81D31">
        <w:rPr>
          <w:bCs/>
        </w:rPr>
        <w:t>nes de las variaciones:</w:t>
      </w:r>
    </w:p>
    <w:p w14:paraId="7B14D2CF" w14:textId="77777777" w:rsidR="00015762" w:rsidRDefault="00015762" w:rsidP="00A37414">
      <w:pPr>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50D5AFF" w14:textId="38EAFFB7" w:rsidR="0005349B" w:rsidRPr="00995A1F"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la mayor variación de</w:t>
      </w:r>
      <w:r w:rsidR="00DA7232">
        <w:rPr>
          <w:bCs/>
        </w:rPr>
        <w:t xml:space="preserve">l incremento </w:t>
      </w:r>
      <w:r w:rsidRPr="00995A1F">
        <w:rPr>
          <w:bCs/>
        </w:rPr>
        <w:t>en este grupo se presenta 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C27F83" w:rsidRPr="00C27F83">
        <w:t xml:space="preserve"> </w:t>
      </w:r>
      <w:r w:rsidR="00C27F83" w:rsidRPr="00C27F83">
        <w:rPr>
          <w:bCs/>
        </w:rPr>
        <w:t xml:space="preserve">132.297.243 </w:t>
      </w:r>
      <w:r w:rsidRPr="00995A1F">
        <w:rPr>
          <w:bCs/>
        </w:rPr>
        <w:t>miles.</w:t>
      </w:r>
      <w:r w:rsidR="007F7724">
        <w:rPr>
          <w:bCs/>
        </w:rPr>
        <w:t xml:space="preserve">  </w:t>
      </w:r>
      <w:r w:rsidR="00786D97">
        <w:rPr>
          <w:bCs/>
        </w:rPr>
        <w:t>Esta</w:t>
      </w:r>
      <w:r w:rsidR="00476015" w:rsidRPr="00995A1F">
        <w:rPr>
          <w:bCs/>
        </w:rPr>
        <w:t xml:space="preserve"> variación positiva de </w:t>
      </w:r>
      <w:r w:rsidR="00786D97">
        <w:rPr>
          <w:bCs/>
        </w:rPr>
        <w:t>la</w:t>
      </w:r>
      <w:r w:rsidR="00476015" w:rsidRPr="00995A1F">
        <w:rPr>
          <w:bCs/>
        </w:rPr>
        <w:t xml:space="preserve"> subcuenta </w:t>
      </w:r>
      <w:r w:rsidRPr="00995A1F">
        <w:rPr>
          <w:bCs/>
        </w:rPr>
        <w:t>obedece a que en</w:t>
      </w:r>
      <w:r w:rsidR="0051793F" w:rsidRPr="00995A1F">
        <w:rPr>
          <w:bCs/>
        </w:rPr>
        <w:t xml:space="preserve"> el mes de</w:t>
      </w:r>
      <w:r w:rsidRPr="00995A1F">
        <w:rPr>
          <w:bCs/>
        </w:rPr>
        <w:t xml:space="preserve"> enero de 20</w:t>
      </w:r>
      <w:r w:rsidR="007F7724">
        <w:rPr>
          <w:bCs/>
        </w:rPr>
        <w:t>21</w:t>
      </w:r>
      <w:r w:rsidRPr="00995A1F">
        <w:rPr>
          <w:bCs/>
        </w:rPr>
        <w:t xml:space="preserve"> </w:t>
      </w:r>
      <w:r w:rsidR="00907CB0">
        <w:rPr>
          <w:bCs/>
        </w:rPr>
        <w:t xml:space="preserve">a diferencia del mismo mes de la vigencia anterior, </w:t>
      </w:r>
      <w:r w:rsidRPr="00CB0D9B">
        <w:rPr>
          <w:bCs/>
        </w:rPr>
        <w:t>se pagó</w:t>
      </w:r>
      <w:r w:rsidR="00907CB0">
        <w:rPr>
          <w:bCs/>
        </w:rPr>
        <w:t xml:space="preserve"> mayores valores por vigencias futuras </w:t>
      </w:r>
      <w:r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17B982F5" w:rsidR="00A47BAF" w:rsidRDefault="00A47BAF" w:rsidP="00D46ECC">
      <w:pPr>
        <w:jc w:val="both"/>
        <w:rPr>
          <w:bCs/>
        </w:rPr>
      </w:pPr>
    </w:p>
    <w:p w14:paraId="42E1AC6C" w14:textId="3BA155F1" w:rsidR="004F7367" w:rsidRDefault="004F7367" w:rsidP="00471A69">
      <w:pPr>
        <w:pStyle w:val="Prrafodelista"/>
        <w:numPr>
          <w:ilvl w:val="0"/>
          <w:numId w:val="11"/>
        </w:numPr>
        <w:jc w:val="both"/>
        <w:rPr>
          <w:b/>
        </w:rPr>
      </w:pPr>
      <w:r w:rsidRPr="004F7367">
        <w:rPr>
          <w:b/>
        </w:rPr>
        <w:t>Otros ingresos</w:t>
      </w:r>
    </w:p>
    <w:p w14:paraId="376AE188" w14:textId="28EB085C" w:rsidR="004F7367" w:rsidRDefault="004F7367" w:rsidP="004F7367">
      <w:pPr>
        <w:jc w:val="both"/>
        <w:rPr>
          <w:b/>
        </w:rPr>
      </w:pPr>
    </w:p>
    <w:p w14:paraId="244AF9E8" w14:textId="37FD5389" w:rsidR="000C5FBC" w:rsidRDefault="004F7367" w:rsidP="00C6547F">
      <w:pPr>
        <w:jc w:val="both"/>
        <w:rPr>
          <w:bCs/>
        </w:rPr>
      </w:pPr>
      <w:r>
        <w:rPr>
          <w:bCs/>
        </w:rPr>
        <w:t xml:space="preserve">La variación negativa del grupo 4.8 </w:t>
      </w:r>
      <w:r w:rsidRPr="004F7367">
        <w:rPr>
          <w:bCs/>
          <w:i/>
          <w:iCs/>
        </w:rPr>
        <w:t>Otros ingresos</w:t>
      </w:r>
      <w:r w:rsidR="007124A9">
        <w:rPr>
          <w:bCs/>
        </w:rPr>
        <w:t xml:space="preserve">, por valor de </w:t>
      </w:r>
      <w:r w:rsidR="00492909">
        <w:rPr>
          <w:bCs/>
        </w:rPr>
        <w:t>$</w:t>
      </w:r>
      <w:r w:rsidR="00492909" w:rsidRPr="00492909">
        <w:rPr>
          <w:bCs/>
        </w:rPr>
        <w:t>-46.601.185</w:t>
      </w:r>
      <w:r w:rsidR="00492909">
        <w:rPr>
          <w:bCs/>
        </w:rPr>
        <w:t xml:space="preserve"> </w:t>
      </w:r>
      <w:r w:rsidR="007124A9">
        <w:rPr>
          <w:bCs/>
        </w:rPr>
        <w:t>miles</w:t>
      </w:r>
      <w:r w:rsidR="00937056">
        <w:rPr>
          <w:bCs/>
        </w:rPr>
        <w:t xml:space="preserve">, </w:t>
      </w:r>
      <w:r w:rsidR="00492909">
        <w:rPr>
          <w:bCs/>
        </w:rPr>
        <w:t xml:space="preserve">obedece </w:t>
      </w:r>
      <w:r w:rsidR="000C5FBC">
        <w:rPr>
          <w:bCs/>
        </w:rPr>
        <w:t xml:space="preserve">principalmente a disminuciones </w:t>
      </w:r>
      <w:r w:rsidR="007124A9">
        <w:rPr>
          <w:bCs/>
        </w:rPr>
        <w:t>en</w:t>
      </w:r>
      <w:r w:rsidR="000C5FBC">
        <w:rPr>
          <w:bCs/>
        </w:rPr>
        <w:t>:</w:t>
      </w:r>
    </w:p>
    <w:p w14:paraId="0C7A785A" w14:textId="77777777" w:rsidR="000C5FBC" w:rsidRDefault="000C5FBC" w:rsidP="00C6547F">
      <w:pPr>
        <w:jc w:val="both"/>
        <w:rPr>
          <w:bCs/>
        </w:rPr>
      </w:pPr>
    </w:p>
    <w:p w14:paraId="2BEEF029" w14:textId="4EE6859B" w:rsidR="000C5FBC" w:rsidRPr="002C5F0F" w:rsidRDefault="007124A9" w:rsidP="00355D9C">
      <w:pPr>
        <w:pStyle w:val="Prrafodelista"/>
        <w:numPr>
          <w:ilvl w:val="0"/>
          <w:numId w:val="13"/>
        </w:numPr>
        <w:jc w:val="both"/>
        <w:rPr>
          <w:bCs/>
        </w:rPr>
      </w:pPr>
      <w:r w:rsidRPr="002C5F0F">
        <w:rPr>
          <w:bCs/>
        </w:rPr>
        <w:t>la subcuenta</w:t>
      </w:r>
      <w:r w:rsidR="004F7367" w:rsidRPr="002C5F0F">
        <w:rPr>
          <w:bCs/>
        </w:rPr>
        <w:t xml:space="preserve"> </w:t>
      </w:r>
      <w:r w:rsidRPr="002C5F0F">
        <w:rPr>
          <w:bCs/>
        </w:rPr>
        <w:t xml:space="preserve">4.8.08.26 </w:t>
      </w:r>
      <w:r w:rsidRPr="002C5F0F">
        <w:rPr>
          <w:bCs/>
          <w:i/>
          <w:iCs/>
        </w:rPr>
        <w:t>Recuperaciones</w:t>
      </w:r>
      <w:r w:rsidR="00937056" w:rsidRPr="002C5F0F">
        <w:rPr>
          <w:bCs/>
          <w:i/>
          <w:iCs/>
        </w:rPr>
        <w:t>,</w:t>
      </w:r>
      <w:r w:rsidRPr="002C5F0F">
        <w:rPr>
          <w:bCs/>
        </w:rPr>
        <w:t xml:space="preserve"> </w:t>
      </w:r>
      <w:r w:rsidR="000C5FBC" w:rsidRPr="002C5F0F">
        <w:rPr>
          <w:bCs/>
        </w:rPr>
        <w:t>por valor de $-20.899.870, por los</w:t>
      </w:r>
      <w:r w:rsidR="00C6547F" w:rsidRPr="002C5F0F">
        <w:rPr>
          <w:bCs/>
        </w:rPr>
        <w:t xml:space="preserve"> menores valores reconocidos</w:t>
      </w:r>
      <w:r w:rsidR="002C5F0F" w:rsidRPr="002C5F0F">
        <w:rPr>
          <w:bCs/>
        </w:rPr>
        <w:t>, a la fecha,</w:t>
      </w:r>
      <w:r w:rsidR="00C6547F" w:rsidRPr="002C5F0F">
        <w:rPr>
          <w:bCs/>
        </w:rPr>
        <w:t xml:space="preserve"> por este concepto</w:t>
      </w:r>
      <w:r w:rsidR="000C5FBC" w:rsidRPr="002C5F0F">
        <w:rPr>
          <w:bCs/>
        </w:rPr>
        <w:t xml:space="preserve">.  </w:t>
      </w:r>
      <w:r w:rsidR="002C5F0F" w:rsidRPr="002C5F0F">
        <w:rPr>
          <w:bCs/>
        </w:rPr>
        <w:t xml:space="preserve">En </w:t>
      </w:r>
      <w:r w:rsidR="000C5FBC" w:rsidRPr="002C5F0F">
        <w:rPr>
          <w:bCs/>
        </w:rPr>
        <w:t xml:space="preserve">el mes de abril </w:t>
      </w:r>
      <w:r w:rsidR="002C5F0F" w:rsidRPr="002C5F0F">
        <w:rPr>
          <w:bCs/>
        </w:rPr>
        <w:t xml:space="preserve">de 2021, se reconoce </w:t>
      </w:r>
      <w:r w:rsidR="002C5F0F">
        <w:rPr>
          <w:bCs/>
        </w:rPr>
        <w:t>un</w:t>
      </w:r>
      <w:r w:rsidR="000C5FBC" w:rsidRPr="002C5F0F">
        <w:rPr>
          <w:bCs/>
        </w:rPr>
        <w:t xml:space="preserve"> valor</w:t>
      </w:r>
      <w:r w:rsidR="00C6547F" w:rsidRPr="002C5F0F">
        <w:rPr>
          <w:bCs/>
        </w:rPr>
        <w:t xml:space="preserve"> $10.040.126 miles, </w:t>
      </w:r>
      <w:r w:rsidR="000C5FBC" w:rsidRPr="002C5F0F">
        <w:rPr>
          <w:bCs/>
        </w:rPr>
        <w:t>por</w:t>
      </w:r>
      <w:r w:rsidR="00C6547F" w:rsidRPr="002C5F0F">
        <w:rPr>
          <w:bCs/>
        </w:rPr>
        <w:t xml:space="preserve"> recuperación de provisión del año 2020</w:t>
      </w:r>
      <w:r w:rsidR="000C5FBC" w:rsidRPr="002C5F0F">
        <w:rPr>
          <w:bCs/>
        </w:rPr>
        <w:t>,</w:t>
      </w:r>
      <w:r w:rsidR="00C6547F" w:rsidRPr="002C5F0F">
        <w:rPr>
          <w:bCs/>
        </w:rPr>
        <w:t xml:space="preserve"> </w:t>
      </w:r>
      <w:r w:rsidR="002C5F0F">
        <w:rPr>
          <w:bCs/>
        </w:rPr>
        <w:t xml:space="preserve">del </w:t>
      </w:r>
      <w:r w:rsidR="00EC0244" w:rsidRPr="002C5F0F">
        <w:rPr>
          <w:bCs/>
        </w:rPr>
        <w:t>menor valor liquidado al reconocimiento de la deuda de la Garantía de Ingreso 2020, del proyecto Desarrollo Vial Armenia -Pereira - Manizales, Contrato No. 113 de 1997</w:t>
      </w:r>
    </w:p>
    <w:p w14:paraId="3D6C52AF" w14:textId="0BB5D54A" w:rsidR="00C853D5" w:rsidRPr="000C5FBC" w:rsidRDefault="000C5FBC" w:rsidP="000C5FBC">
      <w:pPr>
        <w:pStyle w:val="Prrafodelista"/>
        <w:numPr>
          <w:ilvl w:val="0"/>
          <w:numId w:val="13"/>
        </w:numPr>
        <w:jc w:val="both"/>
        <w:rPr>
          <w:bCs/>
        </w:rPr>
      </w:pPr>
      <w:r w:rsidRPr="000C5FBC">
        <w:rPr>
          <w:bCs/>
        </w:rPr>
        <w:t xml:space="preserve">la subcuenta 4.8.02.32 </w:t>
      </w:r>
      <w:r w:rsidRPr="000C5FBC">
        <w:rPr>
          <w:bCs/>
          <w:i/>
          <w:iCs/>
        </w:rPr>
        <w:t>Rendimientos sobre recursos entregados en administración</w:t>
      </w:r>
      <w:r w:rsidRPr="000C5FBC">
        <w:rPr>
          <w:bCs/>
        </w:rPr>
        <w:t xml:space="preserve"> -</w:t>
      </w:r>
      <w:r>
        <w:rPr>
          <w:bCs/>
        </w:rPr>
        <w:t>por valor de $-</w:t>
      </w:r>
      <w:r w:rsidRPr="000C5FBC">
        <w:rPr>
          <w:bCs/>
        </w:rPr>
        <w:t>25.681.107</w:t>
      </w:r>
      <w:r>
        <w:rPr>
          <w:bCs/>
        </w:rPr>
        <w:t xml:space="preserve"> miles, </w:t>
      </w:r>
      <w:r w:rsidR="00305590">
        <w:rPr>
          <w:bCs/>
        </w:rPr>
        <w:t xml:space="preserve">básicamente </w:t>
      </w:r>
      <w:r>
        <w:rPr>
          <w:bCs/>
        </w:rPr>
        <w:t xml:space="preserve">por menores </w:t>
      </w:r>
      <w:r w:rsidR="00305590">
        <w:rPr>
          <w:bCs/>
        </w:rPr>
        <w:t>valores registrados</w:t>
      </w:r>
      <w:r w:rsidR="00387C3A">
        <w:rPr>
          <w:bCs/>
        </w:rPr>
        <w:t>,</w:t>
      </w:r>
      <w:r w:rsidR="00305590">
        <w:rPr>
          <w:bCs/>
        </w:rPr>
        <w:t xml:space="preserve"> a la fecha</w:t>
      </w:r>
      <w:r w:rsidR="00FE3AA8">
        <w:rPr>
          <w:bCs/>
        </w:rPr>
        <w:t xml:space="preserve">, </w:t>
      </w:r>
      <w:r w:rsidR="00305590">
        <w:rPr>
          <w:bCs/>
        </w:rPr>
        <w:t xml:space="preserve">de los rendimientos </w:t>
      </w:r>
      <w:r w:rsidR="00110B23">
        <w:rPr>
          <w:bCs/>
        </w:rPr>
        <w:t>por los</w:t>
      </w:r>
      <w:r w:rsidR="00110B23" w:rsidRPr="00110B23">
        <w:rPr>
          <w:bCs/>
        </w:rPr>
        <w:t xml:space="preserve"> </w:t>
      </w:r>
      <w:r w:rsidR="00110B23">
        <w:rPr>
          <w:bCs/>
        </w:rPr>
        <w:t>aportes realizados al Fondo de Contingencias, que son utilizados cuando se</w:t>
      </w:r>
      <w:r w:rsidR="00110B23" w:rsidRPr="00110B23">
        <w:rPr>
          <w:bCs/>
        </w:rPr>
        <w:t xml:space="preserve"> materialicen los riesgos en los proyectos de concesión del modo carretero.</w:t>
      </w:r>
    </w:p>
    <w:p w14:paraId="07759A5D" w14:textId="45AFA658" w:rsidR="00B72D15" w:rsidRDefault="00B72D15" w:rsidP="007124A9">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01D950EF"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2F01A0">
        <w:rPr>
          <w:bCs/>
        </w:rPr>
        <w:t>,</w:t>
      </w:r>
      <w:r w:rsidR="00A3132A">
        <w:rPr>
          <w:bCs/>
        </w:rPr>
        <w:t xml:space="preserve"> </w:t>
      </w:r>
      <w:r>
        <w:rPr>
          <w:bCs/>
        </w:rPr>
        <w:t>en este grupo</w:t>
      </w:r>
      <w:r w:rsidR="00C06FDB">
        <w:rPr>
          <w:bCs/>
        </w:rPr>
        <w:t>,</w:t>
      </w:r>
      <w:r>
        <w:rPr>
          <w:bCs/>
        </w:rPr>
        <w:t xml:space="preserve"> obedece principalmente a un efecto neto entre las subcuentas de peajes y tasas, así:</w:t>
      </w:r>
    </w:p>
    <w:p w14:paraId="60801341" w14:textId="77777777" w:rsidR="002D6B69" w:rsidRDefault="002D6B69" w:rsidP="00B72D15">
      <w:pPr>
        <w:jc w:val="both"/>
        <w:rPr>
          <w:bCs/>
        </w:rPr>
      </w:pPr>
    </w:p>
    <w:p w14:paraId="69400A2F" w14:textId="361E43CD" w:rsidR="00B72D15" w:rsidRDefault="002D6B69" w:rsidP="002D6B69">
      <w:pPr>
        <w:pStyle w:val="Prrafodelista"/>
        <w:numPr>
          <w:ilvl w:val="0"/>
          <w:numId w:val="2"/>
        </w:numPr>
        <w:ind w:left="709" w:hanging="349"/>
        <w:jc w:val="both"/>
        <w:rPr>
          <w:bCs/>
        </w:rPr>
      </w:pPr>
      <w:r w:rsidRPr="002D6B69">
        <w:rPr>
          <w:bCs/>
        </w:rPr>
        <w:t>En la subcuenta peajes un incremento por valor de $39.558.812 miles, por:</w:t>
      </w:r>
    </w:p>
    <w:p w14:paraId="4377BA4F" w14:textId="77777777" w:rsidR="002D6B69" w:rsidRDefault="002D6B69" w:rsidP="002D6B69">
      <w:pPr>
        <w:pStyle w:val="Prrafodelista"/>
        <w:ind w:left="709"/>
        <w:jc w:val="both"/>
        <w:rPr>
          <w:bCs/>
        </w:rPr>
      </w:pPr>
    </w:p>
    <w:p w14:paraId="76453C3F" w14:textId="5DF32A93" w:rsidR="002D6B69" w:rsidRDefault="002D6B69" w:rsidP="002D6B69">
      <w:pPr>
        <w:pStyle w:val="Prrafodelista"/>
        <w:numPr>
          <w:ilvl w:val="0"/>
          <w:numId w:val="8"/>
        </w:numPr>
        <w:jc w:val="both"/>
        <w:rPr>
          <w:bCs/>
        </w:rPr>
      </w:pPr>
      <w:r>
        <w:rPr>
          <w:bCs/>
        </w:rPr>
        <w:t>R</w:t>
      </w:r>
      <w:r w:rsidRPr="002D6B69">
        <w:rPr>
          <w:bCs/>
        </w:rPr>
        <w:t>egistr</w:t>
      </w:r>
      <w:r>
        <w:rPr>
          <w:bCs/>
        </w:rPr>
        <w:t>o</w:t>
      </w:r>
      <w:r w:rsidRPr="002D6B69">
        <w:rPr>
          <w:bCs/>
        </w:rPr>
        <w:t xml:space="preserve"> </w:t>
      </w:r>
      <w:r>
        <w:rPr>
          <w:bCs/>
        </w:rPr>
        <w:t xml:space="preserve">por </w:t>
      </w:r>
      <w:r w:rsidRPr="002D6B69">
        <w:rPr>
          <w:bCs/>
        </w:rPr>
        <w:t>valor de $28.731.784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A3BD806" w:rsidR="002D6B69" w:rsidRDefault="002D6B69" w:rsidP="002D6B69">
      <w:pPr>
        <w:pStyle w:val="Prrafodelista"/>
        <w:numPr>
          <w:ilvl w:val="0"/>
          <w:numId w:val="8"/>
        </w:numPr>
        <w:jc w:val="both"/>
        <w:rPr>
          <w:bCs/>
        </w:rPr>
      </w:pPr>
      <w:r>
        <w:rPr>
          <w:bCs/>
        </w:rPr>
        <w:t>Registro por valor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DA5F72">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5B1EC14D" w14:textId="77777777" w:rsidR="00375147" w:rsidRDefault="00375147" w:rsidP="00375147">
      <w:pPr>
        <w:jc w:val="both"/>
        <w:rPr>
          <w:bCs/>
        </w:rPr>
      </w:pPr>
    </w:p>
    <w:p w14:paraId="506ADC96" w14:textId="58225AC5" w:rsidR="00375147" w:rsidRDefault="00375147" w:rsidP="00375147">
      <w:pPr>
        <w:pStyle w:val="Prrafodelista"/>
        <w:numPr>
          <w:ilvl w:val="0"/>
          <w:numId w:val="2"/>
        </w:numPr>
        <w:ind w:left="709" w:hanging="349"/>
        <w:jc w:val="both"/>
        <w:rPr>
          <w:bCs/>
        </w:rPr>
      </w:pPr>
      <w:r w:rsidRPr="002D6B69">
        <w:rPr>
          <w:bCs/>
        </w:rPr>
        <w:t xml:space="preserve">En la subcuenta </w:t>
      </w:r>
      <w:r>
        <w:rPr>
          <w:bCs/>
        </w:rPr>
        <w:t>tasas</w:t>
      </w:r>
      <w:r w:rsidR="00DF7666">
        <w:rPr>
          <w:bCs/>
        </w:rPr>
        <w:t>,</w:t>
      </w:r>
      <w:r w:rsidRPr="002D6B69">
        <w:rPr>
          <w:bCs/>
        </w:rPr>
        <w:t xml:space="preserve"> un</w:t>
      </w:r>
      <w:r>
        <w:rPr>
          <w:bCs/>
        </w:rPr>
        <w:t>a</w:t>
      </w:r>
      <w:r w:rsidRPr="002D6B69">
        <w:rPr>
          <w:bCs/>
        </w:rPr>
        <w:t xml:space="preserve"> </w:t>
      </w:r>
      <w:r>
        <w:rPr>
          <w:bCs/>
        </w:rPr>
        <w:t>disminución</w:t>
      </w:r>
      <w:r w:rsidRPr="002D6B69">
        <w:rPr>
          <w:bCs/>
        </w:rPr>
        <w:t xml:space="preserve"> por valor de </w:t>
      </w:r>
      <w:r w:rsidR="005E5A5D">
        <w:rPr>
          <w:bCs/>
        </w:rPr>
        <w:t>$</w:t>
      </w:r>
      <w:r w:rsidR="005E5A5D" w:rsidRPr="005E5A5D">
        <w:rPr>
          <w:bCs/>
        </w:rPr>
        <w:t>-21.443.612</w:t>
      </w:r>
      <w:r w:rsidR="005E5A5D">
        <w:rPr>
          <w:bCs/>
        </w:rPr>
        <w:t xml:space="preserve"> </w:t>
      </w:r>
      <w:r w:rsidRPr="002D6B69">
        <w:rPr>
          <w:bCs/>
        </w:rPr>
        <w:t>miles, p</w:t>
      </w:r>
      <w:r w:rsidR="00B6721D">
        <w:rPr>
          <w:bCs/>
        </w:rPr>
        <w:t>rincipalmente p</w:t>
      </w:r>
      <w:r w:rsidRPr="002D6B69">
        <w:rPr>
          <w:bCs/>
        </w:rPr>
        <w:t>or</w:t>
      </w:r>
      <w:r w:rsidR="00B6721D">
        <w:rPr>
          <w:bCs/>
        </w:rPr>
        <w:t xml:space="preserve"> </w:t>
      </w:r>
      <w:r w:rsidR="00BB1BA9">
        <w:rPr>
          <w:bCs/>
        </w:rPr>
        <w:t xml:space="preserve">disminución en las operaciones de </w:t>
      </w:r>
      <w:proofErr w:type="spellStart"/>
      <w:r w:rsidR="00BB1BA9">
        <w:rPr>
          <w:bCs/>
        </w:rPr>
        <w:t>Prodeco</w:t>
      </w:r>
      <w:proofErr w:type="spellEnd"/>
      <w:r w:rsidR="00BB1BA9">
        <w:rPr>
          <w:bCs/>
        </w:rPr>
        <w:t xml:space="preserve">, </w:t>
      </w:r>
      <w:proofErr w:type="spellStart"/>
      <w:r w:rsidR="00BB1BA9">
        <w:rPr>
          <w:bCs/>
        </w:rPr>
        <w:t>Colombian</w:t>
      </w:r>
      <w:proofErr w:type="spellEnd"/>
      <w:r w:rsidR="00BB1BA9">
        <w:rPr>
          <w:bCs/>
        </w:rPr>
        <w:t xml:space="preserve"> Natural </w:t>
      </w:r>
      <w:proofErr w:type="spellStart"/>
      <w:r w:rsidR="00BB1BA9">
        <w:rPr>
          <w:bCs/>
        </w:rPr>
        <w:t>Resources</w:t>
      </w:r>
      <w:proofErr w:type="spellEnd"/>
      <w:r w:rsidR="00BB1BA9">
        <w:rPr>
          <w:bCs/>
        </w:rPr>
        <w:t xml:space="preserve"> y Consorcio </w:t>
      </w:r>
      <w:proofErr w:type="spellStart"/>
      <w:r w:rsidR="00BB1BA9">
        <w:rPr>
          <w:bCs/>
        </w:rPr>
        <w:t>Ibines</w:t>
      </w:r>
      <w:proofErr w:type="spellEnd"/>
      <w:r w:rsidR="00DF7666">
        <w:rPr>
          <w:bCs/>
        </w:rPr>
        <w:t>, por el COVID-19.</w:t>
      </w:r>
    </w:p>
    <w:p w14:paraId="76F26B5D" w14:textId="4D0DCADE" w:rsidR="00BB1BA9" w:rsidRDefault="00BB1BA9" w:rsidP="00BB1BA9">
      <w:pPr>
        <w:pStyle w:val="Prrafodelista"/>
        <w:ind w:left="709"/>
        <w:jc w:val="both"/>
        <w:rPr>
          <w:bCs/>
        </w:rPr>
      </w:pPr>
    </w:p>
    <w:p w14:paraId="252C78B2" w14:textId="4DCEC63E" w:rsidR="00BB1BA9" w:rsidRDefault="00BB1BA9" w:rsidP="00BB1BA9">
      <w:pPr>
        <w:pStyle w:val="Prrafodelista"/>
        <w:ind w:left="709"/>
        <w:jc w:val="both"/>
        <w:rPr>
          <w:bCs/>
        </w:rPr>
      </w:pPr>
      <w:r>
        <w:rPr>
          <w:bCs/>
        </w:rPr>
        <w:t xml:space="preserve">A continuación, se muestra un cuadro comparativo de los saldos acumulados </w:t>
      </w:r>
      <w:r w:rsidR="00BD0710">
        <w:rPr>
          <w:bCs/>
        </w:rPr>
        <w:t>de enero a abril</w:t>
      </w:r>
      <w:r w:rsidR="003F4E8C">
        <w:rPr>
          <w:bCs/>
        </w:rPr>
        <w:t>,</w:t>
      </w:r>
      <w:r w:rsidR="00BD0710">
        <w:rPr>
          <w:bCs/>
        </w:rPr>
        <w:t xml:space="preserve"> de las vigencias 2021 – 2020, </w:t>
      </w:r>
      <w:r>
        <w:rPr>
          <w:bCs/>
        </w:rPr>
        <w:t xml:space="preserve">y una descripción de las afectaciones </w:t>
      </w:r>
      <w:r w:rsidR="00396361">
        <w:rPr>
          <w:bCs/>
        </w:rPr>
        <w:t xml:space="preserve">que ha tenido </w:t>
      </w:r>
      <w:r>
        <w:rPr>
          <w:bCs/>
        </w:rPr>
        <w:t>cada uno de los operadores:</w:t>
      </w:r>
    </w:p>
    <w:p w14:paraId="71D71F05" w14:textId="64CDED83" w:rsidR="006700FF" w:rsidRDefault="006700FF" w:rsidP="00BB1BA9">
      <w:pPr>
        <w:pStyle w:val="Prrafodelista"/>
        <w:ind w:left="709"/>
        <w:jc w:val="both"/>
        <w:rPr>
          <w:bCs/>
        </w:rPr>
      </w:pPr>
    </w:p>
    <w:p w14:paraId="4B1DAD9B" w14:textId="4C99E62E" w:rsidR="006700FF" w:rsidRDefault="006700FF" w:rsidP="00BB1BA9">
      <w:pPr>
        <w:pStyle w:val="Prrafodelista"/>
        <w:ind w:left="709"/>
        <w:jc w:val="both"/>
        <w:rPr>
          <w:bCs/>
        </w:rPr>
      </w:pPr>
    </w:p>
    <w:p w14:paraId="47204881" w14:textId="524F4FF0" w:rsidR="006700FF" w:rsidRDefault="007F5B2A" w:rsidP="00BD0710">
      <w:pPr>
        <w:pStyle w:val="Prrafodelista"/>
        <w:ind w:left="709"/>
        <w:jc w:val="center"/>
        <w:rPr>
          <w:bCs/>
        </w:rPr>
      </w:pPr>
      <w:r w:rsidRPr="007F5B2A">
        <w:rPr>
          <w:noProof/>
        </w:rPr>
        <w:drawing>
          <wp:inline distT="0" distB="0" distL="0" distR="0" wp14:anchorId="2AEF6CAD" wp14:editId="1BAC7287">
            <wp:extent cx="4506685" cy="1527634"/>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0393" cy="1535670"/>
                    </a:xfrm>
                    <a:prstGeom prst="rect">
                      <a:avLst/>
                    </a:prstGeom>
                    <a:noFill/>
                    <a:ln>
                      <a:noFill/>
                    </a:ln>
                  </pic:spPr>
                </pic:pic>
              </a:graphicData>
            </a:graphic>
          </wp:inline>
        </w:drawing>
      </w:r>
    </w:p>
    <w:p w14:paraId="220D6A7D" w14:textId="77777777" w:rsidR="006700FF" w:rsidRDefault="006700FF" w:rsidP="00BB1BA9">
      <w:pPr>
        <w:pStyle w:val="Prrafodelista"/>
        <w:ind w:left="709"/>
        <w:jc w:val="both"/>
        <w:rPr>
          <w:bCs/>
        </w:rPr>
      </w:pPr>
    </w:p>
    <w:p w14:paraId="56CD6DC9" w14:textId="58F9ED2E" w:rsidR="008A2B30" w:rsidRDefault="008A2B30" w:rsidP="00375147">
      <w:pPr>
        <w:pStyle w:val="Prrafodelista"/>
        <w:ind w:left="709"/>
        <w:jc w:val="both"/>
        <w:rPr>
          <w:bCs/>
        </w:rPr>
      </w:pPr>
    </w:p>
    <w:p w14:paraId="312850F9" w14:textId="3FF94A39" w:rsidR="00B6721D" w:rsidRPr="00B6721D" w:rsidRDefault="00B6721D" w:rsidP="00BB1BA9">
      <w:pPr>
        <w:jc w:val="center"/>
        <w:rPr>
          <w:bCs/>
        </w:rPr>
      </w:pPr>
      <w:r w:rsidRPr="00B6721D">
        <w:rPr>
          <w:bCs/>
        </w:rPr>
        <w:t>Contexto Ingresos Modo Férreo</w:t>
      </w:r>
    </w:p>
    <w:p w14:paraId="72B722FE" w14:textId="5F4A2D56" w:rsidR="00B6721D" w:rsidRPr="00B6721D" w:rsidRDefault="0094165A" w:rsidP="00BB1BA9">
      <w:pPr>
        <w:jc w:val="center"/>
        <w:rPr>
          <w:bCs/>
        </w:rPr>
      </w:pPr>
      <w:r>
        <w:rPr>
          <w:bCs/>
        </w:rPr>
        <w:t>abril</w:t>
      </w:r>
      <w:r w:rsidR="005B670D">
        <w:rPr>
          <w:bCs/>
        </w:rPr>
        <w:t xml:space="preserve"> de</w:t>
      </w:r>
      <w:r w:rsidR="00023790">
        <w:rPr>
          <w:bCs/>
        </w:rPr>
        <w:t xml:space="preserve"> </w:t>
      </w:r>
      <w:r w:rsidR="00B6721D" w:rsidRPr="00B6721D">
        <w:rPr>
          <w:bCs/>
        </w:rPr>
        <w:t>2021</w:t>
      </w:r>
    </w:p>
    <w:p w14:paraId="76C64F80" w14:textId="77777777" w:rsidR="00B6721D" w:rsidRPr="00B6721D" w:rsidRDefault="00B6721D" w:rsidP="00B6721D">
      <w:pPr>
        <w:rPr>
          <w:bCs/>
        </w:rPr>
      </w:pPr>
    </w:p>
    <w:p w14:paraId="30E4CAA0" w14:textId="6CE086C4" w:rsid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r w:rsidR="005B670D">
        <w:rPr>
          <w:bCs/>
        </w:rPr>
        <w:t xml:space="preserve"> se describe a continuación:</w:t>
      </w:r>
    </w:p>
    <w:p w14:paraId="7C9EF5A6" w14:textId="77777777" w:rsidR="005B670D" w:rsidRPr="00B6721D" w:rsidRDefault="005B670D" w:rsidP="00BB1BA9">
      <w:pPr>
        <w:jc w:val="both"/>
        <w:rPr>
          <w:bCs/>
        </w:rPr>
      </w:pPr>
    </w:p>
    <w:p w14:paraId="543E2FF8" w14:textId="77777777" w:rsidR="00B6721D" w:rsidRPr="00B6721D" w:rsidRDefault="00B6721D" w:rsidP="00B6721D">
      <w:pPr>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1C493148" w14:textId="77777777" w:rsidR="00B6721D" w:rsidRPr="00B6721D" w:rsidRDefault="00B6721D" w:rsidP="00BB1BA9">
      <w:pPr>
        <w:jc w:val="both"/>
        <w:rPr>
          <w:bCs/>
        </w:rPr>
      </w:pPr>
      <w:r w:rsidRPr="00B6721D">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B6721D">
        <w:rPr>
          <w:bCs/>
        </w:rPr>
        <w:t>Fenoco</w:t>
      </w:r>
      <w:proofErr w:type="spellEnd"/>
      <w:r w:rsidRPr="00B6721D">
        <w:rPr>
          <w:bCs/>
        </w:rPr>
        <w:t xml:space="preserve"> y de la Agencia Nacional de Infraestructura.</w:t>
      </w:r>
    </w:p>
    <w:p w14:paraId="3EF450B4" w14:textId="77777777" w:rsidR="00B6721D" w:rsidRPr="00B6721D" w:rsidRDefault="00B6721D" w:rsidP="00B6721D">
      <w:pPr>
        <w:rPr>
          <w:bCs/>
        </w:rPr>
      </w:pPr>
    </w:p>
    <w:p w14:paraId="3DC8D00C" w14:textId="2E354DF7" w:rsidR="00B6721D" w:rsidRPr="00B6721D" w:rsidRDefault="00B6721D" w:rsidP="00BB1BA9">
      <w:pPr>
        <w:jc w:val="both"/>
        <w:rPr>
          <w:bCs/>
        </w:rPr>
      </w:pPr>
      <w:r w:rsidRPr="00B6721D">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r w:rsidR="00601C02">
        <w:rPr>
          <w:bCs/>
        </w:rPr>
        <w:t>PRODEC</w:t>
      </w:r>
      <w:r w:rsidR="004F56E6">
        <w:rPr>
          <w:bCs/>
        </w:rPr>
        <w:t>O</w:t>
      </w:r>
      <w:r w:rsidRPr="00B6721D">
        <w:rPr>
          <w:bCs/>
        </w:rPr>
        <w:t xml:space="preserve"> y CNR; </w:t>
      </w:r>
      <w:r w:rsidR="00601C02">
        <w:rPr>
          <w:bCs/>
        </w:rPr>
        <w:t>DRUMMOND</w:t>
      </w:r>
      <w:r w:rsidRPr="00B6721D">
        <w:rPr>
          <w:bCs/>
        </w:rPr>
        <w:t>, por su parte, tuvo una operación normal teniendo en cuenta que las minas en que realiza la explotación de carbón no se encuentran en este municipio.</w:t>
      </w:r>
    </w:p>
    <w:p w14:paraId="5BE24136" w14:textId="77777777" w:rsidR="00B6721D" w:rsidRPr="00B6721D" w:rsidRDefault="00B6721D" w:rsidP="00B6721D">
      <w:pPr>
        <w:rPr>
          <w:bCs/>
        </w:rPr>
      </w:pPr>
    </w:p>
    <w:p w14:paraId="11ECA131" w14:textId="740B8F60" w:rsidR="00B6721D" w:rsidRPr="00B6721D" w:rsidRDefault="00B6721D" w:rsidP="00BB1BA9">
      <w:pPr>
        <w:jc w:val="both"/>
        <w:rPr>
          <w:bCs/>
        </w:rPr>
      </w:pPr>
      <w:r w:rsidRPr="00B6721D">
        <w:rPr>
          <w:bCs/>
        </w:rPr>
        <w:t>De otra parte, una vez terminado el aislamiento obligatorio, CNR y PRODECO han continuado con la operación interrumpida, teniendo en cuenta que solicitaron ante la Agencia Nacional de Minería no continuar con la producción de carbón</w:t>
      </w:r>
      <w:r w:rsidR="00F80C92">
        <w:rPr>
          <w:bCs/>
        </w:rPr>
        <w:t>, en</w:t>
      </w:r>
      <w:r w:rsidRPr="00B6721D">
        <w:rPr>
          <w:bCs/>
        </w:rPr>
        <w:t xml:space="preserve"> parte de 2021, debido a la situación actual de pandemia, a inconvenientes sociales en la zona y a los precios actuales del carbón. Ante la negativa de la ANM a la solicitud, PRODECO ha informado que se retirará de la explotación de las minas del Cesar </w:t>
      </w:r>
      <w:r w:rsidR="005267E7" w:rsidRPr="00B6721D">
        <w:rPr>
          <w:bCs/>
        </w:rPr>
        <w:t>y,</w:t>
      </w:r>
      <w:r w:rsidRPr="00B6721D">
        <w:rPr>
          <w:bCs/>
        </w:rPr>
        <w:t xml:space="preserve"> por ende, no realizará la movilización de carbón a través de la vía férrea concesionada.</w:t>
      </w:r>
    </w:p>
    <w:p w14:paraId="3DF08FD8" w14:textId="77777777" w:rsidR="00B6721D" w:rsidRPr="00B6721D" w:rsidRDefault="00B6721D" w:rsidP="00B6721D">
      <w:pPr>
        <w:rPr>
          <w:bCs/>
        </w:rPr>
      </w:pPr>
    </w:p>
    <w:p w14:paraId="27981536" w14:textId="4EBACF87" w:rsidR="00B6721D" w:rsidRDefault="00B6721D" w:rsidP="00B6721D">
      <w:pPr>
        <w:jc w:val="both"/>
        <w:rPr>
          <w:bCs/>
        </w:rPr>
      </w:pPr>
      <w:r w:rsidRPr="00B6721D">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B6721D">
        <w:rPr>
          <w:bCs/>
        </w:rPr>
        <w:t>Fenoco</w:t>
      </w:r>
      <w:proofErr w:type="spellEnd"/>
      <w:r w:rsidRPr="00B6721D">
        <w:rPr>
          <w:bCs/>
        </w:rPr>
        <w:t xml:space="preserve"> S.A </w:t>
      </w:r>
      <w:r w:rsidR="008B1178">
        <w:rPr>
          <w:bCs/>
        </w:rPr>
        <w:t>manifestó</w:t>
      </w:r>
      <w:r w:rsidRPr="00B6721D">
        <w:rPr>
          <w:bCs/>
        </w:rPr>
        <w:t xml:space="preserve"> que teniendo en cuenta las condiciones actuales y el estado de la emergencia sanitaria, para el año 2021 se tiene una proyección de movilización de carbón de 30 millones de toneladas, que significa la disminución de ingresos para </w:t>
      </w:r>
      <w:proofErr w:type="spellStart"/>
      <w:r w:rsidRPr="00B6721D">
        <w:rPr>
          <w:bCs/>
        </w:rPr>
        <w:t>Fenoco</w:t>
      </w:r>
      <w:proofErr w:type="spellEnd"/>
      <w:r w:rsidRPr="00B6721D">
        <w:rPr>
          <w:bCs/>
        </w:rPr>
        <w:t xml:space="preserve"> y para la ANI, de al menos un 30% respecto a los ingresos obtenidos en los años anteriores al 2020.  A continuación, se presenta el histórico de movilización de carbón desde enero de 2019 a </w:t>
      </w:r>
      <w:r w:rsidR="008B1178">
        <w:rPr>
          <w:bCs/>
        </w:rPr>
        <w:t>abril</w:t>
      </w:r>
      <w:r w:rsidRPr="00B6721D">
        <w:rPr>
          <w:bCs/>
        </w:rPr>
        <w:t xml:space="preserve"> de 2021.</w:t>
      </w:r>
    </w:p>
    <w:p w14:paraId="3207AC66" w14:textId="7DE2E492" w:rsidR="00BB1BA9" w:rsidRDefault="00BB1BA9" w:rsidP="00B6721D">
      <w:pPr>
        <w:jc w:val="both"/>
        <w:rPr>
          <w:bCs/>
        </w:rPr>
      </w:pPr>
    </w:p>
    <w:p w14:paraId="0467AECD" w14:textId="77777777" w:rsidR="00A36A1C" w:rsidRDefault="00A36A1C" w:rsidP="00B6721D">
      <w:pPr>
        <w:jc w:val="both"/>
        <w:rPr>
          <w:bCs/>
        </w:rPr>
      </w:pPr>
    </w:p>
    <w:p w14:paraId="648D0A5B" w14:textId="734971D6" w:rsidR="00BB1BA9" w:rsidRDefault="00A36A1C" w:rsidP="00B6721D">
      <w:pPr>
        <w:jc w:val="both"/>
        <w:rPr>
          <w:bCs/>
        </w:rPr>
      </w:pPr>
      <w:r>
        <w:rPr>
          <w:noProof/>
        </w:rPr>
        <w:drawing>
          <wp:inline distT="0" distB="0" distL="0" distR="0" wp14:anchorId="15489CA3" wp14:editId="1DADD456">
            <wp:extent cx="5124450" cy="2838450"/>
            <wp:effectExtent l="0" t="0" r="0" b="0"/>
            <wp:docPr id="6" name="Gráfico 6">
              <a:extLst xmlns:a="http://schemas.openxmlformats.org/drawingml/2006/main">
                <a:ext uri="{FF2B5EF4-FFF2-40B4-BE49-F238E27FC236}">
                  <a16:creationId xmlns:a16="http://schemas.microsoft.com/office/drawing/2014/main" id="{41814E67-15F4-4DE3-B439-FF05F984D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A11953" w14:textId="77777777" w:rsidR="00A36A1C" w:rsidRDefault="00A36A1C" w:rsidP="00B6721D">
      <w:pPr>
        <w:jc w:val="both"/>
        <w:rPr>
          <w:bCs/>
        </w:rPr>
      </w:pPr>
    </w:p>
    <w:p w14:paraId="37219A34" w14:textId="36D56C2F" w:rsidR="00BB1BA9" w:rsidRDefault="00BB1BA9" w:rsidP="00B6721D">
      <w:pPr>
        <w:jc w:val="both"/>
        <w:rPr>
          <w:bCs/>
        </w:rPr>
      </w:pPr>
    </w:p>
    <w:p w14:paraId="341D5CDC" w14:textId="7B8773F0" w:rsidR="00BB1BA9" w:rsidRDefault="00A36A1C" w:rsidP="00A36A1C">
      <w:pPr>
        <w:jc w:val="center"/>
        <w:rPr>
          <w:bCs/>
        </w:rPr>
      </w:pPr>
      <w:r w:rsidRPr="00A36A1C">
        <w:rPr>
          <w:bCs/>
        </w:rPr>
        <w:t>Corredores férreos Bogotá – Belencito y La Dorada Chiriguana – al 15 de abril de 2021</w:t>
      </w:r>
    </w:p>
    <w:p w14:paraId="1677A97D" w14:textId="07ADD816" w:rsidR="00A36A1C" w:rsidRDefault="00A36A1C" w:rsidP="00BB1BA9">
      <w:pPr>
        <w:rPr>
          <w:bCs/>
        </w:rPr>
      </w:pPr>
    </w:p>
    <w:p w14:paraId="65802C9A" w14:textId="77777777" w:rsidR="00BB1BA9" w:rsidRPr="00BB1BA9" w:rsidRDefault="00BB1BA9" w:rsidP="00BB1BA9">
      <w:pPr>
        <w:rPr>
          <w:bCs/>
        </w:rPr>
      </w:pPr>
      <w:r w:rsidRPr="00BB1BA9">
        <w:rPr>
          <w:bCs/>
        </w:rPr>
        <w:t xml:space="preserve">En los corredores férreos La Dorada- Chiriguaná y Bogotá- Belencito que se encontraban administrados por el Consorcio </w:t>
      </w:r>
      <w:proofErr w:type="spellStart"/>
      <w:r w:rsidRPr="00BB1BA9">
        <w:rPr>
          <w:bCs/>
        </w:rPr>
        <w:t>Ibines</w:t>
      </w:r>
      <w:proofErr w:type="spellEnd"/>
      <w:r w:rsidRPr="00BB1BA9">
        <w:rPr>
          <w:bCs/>
        </w:rPr>
        <w:t xml:space="preserve"> hasta el 15 de abril de 2021, se tiene un ingreso regulado en el marco de la Resolución No 184 de 2009 expedida por el Ministerio de Transporte que define las tarifas de uso de vía por cuenta de las operaciones de pasajeros que acometía el operador </w:t>
      </w:r>
      <w:proofErr w:type="spellStart"/>
      <w:r w:rsidRPr="00BB1BA9">
        <w:rPr>
          <w:bCs/>
        </w:rPr>
        <w:t>Coopsercol</w:t>
      </w:r>
      <w:proofErr w:type="spellEnd"/>
      <w:r w:rsidRPr="00BB1BA9">
        <w:rPr>
          <w:bCs/>
        </w:rPr>
        <w:t xml:space="preserve"> en el corredor La Dorada- Chiriguaná y </w:t>
      </w:r>
      <w:proofErr w:type="spellStart"/>
      <w:r w:rsidRPr="00BB1BA9">
        <w:rPr>
          <w:bCs/>
        </w:rPr>
        <w:t>Turistren</w:t>
      </w:r>
      <w:proofErr w:type="spellEnd"/>
      <w:r w:rsidRPr="00BB1BA9">
        <w:rPr>
          <w:bCs/>
        </w:rPr>
        <w:t xml:space="preserve"> como operador de pasajeros en el corredor Bogotá-Zipaquirá.</w:t>
      </w:r>
    </w:p>
    <w:p w14:paraId="013BF122" w14:textId="77777777" w:rsidR="00BB1BA9" w:rsidRPr="00BB1BA9" w:rsidRDefault="00BB1BA9" w:rsidP="00BB1BA9">
      <w:pPr>
        <w:rPr>
          <w:bCs/>
        </w:rPr>
      </w:pPr>
    </w:p>
    <w:p w14:paraId="739E4904" w14:textId="77777777" w:rsidR="00BB1BA9" w:rsidRPr="00BB1BA9" w:rsidRDefault="00BB1BA9" w:rsidP="00BB1BA9">
      <w:pPr>
        <w:rPr>
          <w:bCs/>
        </w:rPr>
      </w:pPr>
      <w:r w:rsidRPr="00BB1BA9">
        <w:rPr>
          <w:bCs/>
        </w:rPr>
        <w:t>Una vez se decreta la emergencia sanitaria estos operadores a partir del 16 de marzo de 2020, se vieron obligados a interrumpir operaciones en cumplimiento de las directrices emanadas en su momento por el Gobierno Nacional.</w:t>
      </w:r>
    </w:p>
    <w:p w14:paraId="1A6409FB" w14:textId="77777777" w:rsidR="00BB1BA9" w:rsidRPr="00BB1BA9" w:rsidRDefault="00BB1BA9" w:rsidP="00BB1BA9">
      <w:pPr>
        <w:rPr>
          <w:bCs/>
        </w:rPr>
      </w:pPr>
    </w:p>
    <w:p w14:paraId="34A4287B" w14:textId="0ADF9404" w:rsidR="00BB1BA9" w:rsidRDefault="00BB1BA9" w:rsidP="00BB1BA9">
      <w:pPr>
        <w:jc w:val="both"/>
        <w:rPr>
          <w:bCs/>
        </w:rPr>
      </w:pPr>
      <w:r w:rsidRPr="00BB1BA9">
        <w:rPr>
          <w:bCs/>
        </w:rPr>
        <w:t>Se presenta el comportamiento histórico de la movilización de pasajeros por los operadores mencionados:</w:t>
      </w:r>
    </w:p>
    <w:p w14:paraId="14473CC0" w14:textId="5CA498BF" w:rsidR="00B6721D" w:rsidRDefault="00B6721D" w:rsidP="00B72D15">
      <w:pPr>
        <w:jc w:val="both"/>
        <w:rPr>
          <w:bCs/>
        </w:rPr>
      </w:pPr>
    </w:p>
    <w:p w14:paraId="3184CB27" w14:textId="77777777" w:rsidR="00347751" w:rsidRDefault="00347751" w:rsidP="00B72D15">
      <w:pPr>
        <w:jc w:val="both"/>
        <w:rPr>
          <w:bCs/>
        </w:rPr>
      </w:pPr>
    </w:p>
    <w:p w14:paraId="7B111549" w14:textId="3A86DE16" w:rsidR="00BB1BA9" w:rsidRDefault="008C1E8C" w:rsidP="008C1E8C">
      <w:pPr>
        <w:jc w:val="center"/>
        <w:rPr>
          <w:bCs/>
        </w:rPr>
      </w:pPr>
      <w:r w:rsidRPr="008C1E8C">
        <w:rPr>
          <w:bCs/>
        </w:rPr>
        <w:t xml:space="preserve">Cantidad Pasajeros movilizados </w:t>
      </w:r>
      <w:proofErr w:type="spellStart"/>
      <w:r w:rsidRPr="008C1E8C">
        <w:rPr>
          <w:bCs/>
        </w:rPr>
        <w:t>Turistren</w:t>
      </w:r>
      <w:proofErr w:type="spellEnd"/>
      <w:r w:rsidRPr="008C1E8C">
        <w:rPr>
          <w:bCs/>
        </w:rPr>
        <w:t xml:space="preserve"> Bogotá- Zipaquirá, con corte al 15 de abril de 2021</w:t>
      </w:r>
    </w:p>
    <w:p w14:paraId="6CE8B9F8" w14:textId="1A05E340" w:rsidR="00BB1BA9" w:rsidRDefault="00BB1BA9" w:rsidP="00B72D15">
      <w:pPr>
        <w:jc w:val="both"/>
        <w:rPr>
          <w:bCs/>
        </w:rPr>
      </w:pPr>
    </w:p>
    <w:tbl>
      <w:tblPr>
        <w:tblW w:w="5000" w:type="pct"/>
        <w:jc w:val="center"/>
        <w:tblCellMar>
          <w:left w:w="70" w:type="dxa"/>
          <w:right w:w="70" w:type="dxa"/>
        </w:tblCellMar>
        <w:tblLook w:val="04A0" w:firstRow="1" w:lastRow="0" w:firstColumn="1" w:lastColumn="0" w:noHBand="0" w:noVBand="1"/>
      </w:tblPr>
      <w:tblGrid>
        <w:gridCol w:w="998"/>
        <w:gridCol w:w="725"/>
        <w:gridCol w:w="725"/>
        <w:gridCol w:w="760"/>
        <w:gridCol w:w="725"/>
        <w:gridCol w:w="725"/>
        <w:gridCol w:w="725"/>
        <w:gridCol w:w="725"/>
        <w:gridCol w:w="725"/>
        <w:gridCol w:w="725"/>
        <w:gridCol w:w="725"/>
        <w:gridCol w:w="545"/>
      </w:tblGrid>
      <w:tr w:rsidR="008C1E8C" w:rsidRPr="008C1E8C" w14:paraId="7245058E" w14:textId="77777777" w:rsidTr="008C1E8C">
        <w:trPr>
          <w:trHeight w:val="510"/>
          <w:tblHeader/>
          <w:jc w:val="center"/>
        </w:trPr>
        <w:tc>
          <w:tcPr>
            <w:tcW w:w="574" w:type="pct"/>
            <w:tcBorders>
              <w:top w:val="nil"/>
              <w:left w:val="single" w:sz="4" w:space="0" w:color="auto"/>
              <w:bottom w:val="single" w:sz="4" w:space="0" w:color="auto"/>
              <w:right w:val="single" w:sz="4" w:space="0" w:color="auto"/>
            </w:tcBorders>
            <w:shd w:val="clear" w:color="000000" w:fill="1F4E78"/>
            <w:noWrap/>
            <w:vAlign w:val="center"/>
            <w:hideMark/>
          </w:tcPr>
          <w:p w14:paraId="58CC929B"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MES</w:t>
            </w:r>
          </w:p>
        </w:tc>
        <w:tc>
          <w:tcPr>
            <w:tcW w:w="409" w:type="pct"/>
            <w:tcBorders>
              <w:top w:val="nil"/>
              <w:left w:val="nil"/>
              <w:bottom w:val="single" w:sz="4" w:space="0" w:color="auto"/>
              <w:right w:val="single" w:sz="4" w:space="0" w:color="auto"/>
            </w:tcBorders>
            <w:shd w:val="clear" w:color="000000" w:fill="1F4E78"/>
            <w:vAlign w:val="center"/>
            <w:hideMark/>
          </w:tcPr>
          <w:p w14:paraId="3B2117B4"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2013</w:t>
            </w:r>
          </w:p>
        </w:tc>
        <w:tc>
          <w:tcPr>
            <w:tcW w:w="409" w:type="pct"/>
            <w:tcBorders>
              <w:top w:val="nil"/>
              <w:left w:val="nil"/>
              <w:bottom w:val="single" w:sz="4" w:space="0" w:color="auto"/>
              <w:right w:val="single" w:sz="4" w:space="0" w:color="auto"/>
            </w:tcBorders>
            <w:shd w:val="clear" w:color="000000" w:fill="1F4E78"/>
            <w:vAlign w:val="center"/>
            <w:hideMark/>
          </w:tcPr>
          <w:p w14:paraId="7F973498"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2014</w:t>
            </w:r>
          </w:p>
        </w:tc>
        <w:tc>
          <w:tcPr>
            <w:tcW w:w="439" w:type="pct"/>
            <w:tcBorders>
              <w:top w:val="nil"/>
              <w:left w:val="nil"/>
              <w:bottom w:val="single" w:sz="4" w:space="0" w:color="auto"/>
              <w:right w:val="single" w:sz="4" w:space="0" w:color="auto"/>
            </w:tcBorders>
            <w:shd w:val="clear" w:color="000000" w:fill="1F4E78"/>
            <w:vAlign w:val="center"/>
            <w:hideMark/>
          </w:tcPr>
          <w:p w14:paraId="66C9B41C"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2015</w:t>
            </w:r>
          </w:p>
        </w:tc>
        <w:tc>
          <w:tcPr>
            <w:tcW w:w="409" w:type="pct"/>
            <w:tcBorders>
              <w:top w:val="nil"/>
              <w:left w:val="nil"/>
              <w:bottom w:val="single" w:sz="4" w:space="0" w:color="auto"/>
              <w:right w:val="single" w:sz="4" w:space="0" w:color="auto"/>
            </w:tcBorders>
            <w:shd w:val="clear" w:color="000000" w:fill="1F4E78"/>
            <w:vAlign w:val="center"/>
            <w:hideMark/>
          </w:tcPr>
          <w:p w14:paraId="630F90FA"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2016</w:t>
            </w:r>
          </w:p>
        </w:tc>
        <w:tc>
          <w:tcPr>
            <w:tcW w:w="409" w:type="pct"/>
            <w:tcBorders>
              <w:top w:val="nil"/>
              <w:left w:val="nil"/>
              <w:bottom w:val="single" w:sz="4" w:space="0" w:color="auto"/>
              <w:right w:val="single" w:sz="4" w:space="0" w:color="auto"/>
            </w:tcBorders>
            <w:shd w:val="clear" w:color="000000" w:fill="1F4E78"/>
            <w:vAlign w:val="center"/>
            <w:hideMark/>
          </w:tcPr>
          <w:p w14:paraId="6739BBDB"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2017</w:t>
            </w:r>
          </w:p>
        </w:tc>
        <w:tc>
          <w:tcPr>
            <w:tcW w:w="409" w:type="pct"/>
            <w:tcBorders>
              <w:top w:val="nil"/>
              <w:left w:val="nil"/>
              <w:bottom w:val="single" w:sz="4" w:space="0" w:color="auto"/>
              <w:right w:val="single" w:sz="4" w:space="0" w:color="auto"/>
            </w:tcBorders>
            <w:shd w:val="clear" w:color="000000" w:fill="1F4E78"/>
            <w:vAlign w:val="center"/>
            <w:hideMark/>
          </w:tcPr>
          <w:p w14:paraId="2CE8B61F"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769F9CDF"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64522081"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2018</w:t>
            </w:r>
          </w:p>
        </w:tc>
        <w:tc>
          <w:tcPr>
            <w:tcW w:w="409" w:type="pct"/>
            <w:tcBorders>
              <w:top w:val="nil"/>
              <w:left w:val="nil"/>
              <w:bottom w:val="single" w:sz="4" w:space="0" w:color="auto"/>
              <w:right w:val="single" w:sz="4" w:space="0" w:color="auto"/>
            </w:tcBorders>
            <w:shd w:val="clear" w:color="000000" w:fill="1F4E78"/>
            <w:vAlign w:val="center"/>
            <w:hideMark/>
          </w:tcPr>
          <w:p w14:paraId="3DB5DAB1"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2019</w:t>
            </w:r>
          </w:p>
        </w:tc>
        <w:tc>
          <w:tcPr>
            <w:tcW w:w="409" w:type="pct"/>
            <w:tcBorders>
              <w:top w:val="nil"/>
              <w:left w:val="nil"/>
              <w:bottom w:val="single" w:sz="4" w:space="0" w:color="auto"/>
              <w:right w:val="single" w:sz="4" w:space="0" w:color="auto"/>
            </w:tcBorders>
            <w:shd w:val="clear" w:color="000000" w:fill="1F4E78"/>
            <w:vAlign w:val="center"/>
            <w:hideMark/>
          </w:tcPr>
          <w:p w14:paraId="04938C60"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2020</w:t>
            </w:r>
          </w:p>
        </w:tc>
        <w:tc>
          <w:tcPr>
            <w:tcW w:w="306" w:type="pct"/>
            <w:tcBorders>
              <w:top w:val="nil"/>
              <w:left w:val="nil"/>
              <w:bottom w:val="single" w:sz="4" w:space="0" w:color="auto"/>
              <w:right w:val="single" w:sz="4" w:space="0" w:color="auto"/>
            </w:tcBorders>
            <w:shd w:val="clear" w:color="000000" w:fill="1F4E78"/>
            <w:vAlign w:val="center"/>
            <w:hideMark/>
          </w:tcPr>
          <w:p w14:paraId="2B7CEAB6" w14:textId="77777777" w:rsidR="008C1E8C" w:rsidRPr="008C1E8C" w:rsidRDefault="008C1E8C" w:rsidP="00597170">
            <w:pPr>
              <w:jc w:val="center"/>
              <w:rPr>
                <w:rFonts w:asciiTheme="majorBidi" w:hAnsiTheme="majorBidi" w:cstheme="majorBidi"/>
                <w:b/>
                <w:bCs/>
                <w:color w:val="FFFFFF"/>
                <w:sz w:val="18"/>
                <w:szCs w:val="18"/>
                <w:lang w:val="es-CO" w:eastAsia="es-CO"/>
              </w:rPr>
            </w:pPr>
            <w:r w:rsidRPr="008C1E8C">
              <w:rPr>
                <w:rFonts w:asciiTheme="majorBidi" w:hAnsiTheme="majorBidi" w:cstheme="majorBidi"/>
                <w:b/>
                <w:bCs/>
                <w:color w:val="FFFFFF"/>
                <w:sz w:val="18"/>
                <w:szCs w:val="18"/>
                <w:lang w:val="es-CO" w:eastAsia="es-CO"/>
              </w:rPr>
              <w:t>2021</w:t>
            </w:r>
          </w:p>
        </w:tc>
      </w:tr>
      <w:tr w:rsidR="008C1E8C" w:rsidRPr="008C1E8C" w14:paraId="055702A7"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CF316B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enero</w:t>
            </w:r>
          </w:p>
        </w:tc>
        <w:tc>
          <w:tcPr>
            <w:tcW w:w="409" w:type="pct"/>
            <w:tcBorders>
              <w:top w:val="nil"/>
              <w:left w:val="nil"/>
              <w:bottom w:val="single" w:sz="4" w:space="0" w:color="auto"/>
              <w:right w:val="single" w:sz="4" w:space="0" w:color="auto"/>
            </w:tcBorders>
            <w:shd w:val="clear" w:color="000000" w:fill="FFFFFF"/>
            <w:noWrap/>
            <w:vAlign w:val="center"/>
            <w:hideMark/>
          </w:tcPr>
          <w:p w14:paraId="74BA52B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15.565</w:t>
            </w:r>
          </w:p>
        </w:tc>
        <w:tc>
          <w:tcPr>
            <w:tcW w:w="409" w:type="pct"/>
            <w:tcBorders>
              <w:top w:val="nil"/>
              <w:left w:val="nil"/>
              <w:bottom w:val="single" w:sz="4" w:space="0" w:color="auto"/>
              <w:right w:val="single" w:sz="4" w:space="0" w:color="auto"/>
            </w:tcBorders>
            <w:shd w:val="clear" w:color="000000" w:fill="FFFFFF"/>
            <w:noWrap/>
            <w:vAlign w:val="center"/>
            <w:hideMark/>
          </w:tcPr>
          <w:p w14:paraId="2B05706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29.464</w:t>
            </w:r>
          </w:p>
        </w:tc>
        <w:tc>
          <w:tcPr>
            <w:tcW w:w="439" w:type="pct"/>
            <w:tcBorders>
              <w:top w:val="nil"/>
              <w:left w:val="nil"/>
              <w:bottom w:val="single" w:sz="4" w:space="0" w:color="auto"/>
              <w:right w:val="single" w:sz="4" w:space="0" w:color="auto"/>
            </w:tcBorders>
            <w:shd w:val="clear" w:color="000000" w:fill="FFFFFF"/>
            <w:noWrap/>
            <w:vAlign w:val="center"/>
            <w:hideMark/>
          </w:tcPr>
          <w:p w14:paraId="0AB62BE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28036</w:t>
            </w:r>
          </w:p>
        </w:tc>
        <w:tc>
          <w:tcPr>
            <w:tcW w:w="409" w:type="pct"/>
            <w:tcBorders>
              <w:top w:val="nil"/>
              <w:left w:val="nil"/>
              <w:bottom w:val="single" w:sz="4" w:space="0" w:color="auto"/>
              <w:right w:val="single" w:sz="4" w:space="0" w:color="auto"/>
            </w:tcBorders>
            <w:shd w:val="clear" w:color="000000" w:fill="FFFFFF"/>
            <w:noWrap/>
            <w:vAlign w:val="center"/>
            <w:hideMark/>
          </w:tcPr>
          <w:p w14:paraId="09BF533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27.360</w:t>
            </w:r>
          </w:p>
        </w:tc>
        <w:tc>
          <w:tcPr>
            <w:tcW w:w="409" w:type="pct"/>
            <w:tcBorders>
              <w:top w:val="nil"/>
              <w:left w:val="nil"/>
              <w:bottom w:val="single" w:sz="4" w:space="0" w:color="auto"/>
              <w:right w:val="single" w:sz="4" w:space="0" w:color="auto"/>
            </w:tcBorders>
            <w:shd w:val="clear" w:color="000000" w:fill="FFFFFF"/>
            <w:noWrap/>
            <w:vAlign w:val="center"/>
            <w:hideMark/>
          </w:tcPr>
          <w:p w14:paraId="0BE899C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20.812</w:t>
            </w:r>
          </w:p>
        </w:tc>
        <w:tc>
          <w:tcPr>
            <w:tcW w:w="409" w:type="pct"/>
            <w:tcBorders>
              <w:top w:val="nil"/>
              <w:left w:val="nil"/>
              <w:bottom w:val="single" w:sz="4" w:space="0" w:color="auto"/>
              <w:right w:val="single" w:sz="4" w:space="0" w:color="auto"/>
            </w:tcBorders>
            <w:shd w:val="clear" w:color="000000" w:fill="FFFFFF"/>
            <w:noWrap/>
            <w:vAlign w:val="center"/>
            <w:hideMark/>
          </w:tcPr>
          <w:p w14:paraId="756072F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1027110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45C4DBE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25.448</w:t>
            </w:r>
          </w:p>
        </w:tc>
        <w:tc>
          <w:tcPr>
            <w:tcW w:w="409" w:type="pct"/>
            <w:tcBorders>
              <w:top w:val="nil"/>
              <w:left w:val="nil"/>
              <w:bottom w:val="single" w:sz="4" w:space="0" w:color="auto"/>
              <w:right w:val="single" w:sz="4" w:space="0" w:color="auto"/>
            </w:tcBorders>
            <w:shd w:val="clear" w:color="000000" w:fill="FFFFFF"/>
            <w:noWrap/>
            <w:vAlign w:val="center"/>
            <w:hideMark/>
          </w:tcPr>
          <w:p w14:paraId="2C3647F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31.230</w:t>
            </w:r>
          </w:p>
        </w:tc>
        <w:tc>
          <w:tcPr>
            <w:tcW w:w="409" w:type="pct"/>
            <w:tcBorders>
              <w:top w:val="nil"/>
              <w:left w:val="nil"/>
              <w:bottom w:val="single" w:sz="4" w:space="0" w:color="auto"/>
              <w:right w:val="single" w:sz="4" w:space="0" w:color="auto"/>
            </w:tcBorders>
            <w:shd w:val="clear" w:color="000000" w:fill="FFFFFF"/>
            <w:noWrap/>
            <w:vAlign w:val="center"/>
            <w:hideMark/>
          </w:tcPr>
          <w:p w14:paraId="397407B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40.920</w:t>
            </w:r>
          </w:p>
        </w:tc>
        <w:tc>
          <w:tcPr>
            <w:tcW w:w="306" w:type="pct"/>
            <w:tcBorders>
              <w:top w:val="nil"/>
              <w:left w:val="nil"/>
              <w:bottom w:val="single" w:sz="4" w:space="0" w:color="auto"/>
              <w:right w:val="single" w:sz="4" w:space="0" w:color="auto"/>
            </w:tcBorders>
            <w:shd w:val="clear" w:color="000000" w:fill="FFFFFF"/>
            <w:noWrap/>
            <w:vAlign w:val="center"/>
            <w:hideMark/>
          </w:tcPr>
          <w:p w14:paraId="3359567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1.556</w:t>
            </w:r>
          </w:p>
        </w:tc>
      </w:tr>
      <w:tr w:rsidR="008C1E8C" w:rsidRPr="008C1E8C" w14:paraId="69C32D67"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60D77F6"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febrero</w:t>
            </w:r>
          </w:p>
        </w:tc>
        <w:tc>
          <w:tcPr>
            <w:tcW w:w="409" w:type="pct"/>
            <w:tcBorders>
              <w:top w:val="nil"/>
              <w:left w:val="nil"/>
              <w:bottom w:val="single" w:sz="4" w:space="0" w:color="auto"/>
              <w:right w:val="single" w:sz="4" w:space="0" w:color="auto"/>
            </w:tcBorders>
            <w:shd w:val="clear" w:color="000000" w:fill="FFFFFF"/>
            <w:noWrap/>
            <w:vAlign w:val="center"/>
            <w:hideMark/>
          </w:tcPr>
          <w:p w14:paraId="7DC01A8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18.520</w:t>
            </w:r>
          </w:p>
        </w:tc>
        <w:tc>
          <w:tcPr>
            <w:tcW w:w="409" w:type="pct"/>
            <w:tcBorders>
              <w:top w:val="nil"/>
              <w:left w:val="nil"/>
              <w:bottom w:val="single" w:sz="4" w:space="0" w:color="auto"/>
              <w:right w:val="single" w:sz="4" w:space="0" w:color="auto"/>
            </w:tcBorders>
            <w:shd w:val="clear" w:color="000000" w:fill="FFFFFF"/>
            <w:noWrap/>
            <w:vAlign w:val="center"/>
            <w:hideMark/>
          </w:tcPr>
          <w:p w14:paraId="4DC6276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42.358</w:t>
            </w:r>
          </w:p>
        </w:tc>
        <w:tc>
          <w:tcPr>
            <w:tcW w:w="439" w:type="pct"/>
            <w:tcBorders>
              <w:top w:val="nil"/>
              <w:left w:val="nil"/>
              <w:bottom w:val="single" w:sz="4" w:space="0" w:color="auto"/>
              <w:right w:val="single" w:sz="4" w:space="0" w:color="auto"/>
            </w:tcBorders>
            <w:shd w:val="clear" w:color="000000" w:fill="FFFFFF"/>
            <w:noWrap/>
            <w:vAlign w:val="center"/>
            <w:hideMark/>
          </w:tcPr>
          <w:p w14:paraId="45E3429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40694</w:t>
            </w:r>
          </w:p>
        </w:tc>
        <w:tc>
          <w:tcPr>
            <w:tcW w:w="409" w:type="pct"/>
            <w:tcBorders>
              <w:top w:val="nil"/>
              <w:left w:val="nil"/>
              <w:bottom w:val="single" w:sz="4" w:space="0" w:color="auto"/>
              <w:right w:val="single" w:sz="4" w:space="0" w:color="auto"/>
            </w:tcBorders>
            <w:shd w:val="clear" w:color="000000" w:fill="FFFFFF"/>
            <w:noWrap/>
            <w:vAlign w:val="center"/>
            <w:hideMark/>
          </w:tcPr>
          <w:p w14:paraId="3A7F357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34.208</w:t>
            </w:r>
          </w:p>
        </w:tc>
        <w:tc>
          <w:tcPr>
            <w:tcW w:w="409" w:type="pct"/>
            <w:tcBorders>
              <w:top w:val="nil"/>
              <w:left w:val="nil"/>
              <w:bottom w:val="single" w:sz="4" w:space="0" w:color="auto"/>
              <w:right w:val="single" w:sz="4" w:space="0" w:color="auto"/>
            </w:tcBorders>
            <w:shd w:val="clear" w:color="000000" w:fill="FFFFFF"/>
            <w:noWrap/>
            <w:vAlign w:val="center"/>
            <w:hideMark/>
          </w:tcPr>
          <w:p w14:paraId="3D33B59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41.972</w:t>
            </w:r>
          </w:p>
        </w:tc>
        <w:tc>
          <w:tcPr>
            <w:tcW w:w="409" w:type="pct"/>
            <w:tcBorders>
              <w:top w:val="nil"/>
              <w:left w:val="nil"/>
              <w:bottom w:val="single" w:sz="4" w:space="0" w:color="auto"/>
              <w:right w:val="single" w:sz="4" w:space="0" w:color="auto"/>
            </w:tcBorders>
            <w:shd w:val="clear" w:color="000000" w:fill="FFFFFF"/>
            <w:noWrap/>
            <w:vAlign w:val="center"/>
            <w:hideMark/>
          </w:tcPr>
          <w:p w14:paraId="03C9DF5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7288ACC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0059D27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59.580</w:t>
            </w:r>
          </w:p>
        </w:tc>
        <w:tc>
          <w:tcPr>
            <w:tcW w:w="409" w:type="pct"/>
            <w:tcBorders>
              <w:top w:val="nil"/>
              <w:left w:val="nil"/>
              <w:bottom w:val="single" w:sz="4" w:space="0" w:color="auto"/>
              <w:right w:val="single" w:sz="4" w:space="0" w:color="auto"/>
            </w:tcBorders>
            <w:shd w:val="clear" w:color="000000" w:fill="FFFFFF"/>
            <w:noWrap/>
            <w:vAlign w:val="center"/>
            <w:hideMark/>
          </w:tcPr>
          <w:p w14:paraId="10EB2C1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67.978</w:t>
            </w:r>
          </w:p>
        </w:tc>
        <w:tc>
          <w:tcPr>
            <w:tcW w:w="409" w:type="pct"/>
            <w:tcBorders>
              <w:top w:val="nil"/>
              <w:left w:val="nil"/>
              <w:bottom w:val="single" w:sz="4" w:space="0" w:color="auto"/>
              <w:right w:val="single" w:sz="4" w:space="0" w:color="auto"/>
            </w:tcBorders>
            <w:shd w:val="clear" w:color="000000" w:fill="FFFFFF"/>
            <w:noWrap/>
            <w:vAlign w:val="center"/>
            <w:hideMark/>
          </w:tcPr>
          <w:p w14:paraId="29065B0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73.392</w:t>
            </w:r>
          </w:p>
        </w:tc>
        <w:tc>
          <w:tcPr>
            <w:tcW w:w="306" w:type="pct"/>
            <w:tcBorders>
              <w:top w:val="nil"/>
              <w:left w:val="nil"/>
              <w:bottom w:val="single" w:sz="4" w:space="0" w:color="auto"/>
              <w:right w:val="single" w:sz="4" w:space="0" w:color="auto"/>
            </w:tcBorders>
            <w:shd w:val="clear" w:color="000000" w:fill="FFFFFF"/>
            <w:noWrap/>
            <w:vAlign w:val="center"/>
            <w:hideMark/>
          </w:tcPr>
          <w:p w14:paraId="73DFBF8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702</w:t>
            </w:r>
          </w:p>
        </w:tc>
      </w:tr>
      <w:tr w:rsidR="008C1E8C" w:rsidRPr="008C1E8C" w14:paraId="1055244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FB1AB6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marzo</w:t>
            </w:r>
          </w:p>
        </w:tc>
        <w:tc>
          <w:tcPr>
            <w:tcW w:w="409" w:type="pct"/>
            <w:tcBorders>
              <w:top w:val="nil"/>
              <w:left w:val="nil"/>
              <w:bottom w:val="single" w:sz="4" w:space="0" w:color="auto"/>
              <w:right w:val="single" w:sz="4" w:space="0" w:color="auto"/>
            </w:tcBorders>
            <w:shd w:val="clear" w:color="000000" w:fill="FFFFFF"/>
            <w:noWrap/>
            <w:vAlign w:val="center"/>
            <w:hideMark/>
          </w:tcPr>
          <w:p w14:paraId="5E093FD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18.351</w:t>
            </w:r>
          </w:p>
        </w:tc>
        <w:tc>
          <w:tcPr>
            <w:tcW w:w="409" w:type="pct"/>
            <w:tcBorders>
              <w:top w:val="nil"/>
              <w:left w:val="nil"/>
              <w:bottom w:val="single" w:sz="4" w:space="0" w:color="auto"/>
              <w:right w:val="single" w:sz="4" w:space="0" w:color="auto"/>
            </w:tcBorders>
            <w:shd w:val="clear" w:color="000000" w:fill="FFFFFF"/>
            <w:noWrap/>
            <w:vAlign w:val="center"/>
            <w:hideMark/>
          </w:tcPr>
          <w:p w14:paraId="23E4235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39.728</w:t>
            </w:r>
          </w:p>
        </w:tc>
        <w:tc>
          <w:tcPr>
            <w:tcW w:w="439" w:type="pct"/>
            <w:tcBorders>
              <w:top w:val="nil"/>
              <w:left w:val="nil"/>
              <w:bottom w:val="single" w:sz="4" w:space="0" w:color="auto"/>
              <w:right w:val="single" w:sz="4" w:space="0" w:color="auto"/>
            </w:tcBorders>
            <w:shd w:val="clear" w:color="000000" w:fill="FFFFFF"/>
            <w:noWrap/>
            <w:vAlign w:val="center"/>
            <w:hideMark/>
          </w:tcPr>
          <w:p w14:paraId="022D2FA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38112</w:t>
            </w:r>
          </w:p>
        </w:tc>
        <w:tc>
          <w:tcPr>
            <w:tcW w:w="409" w:type="pct"/>
            <w:tcBorders>
              <w:top w:val="nil"/>
              <w:left w:val="nil"/>
              <w:bottom w:val="single" w:sz="4" w:space="0" w:color="auto"/>
              <w:right w:val="single" w:sz="4" w:space="0" w:color="auto"/>
            </w:tcBorders>
            <w:shd w:val="clear" w:color="000000" w:fill="FFFFFF"/>
            <w:noWrap/>
            <w:vAlign w:val="center"/>
            <w:hideMark/>
          </w:tcPr>
          <w:p w14:paraId="1A88F79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41.860</w:t>
            </w:r>
          </w:p>
        </w:tc>
        <w:tc>
          <w:tcPr>
            <w:tcW w:w="409" w:type="pct"/>
            <w:tcBorders>
              <w:top w:val="nil"/>
              <w:left w:val="nil"/>
              <w:bottom w:val="single" w:sz="4" w:space="0" w:color="auto"/>
              <w:right w:val="single" w:sz="4" w:space="0" w:color="auto"/>
            </w:tcBorders>
            <w:shd w:val="clear" w:color="000000" w:fill="FFFFFF"/>
            <w:noWrap/>
            <w:vAlign w:val="center"/>
            <w:hideMark/>
          </w:tcPr>
          <w:p w14:paraId="138F86B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48.148</w:t>
            </w:r>
          </w:p>
        </w:tc>
        <w:tc>
          <w:tcPr>
            <w:tcW w:w="409" w:type="pct"/>
            <w:tcBorders>
              <w:top w:val="nil"/>
              <w:left w:val="nil"/>
              <w:bottom w:val="single" w:sz="4" w:space="0" w:color="auto"/>
              <w:right w:val="single" w:sz="4" w:space="0" w:color="auto"/>
            </w:tcBorders>
            <w:shd w:val="clear" w:color="auto" w:fill="auto"/>
            <w:noWrap/>
            <w:vAlign w:val="center"/>
            <w:hideMark/>
          </w:tcPr>
          <w:p w14:paraId="042F2A8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207FBBB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5F51FFB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57.772</w:t>
            </w:r>
          </w:p>
        </w:tc>
        <w:tc>
          <w:tcPr>
            <w:tcW w:w="409" w:type="pct"/>
            <w:tcBorders>
              <w:top w:val="nil"/>
              <w:left w:val="nil"/>
              <w:bottom w:val="single" w:sz="4" w:space="0" w:color="auto"/>
              <w:right w:val="single" w:sz="4" w:space="0" w:color="auto"/>
            </w:tcBorders>
            <w:shd w:val="clear" w:color="auto" w:fill="auto"/>
            <w:noWrap/>
            <w:vAlign w:val="center"/>
            <w:hideMark/>
          </w:tcPr>
          <w:p w14:paraId="67CB5F2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70.492</w:t>
            </w:r>
          </w:p>
        </w:tc>
        <w:tc>
          <w:tcPr>
            <w:tcW w:w="409" w:type="pct"/>
            <w:tcBorders>
              <w:top w:val="nil"/>
              <w:left w:val="nil"/>
              <w:bottom w:val="single" w:sz="4" w:space="0" w:color="auto"/>
              <w:right w:val="single" w:sz="4" w:space="0" w:color="auto"/>
            </w:tcBorders>
            <w:shd w:val="clear" w:color="auto" w:fill="auto"/>
            <w:noWrap/>
            <w:vAlign w:val="center"/>
            <w:hideMark/>
          </w:tcPr>
          <w:p w14:paraId="000E2EF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34.316</w:t>
            </w:r>
          </w:p>
        </w:tc>
        <w:tc>
          <w:tcPr>
            <w:tcW w:w="306" w:type="pct"/>
            <w:tcBorders>
              <w:top w:val="nil"/>
              <w:left w:val="nil"/>
              <w:bottom w:val="single" w:sz="4" w:space="0" w:color="auto"/>
              <w:right w:val="single" w:sz="4" w:space="0" w:color="auto"/>
            </w:tcBorders>
            <w:shd w:val="clear" w:color="auto" w:fill="auto"/>
            <w:noWrap/>
            <w:vAlign w:val="center"/>
            <w:hideMark/>
          </w:tcPr>
          <w:p w14:paraId="3B2B89E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2.706</w:t>
            </w:r>
          </w:p>
        </w:tc>
      </w:tr>
      <w:tr w:rsidR="008C1E8C" w:rsidRPr="008C1E8C" w14:paraId="167AFF6D"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2D5E81DB"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abril</w:t>
            </w:r>
          </w:p>
        </w:tc>
        <w:tc>
          <w:tcPr>
            <w:tcW w:w="409" w:type="pct"/>
            <w:tcBorders>
              <w:top w:val="nil"/>
              <w:left w:val="nil"/>
              <w:bottom w:val="single" w:sz="4" w:space="0" w:color="auto"/>
              <w:right w:val="single" w:sz="4" w:space="0" w:color="auto"/>
            </w:tcBorders>
            <w:shd w:val="clear" w:color="000000" w:fill="FFFFFF"/>
            <w:noWrap/>
            <w:vAlign w:val="center"/>
            <w:hideMark/>
          </w:tcPr>
          <w:p w14:paraId="1DA866E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18.246</w:t>
            </w:r>
          </w:p>
        </w:tc>
        <w:tc>
          <w:tcPr>
            <w:tcW w:w="409" w:type="pct"/>
            <w:tcBorders>
              <w:top w:val="nil"/>
              <w:left w:val="nil"/>
              <w:bottom w:val="single" w:sz="4" w:space="0" w:color="auto"/>
              <w:right w:val="single" w:sz="4" w:space="0" w:color="auto"/>
            </w:tcBorders>
            <w:shd w:val="clear" w:color="000000" w:fill="FFFFFF"/>
            <w:noWrap/>
            <w:vAlign w:val="center"/>
            <w:hideMark/>
          </w:tcPr>
          <w:p w14:paraId="60809C8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35.864</w:t>
            </w:r>
          </w:p>
        </w:tc>
        <w:tc>
          <w:tcPr>
            <w:tcW w:w="439" w:type="pct"/>
            <w:tcBorders>
              <w:top w:val="nil"/>
              <w:left w:val="nil"/>
              <w:bottom w:val="single" w:sz="4" w:space="0" w:color="auto"/>
              <w:right w:val="single" w:sz="4" w:space="0" w:color="auto"/>
            </w:tcBorders>
            <w:shd w:val="clear" w:color="000000" w:fill="FFFFFF"/>
            <w:noWrap/>
            <w:vAlign w:val="center"/>
            <w:hideMark/>
          </w:tcPr>
          <w:p w14:paraId="41020D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40490</w:t>
            </w:r>
          </w:p>
        </w:tc>
        <w:tc>
          <w:tcPr>
            <w:tcW w:w="409" w:type="pct"/>
            <w:tcBorders>
              <w:top w:val="nil"/>
              <w:left w:val="nil"/>
              <w:bottom w:val="single" w:sz="4" w:space="0" w:color="auto"/>
              <w:right w:val="single" w:sz="4" w:space="0" w:color="auto"/>
            </w:tcBorders>
            <w:shd w:val="clear" w:color="000000" w:fill="FFFFFF"/>
            <w:noWrap/>
            <w:vAlign w:val="center"/>
            <w:hideMark/>
          </w:tcPr>
          <w:p w14:paraId="06D98AF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39.378</w:t>
            </w:r>
          </w:p>
        </w:tc>
        <w:tc>
          <w:tcPr>
            <w:tcW w:w="409" w:type="pct"/>
            <w:tcBorders>
              <w:top w:val="nil"/>
              <w:left w:val="nil"/>
              <w:bottom w:val="single" w:sz="4" w:space="0" w:color="auto"/>
              <w:right w:val="single" w:sz="4" w:space="0" w:color="auto"/>
            </w:tcBorders>
            <w:shd w:val="clear" w:color="000000" w:fill="FFFFFF"/>
            <w:noWrap/>
            <w:vAlign w:val="center"/>
            <w:hideMark/>
          </w:tcPr>
          <w:p w14:paraId="62B4A60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39.746</w:t>
            </w:r>
          </w:p>
        </w:tc>
        <w:tc>
          <w:tcPr>
            <w:tcW w:w="409" w:type="pct"/>
            <w:tcBorders>
              <w:top w:val="nil"/>
              <w:left w:val="nil"/>
              <w:bottom w:val="single" w:sz="4" w:space="0" w:color="auto"/>
              <w:right w:val="single" w:sz="4" w:space="0" w:color="auto"/>
            </w:tcBorders>
            <w:shd w:val="clear" w:color="auto" w:fill="auto"/>
            <w:noWrap/>
            <w:vAlign w:val="center"/>
            <w:hideMark/>
          </w:tcPr>
          <w:p w14:paraId="4752504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3BDDB52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437BE72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61.674</w:t>
            </w:r>
          </w:p>
        </w:tc>
        <w:tc>
          <w:tcPr>
            <w:tcW w:w="409" w:type="pct"/>
            <w:tcBorders>
              <w:top w:val="nil"/>
              <w:left w:val="nil"/>
              <w:bottom w:val="single" w:sz="4" w:space="0" w:color="auto"/>
              <w:right w:val="single" w:sz="4" w:space="0" w:color="auto"/>
            </w:tcBorders>
            <w:shd w:val="clear" w:color="auto" w:fill="auto"/>
            <w:noWrap/>
            <w:vAlign w:val="center"/>
            <w:hideMark/>
          </w:tcPr>
          <w:p w14:paraId="035F5CF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61.256</w:t>
            </w:r>
          </w:p>
        </w:tc>
        <w:tc>
          <w:tcPr>
            <w:tcW w:w="409" w:type="pct"/>
            <w:tcBorders>
              <w:top w:val="nil"/>
              <w:left w:val="nil"/>
              <w:bottom w:val="single" w:sz="4" w:space="0" w:color="auto"/>
              <w:right w:val="single" w:sz="4" w:space="0" w:color="auto"/>
            </w:tcBorders>
            <w:shd w:val="clear" w:color="auto" w:fill="auto"/>
            <w:noWrap/>
            <w:vAlign w:val="center"/>
            <w:hideMark/>
          </w:tcPr>
          <w:p w14:paraId="7C7D75F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7423A4E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1.784</w:t>
            </w:r>
          </w:p>
        </w:tc>
      </w:tr>
      <w:tr w:rsidR="008C1E8C" w:rsidRPr="008C1E8C" w14:paraId="6330FF4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07A5BEA9"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mayo</w:t>
            </w:r>
          </w:p>
        </w:tc>
        <w:tc>
          <w:tcPr>
            <w:tcW w:w="409" w:type="pct"/>
            <w:tcBorders>
              <w:top w:val="nil"/>
              <w:left w:val="nil"/>
              <w:bottom w:val="single" w:sz="4" w:space="0" w:color="auto"/>
              <w:right w:val="single" w:sz="4" w:space="0" w:color="auto"/>
            </w:tcBorders>
            <w:shd w:val="clear" w:color="000000" w:fill="FFFFFF"/>
            <w:noWrap/>
            <w:vAlign w:val="center"/>
            <w:hideMark/>
          </w:tcPr>
          <w:p w14:paraId="7C90067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11.901</w:t>
            </w:r>
          </w:p>
        </w:tc>
        <w:tc>
          <w:tcPr>
            <w:tcW w:w="409" w:type="pct"/>
            <w:tcBorders>
              <w:top w:val="nil"/>
              <w:left w:val="nil"/>
              <w:bottom w:val="single" w:sz="4" w:space="0" w:color="auto"/>
              <w:right w:val="single" w:sz="4" w:space="0" w:color="auto"/>
            </w:tcBorders>
            <w:shd w:val="clear" w:color="000000" w:fill="FFFFFF"/>
            <w:noWrap/>
            <w:vAlign w:val="center"/>
            <w:hideMark/>
          </w:tcPr>
          <w:p w14:paraId="3C5643A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26.183</w:t>
            </w:r>
          </w:p>
        </w:tc>
        <w:tc>
          <w:tcPr>
            <w:tcW w:w="439" w:type="pct"/>
            <w:tcBorders>
              <w:top w:val="nil"/>
              <w:left w:val="nil"/>
              <w:bottom w:val="single" w:sz="4" w:space="0" w:color="auto"/>
              <w:right w:val="single" w:sz="4" w:space="0" w:color="auto"/>
            </w:tcBorders>
            <w:shd w:val="clear" w:color="000000" w:fill="FFFFFF"/>
            <w:noWrap/>
            <w:vAlign w:val="center"/>
            <w:hideMark/>
          </w:tcPr>
          <w:p w14:paraId="546F225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31876</w:t>
            </w:r>
          </w:p>
        </w:tc>
        <w:tc>
          <w:tcPr>
            <w:tcW w:w="409" w:type="pct"/>
            <w:tcBorders>
              <w:top w:val="nil"/>
              <w:left w:val="nil"/>
              <w:bottom w:val="single" w:sz="4" w:space="0" w:color="auto"/>
              <w:right w:val="single" w:sz="4" w:space="0" w:color="auto"/>
            </w:tcBorders>
            <w:shd w:val="clear" w:color="000000" w:fill="FFFFFF"/>
            <w:noWrap/>
            <w:vAlign w:val="center"/>
            <w:hideMark/>
          </w:tcPr>
          <w:p w14:paraId="4684F29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31.158</w:t>
            </w:r>
          </w:p>
        </w:tc>
        <w:tc>
          <w:tcPr>
            <w:tcW w:w="409" w:type="pct"/>
            <w:tcBorders>
              <w:top w:val="nil"/>
              <w:left w:val="nil"/>
              <w:bottom w:val="single" w:sz="4" w:space="0" w:color="auto"/>
              <w:right w:val="single" w:sz="4" w:space="0" w:color="auto"/>
            </w:tcBorders>
            <w:shd w:val="clear" w:color="000000" w:fill="FFFFFF"/>
            <w:noWrap/>
            <w:vAlign w:val="center"/>
            <w:hideMark/>
          </w:tcPr>
          <w:p w14:paraId="755B714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43.518</w:t>
            </w:r>
          </w:p>
        </w:tc>
        <w:tc>
          <w:tcPr>
            <w:tcW w:w="409" w:type="pct"/>
            <w:tcBorders>
              <w:top w:val="nil"/>
              <w:left w:val="nil"/>
              <w:bottom w:val="single" w:sz="4" w:space="0" w:color="auto"/>
              <w:right w:val="single" w:sz="4" w:space="0" w:color="auto"/>
            </w:tcBorders>
            <w:shd w:val="clear" w:color="auto" w:fill="auto"/>
            <w:noWrap/>
            <w:vAlign w:val="center"/>
            <w:hideMark/>
          </w:tcPr>
          <w:p w14:paraId="5015BC9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6CF1846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0871A4E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52.124</w:t>
            </w:r>
          </w:p>
        </w:tc>
        <w:tc>
          <w:tcPr>
            <w:tcW w:w="409" w:type="pct"/>
            <w:tcBorders>
              <w:top w:val="nil"/>
              <w:left w:val="nil"/>
              <w:bottom w:val="single" w:sz="4" w:space="0" w:color="auto"/>
              <w:right w:val="single" w:sz="4" w:space="0" w:color="auto"/>
            </w:tcBorders>
            <w:shd w:val="clear" w:color="auto" w:fill="auto"/>
            <w:noWrap/>
            <w:vAlign w:val="center"/>
            <w:hideMark/>
          </w:tcPr>
          <w:p w14:paraId="0ACF4BF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60.890</w:t>
            </w:r>
          </w:p>
        </w:tc>
        <w:tc>
          <w:tcPr>
            <w:tcW w:w="409" w:type="pct"/>
            <w:tcBorders>
              <w:top w:val="nil"/>
              <w:left w:val="nil"/>
              <w:bottom w:val="single" w:sz="4" w:space="0" w:color="auto"/>
              <w:right w:val="single" w:sz="4" w:space="0" w:color="auto"/>
            </w:tcBorders>
            <w:shd w:val="clear" w:color="auto" w:fill="auto"/>
            <w:noWrap/>
            <w:vAlign w:val="center"/>
            <w:hideMark/>
          </w:tcPr>
          <w:p w14:paraId="4DA12E3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3B771A1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1016DB15"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9BF4573"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junio</w:t>
            </w:r>
          </w:p>
        </w:tc>
        <w:tc>
          <w:tcPr>
            <w:tcW w:w="409" w:type="pct"/>
            <w:tcBorders>
              <w:top w:val="nil"/>
              <w:left w:val="nil"/>
              <w:bottom w:val="single" w:sz="4" w:space="0" w:color="auto"/>
              <w:right w:val="single" w:sz="4" w:space="0" w:color="auto"/>
            </w:tcBorders>
            <w:shd w:val="clear" w:color="000000" w:fill="FFFFFF"/>
            <w:noWrap/>
            <w:vAlign w:val="center"/>
            <w:hideMark/>
          </w:tcPr>
          <w:p w14:paraId="69D83F1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6.505</w:t>
            </w:r>
          </w:p>
        </w:tc>
        <w:tc>
          <w:tcPr>
            <w:tcW w:w="409" w:type="pct"/>
            <w:tcBorders>
              <w:top w:val="nil"/>
              <w:left w:val="nil"/>
              <w:bottom w:val="single" w:sz="4" w:space="0" w:color="auto"/>
              <w:right w:val="single" w:sz="4" w:space="0" w:color="auto"/>
            </w:tcBorders>
            <w:shd w:val="clear" w:color="000000" w:fill="FFFFFF"/>
            <w:noWrap/>
            <w:vAlign w:val="center"/>
            <w:hideMark/>
          </w:tcPr>
          <w:p w14:paraId="27FA42C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11.902</w:t>
            </w:r>
          </w:p>
        </w:tc>
        <w:tc>
          <w:tcPr>
            <w:tcW w:w="439" w:type="pct"/>
            <w:tcBorders>
              <w:top w:val="nil"/>
              <w:left w:val="nil"/>
              <w:bottom w:val="single" w:sz="4" w:space="0" w:color="auto"/>
              <w:right w:val="single" w:sz="4" w:space="0" w:color="auto"/>
            </w:tcBorders>
            <w:shd w:val="clear" w:color="000000" w:fill="FFFFFF"/>
            <w:noWrap/>
            <w:vAlign w:val="center"/>
            <w:hideMark/>
          </w:tcPr>
          <w:p w14:paraId="46E0C72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10738</w:t>
            </w:r>
          </w:p>
        </w:tc>
        <w:tc>
          <w:tcPr>
            <w:tcW w:w="409" w:type="pct"/>
            <w:tcBorders>
              <w:top w:val="nil"/>
              <w:left w:val="nil"/>
              <w:bottom w:val="single" w:sz="4" w:space="0" w:color="auto"/>
              <w:right w:val="single" w:sz="4" w:space="0" w:color="auto"/>
            </w:tcBorders>
            <w:shd w:val="clear" w:color="000000" w:fill="FFFFFF"/>
            <w:noWrap/>
            <w:vAlign w:val="center"/>
            <w:hideMark/>
          </w:tcPr>
          <w:p w14:paraId="3845DEF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10.630</w:t>
            </w:r>
          </w:p>
        </w:tc>
        <w:tc>
          <w:tcPr>
            <w:tcW w:w="409" w:type="pct"/>
            <w:tcBorders>
              <w:top w:val="nil"/>
              <w:left w:val="nil"/>
              <w:bottom w:val="single" w:sz="4" w:space="0" w:color="auto"/>
              <w:right w:val="single" w:sz="4" w:space="0" w:color="auto"/>
            </w:tcBorders>
            <w:shd w:val="clear" w:color="000000" w:fill="FFFFFF"/>
            <w:noWrap/>
            <w:vAlign w:val="center"/>
            <w:hideMark/>
          </w:tcPr>
          <w:p w14:paraId="6B88815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9.388</w:t>
            </w:r>
          </w:p>
        </w:tc>
        <w:tc>
          <w:tcPr>
            <w:tcW w:w="409" w:type="pct"/>
            <w:tcBorders>
              <w:top w:val="nil"/>
              <w:left w:val="nil"/>
              <w:bottom w:val="single" w:sz="4" w:space="0" w:color="auto"/>
              <w:right w:val="single" w:sz="4" w:space="0" w:color="auto"/>
            </w:tcBorders>
            <w:shd w:val="clear" w:color="auto" w:fill="auto"/>
            <w:noWrap/>
            <w:vAlign w:val="center"/>
            <w:hideMark/>
          </w:tcPr>
          <w:p w14:paraId="6ED733A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50E6A04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3A9EDC2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17.346</w:t>
            </w:r>
          </w:p>
        </w:tc>
        <w:tc>
          <w:tcPr>
            <w:tcW w:w="409" w:type="pct"/>
            <w:tcBorders>
              <w:top w:val="nil"/>
              <w:left w:val="nil"/>
              <w:bottom w:val="single" w:sz="4" w:space="0" w:color="auto"/>
              <w:right w:val="single" w:sz="4" w:space="0" w:color="auto"/>
            </w:tcBorders>
            <w:shd w:val="clear" w:color="auto" w:fill="auto"/>
            <w:noWrap/>
            <w:vAlign w:val="center"/>
            <w:hideMark/>
          </w:tcPr>
          <w:p w14:paraId="7B712F7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22.088</w:t>
            </w:r>
          </w:p>
        </w:tc>
        <w:tc>
          <w:tcPr>
            <w:tcW w:w="409" w:type="pct"/>
            <w:tcBorders>
              <w:top w:val="nil"/>
              <w:left w:val="nil"/>
              <w:bottom w:val="single" w:sz="4" w:space="0" w:color="auto"/>
              <w:right w:val="single" w:sz="4" w:space="0" w:color="auto"/>
            </w:tcBorders>
            <w:shd w:val="clear" w:color="auto" w:fill="auto"/>
            <w:noWrap/>
            <w:vAlign w:val="center"/>
            <w:hideMark/>
          </w:tcPr>
          <w:p w14:paraId="4035E96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6F46F44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3CF16DBE"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7DF7597"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julio</w:t>
            </w:r>
          </w:p>
        </w:tc>
        <w:tc>
          <w:tcPr>
            <w:tcW w:w="409" w:type="pct"/>
            <w:tcBorders>
              <w:top w:val="nil"/>
              <w:left w:val="nil"/>
              <w:bottom w:val="single" w:sz="4" w:space="0" w:color="auto"/>
              <w:right w:val="single" w:sz="4" w:space="0" w:color="auto"/>
            </w:tcBorders>
            <w:shd w:val="clear" w:color="000000" w:fill="FFFFFF"/>
            <w:noWrap/>
            <w:vAlign w:val="center"/>
            <w:hideMark/>
          </w:tcPr>
          <w:p w14:paraId="32AF0E3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14.428</w:t>
            </w:r>
          </w:p>
        </w:tc>
        <w:tc>
          <w:tcPr>
            <w:tcW w:w="409" w:type="pct"/>
            <w:tcBorders>
              <w:top w:val="nil"/>
              <w:left w:val="nil"/>
              <w:bottom w:val="single" w:sz="4" w:space="0" w:color="auto"/>
              <w:right w:val="single" w:sz="4" w:space="0" w:color="auto"/>
            </w:tcBorders>
            <w:shd w:val="clear" w:color="000000" w:fill="FFFFFF"/>
            <w:noWrap/>
            <w:vAlign w:val="center"/>
            <w:hideMark/>
          </w:tcPr>
          <w:p w14:paraId="00C0AD6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24.244</w:t>
            </w:r>
          </w:p>
        </w:tc>
        <w:tc>
          <w:tcPr>
            <w:tcW w:w="439" w:type="pct"/>
            <w:tcBorders>
              <w:top w:val="nil"/>
              <w:left w:val="nil"/>
              <w:bottom w:val="single" w:sz="4" w:space="0" w:color="auto"/>
              <w:right w:val="single" w:sz="4" w:space="0" w:color="auto"/>
            </w:tcBorders>
            <w:shd w:val="clear" w:color="000000" w:fill="FFFFFF"/>
            <w:noWrap/>
            <w:vAlign w:val="center"/>
            <w:hideMark/>
          </w:tcPr>
          <w:p w14:paraId="7AC8C0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22500</w:t>
            </w:r>
          </w:p>
        </w:tc>
        <w:tc>
          <w:tcPr>
            <w:tcW w:w="409" w:type="pct"/>
            <w:tcBorders>
              <w:top w:val="nil"/>
              <w:left w:val="nil"/>
              <w:bottom w:val="single" w:sz="4" w:space="0" w:color="auto"/>
              <w:right w:val="single" w:sz="4" w:space="0" w:color="auto"/>
            </w:tcBorders>
            <w:shd w:val="clear" w:color="000000" w:fill="FFFFFF"/>
            <w:noWrap/>
            <w:vAlign w:val="center"/>
            <w:hideMark/>
          </w:tcPr>
          <w:p w14:paraId="0292982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22.214</w:t>
            </w:r>
          </w:p>
        </w:tc>
        <w:tc>
          <w:tcPr>
            <w:tcW w:w="409" w:type="pct"/>
            <w:tcBorders>
              <w:top w:val="nil"/>
              <w:left w:val="nil"/>
              <w:bottom w:val="single" w:sz="4" w:space="0" w:color="auto"/>
              <w:right w:val="single" w:sz="4" w:space="0" w:color="auto"/>
            </w:tcBorders>
            <w:shd w:val="clear" w:color="000000" w:fill="FFFFFF"/>
            <w:noWrap/>
            <w:vAlign w:val="center"/>
            <w:hideMark/>
          </w:tcPr>
          <w:p w14:paraId="4CE440C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15.194</w:t>
            </w:r>
          </w:p>
        </w:tc>
        <w:tc>
          <w:tcPr>
            <w:tcW w:w="409" w:type="pct"/>
            <w:tcBorders>
              <w:top w:val="nil"/>
              <w:left w:val="nil"/>
              <w:bottom w:val="single" w:sz="4" w:space="0" w:color="auto"/>
              <w:right w:val="single" w:sz="4" w:space="0" w:color="auto"/>
            </w:tcBorders>
            <w:shd w:val="clear" w:color="auto" w:fill="auto"/>
            <w:noWrap/>
            <w:vAlign w:val="center"/>
            <w:hideMark/>
          </w:tcPr>
          <w:p w14:paraId="6B95CAA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6C8BD6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4BBDA0E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20.978</w:t>
            </w:r>
          </w:p>
        </w:tc>
        <w:tc>
          <w:tcPr>
            <w:tcW w:w="409" w:type="pct"/>
            <w:tcBorders>
              <w:top w:val="nil"/>
              <w:left w:val="nil"/>
              <w:bottom w:val="single" w:sz="4" w:space="0" w:color="auto"/>
              <w:right w:val="single" w:sz="4" w:space="0" w:color="auto"/>
            </w:tcBorders>
            <w:shd w:val="clear" w:color="auto" w:fill="auto"/>
            <w:noWrap/>
            <w:vAlign w:val="center"/>
            <w:hideMark/>
          </w:tcPr>
          <w:p w14:paraId="44D219E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13.396</w:t>
            </w:r>
          </w:p>
        </w:tc>
        <w:tc>
          <w:tcPr>
            <w:tcW w:w="409" w:type="pct"/>
            <w:tcBorders>
              <w:top w:val="nil"/>
              <w:left w:val="nil"/>
              <w:bottom w:val="single" w:sz="4" w:space="0" w:color="auto"/>
              <w:right w:val="single" w:sz="4" w:space="0" w:color="auto"/>
            </w:tcBorders>
            <w:shd w:val="clear" w:color="auto" w:fill="auto"/>
            <w:noWrap/>
            <w:vAlign w:val="center"/>
            <w:hideMark/>
          </w:tcPr>
          <w:p w14:paraId="4B37986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239</w:t>
            </w:r>
          </w:p>
        </w:tc>
        <w:tc>
          <w:tcPr>
            <w:tcW w:w="306" w:type="pct"/>
            <w:tcBorders>
              <w:top w:val="nil"/>
              <w:left w:val="nil"/>
              <w:bottom w:val="single" w:sz="4" w:space="0" w:color="auto"/>
              <w:right w:val="single" w:sz="4" w:space="0" w:color="auto"/>
            </w:tcBorders>
            <w:shd w:val="clear" w:color="auto" w:fill="auto"/>
            <w:noWrap/>
            <w:vAlign w:val="center"/>
            <w:hideMark/>
          </w:tcPr>
          <w:p w14:paraId="2EDF05E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3935878D"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150BE62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agosto</w:t>
            </w:r>
          </w:p>
        </w:tc>
        <w:tc>
          <w:tcPr>
            <w:tcW w:w="409" w:type="pct"/>
            <w:tcBorders>
              <w:top w:val="nil"/>
              <w:left w:val="nil"/>
              <w:bottom w:val="single" w:sz="4" w:space="0" w:color="auto"/>
              <w:right w:val="single" w:sz="4" w:space="0" w:color="auto"/>
            </w:tcBorders>
            <w:shd w:val="clear" w:color="000000" w:fill="FFFFFF"/>
            <w:noWrap/>
            <w:vAlign w:val="center"/>
            <w:hideMark/>
          </w:tcPr>
          <w:p w14:paraId="0489D8C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19.485</w:t>
            </w:r>
          </w:p>
        </w:tc>
        <w:tc>
          <w:tcPr>
            <w:tcW w:w="409" w:type="pct"/>
            <w:tcBorders>
              <w:top w:val="nil"/>
              <w:left w:val="nil"/>
              <w:bottom w:val="single" w:sz="4" w:space="0" w:color="auto"/>
              <w:right w:val="single" w:sz="4" w:space="0" w:color="auto"/>
            </w:tcBorders>
            <w:shd w:val="clear" w:color="000000" w:fill="FFFFFF"/>
            <w:noWrap/>
            <w:vAlign w:val="center"/>
            <w:hideMark/>
          </w:tcPr>
          <w:p w14:paraId="374E76B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42.024</w:t>
            </w:r>
          </w:p>
        </w:tc>
        <w:tc>
          <w:tcPr>
            <w:tcW w:w="439" w:type="pct"/>
            <w:tcBorders>
              <w:top w:val="nil"/>
              <w:left w:val="nil"/>
              <w:bottom w:val="single" w:sz="4" w:space="0" w:color="auto"/>
              <w:right w:val="single" w:sz="4" w:space="0" w:color="auto"/>
            </w:tcBorders>
            <w:shd w:val="clear" w:color="000000" w:fill="FFFFFF"/>
            <w:noWrap/>
            <w:vAlign w:val="center"/>
            <w:hideMark/>
          </w:tcPr>
          <w:p w14:paraId="582CAF8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42338</w:t>
            </w:r>
          </w:p>
        </w:tc>
        <w:tc>
          <w:tcPr>
            <w:tcW w:w="409" w:type="pct"/>
            <w:tcBorders>
              <w:top w:val="nil"/>
              <w:left w:val="nil"/>
              <w:bottom w:val="single" w:sz="4" w:space="0" w:color="auto"/>
              <w:right w:val="single" w:sz="4" w:space="0" w:color="auto"/>
            </w:tcBorders>
            <w:shd w:val="clear" w:color="000000" w:fill="FFFFFF"/>
            <w:noWrap/>
            <w:vAlign w:val="center"/>
            <w:hideMark/>
          </w:tcPr>
          <w:p w14:paraId="4555D91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46.105</w:t>
            </w:r>
          </w:p>
        </w:tc>
        <w:tc>
          <w:tcPr>
            <w:tcW w:w="409" w:type="pct"/>
            <w:tcBorders>
              <w:top w:val="nil"/>
              <w:left w:val="nil"/>
              <w:bottom w:val="single" w:sz="4" w:space="0" w:color="auto"/>
              <w:right w:val="single" w:sz="4" w:space="0" w:color="auto"/>
            </w:tcBorders>
            <w:shd w:val="clear" w:color="auto" w:fill="auto"/>
            <w:noWrap/>
            <w:vAlign w:val="center"/>
            <w:hideMark/>
          </w:tcPr>
          <w:p w14:paraId="0975BFB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51.616</w:t>
            </w:r>
          </w:p>
        </w:tc>
        <w:tc>
          <w:tcPr>
            <w:tcW w:w="409" w:type="pct"/>
            <w:tcBorders>
              <w:top w:val="nil"/>
              <w:left w:val="nil"/>
              <w:bottom w:val="single" w:sz="4" w:space="0" w:color="auto"/>
              <w:right w:val="single" w:sz="4" w:space="0" w:color="auto"/>
            </w:tcBorders>
            <w:shd w:val="clear" w:color="000000" w:fill="FFFFFF"/>
            <w:noWrap/>
            <w:vAlign w:val="center"/>
            <w:hideMark/>
          </w:tcPr>
          <w:p w14:paraId="0548951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000000" w:fill="FFFFFF"/>
            <w:noWrap/>
            <w:vAlign w:val="center"/>
            <w:hideMark/>
          </w:tcPr>
          <w:p w14:paraId="4C8C636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000000" w:fill="FFFFFF"/>
            <w:noWrap/>
            <w:vAlign w:val="center"/>
            <w:hideMark/>
          </w:tcPr>
          <w:p w14:paraId="40CD59C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64.200</w:t>
            </w:r>
          </w:p>
        </w:tc>
        <w:tc>
          <w:tcPr>
            <w:tcW w:w="409" w:type="pct"/>
            <w:tcBorders>
              <w:top w:val="nil"/>
              <w:left w:val="nil"/>
              <w:bottom w:val="single" w:sz="4" w:space="0" w:color="auto"/>
              <w:right w:val="single" w:sz="4" w:space="0" w:color="auto"/>
            </w:tcBorders>
            <w:shd w:val="clear" w:color="auto" w:fill="auto"/>
            <w:noWrap/>
            <w:vAlign w:val="center"/>
            <w:hideMark/>
          </w:tcPr>
          <w:p w14:paraId="20FA037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71.926</w:t>
            </w:r>
          </w:p>
        </w:tc>
        <w:tc>
          <w:tcPr>
            <w:tcW w:w="409" w:type="pct"/>
            <w:tcBorders>
              <w:top w:val="nil"/>
              <w:left w:val="nil"/>
              <w:bottom w:val="single" w:sz="4" w:space="0" w:color="auto"/>
              <w:right w:val="single" w:sz="4" w:space="0" w:color="auto"/>
            </w:tcBorders>
            <w:shd w:val="clear" w:color="auto" w:fill="auto"/>
            <w:noWrap/>
            <w:vAlign w:val="center"/>
            <w:hideMark/>
          </w:tcPr>
          <w:p w14:paraId="3263630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0</w:t>
            </w:r>
          </w:p>
        </w:tc>
        <w:tc>
          <w:tcPr>
            <w:tcW w:w="306" w:type="pct"/>
            <w:tcBorders>
              <w:top w:val="nil"/>
              <w:left w:val="nil"/>
              <w:bottom w:val="single" w:sz="4" w:space="0" w:color="auto"/>
              <w:right w:val="single" w:sz="4" w:space="0" w:color="auto"/>
            </w:tcBorders>
            <w:shd w:val="clear" w:color="auto" w:fill="auto"/>
            <w:noWrap/>
            <w:vAlign w:val="center"/>
            <w:hideMark/>
          </w:tcPr>
          <w:p w14:paraId="29DA5D2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EA33FF9"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59DFDE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septiembre</w:t>
            </w:r>
          </w:p>
        </w:tc>
        <w:tc>
          <w:tcPr>
            <w:tcW w:w="409" w:type="pct"/>
            <w:tcBorders>
              <w:top w:val="nil"/>
              <w:left w:val="nil"/>
              <w:bottom w:val="single" w:sz="4" w:space="0" w:color="auto"/>
              <w:right w:val="single" w:sz="4" w:space="0" w:color="auto"/>
            </w:tcBorders>
            <w:shd w:val="clear" w:color="000000" w:fill="FFFFFF"/>
            <w:noWrap/>
            <w:vAlign w:val="center"/>
            <w:hideMark/>
          </w:tcPr>
          <w:p w14:paraId="2922139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19.985</w:t>
            </w:r>
          </w:p>
        </w:tc>
        <w:tc>
          <w:tcPr>
            <w:tcW w:w="409" w:type="pct"/>
            <w:tcBorders>
              <w:top w:val="nil"/>
              <w:left w:val="nil"/>
              <w:bottom w:val="single" w:sz="4" w:space="0" w:color="auto"/>
              <w:right w:val="single" w:sz="4" w:space="0" w:color="auto"/>
            </w:tcBorders>
            <w:shd w:val="clear" w:color="000000" w:fill="FFFFFF"/>
            <w:noWrap/>
            <w:vAlign w:val="center"/>
            <w:hideMark/>
          </w:tcPr>
          <w:p w14:paraId="1B56095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41.728</w:t>
            </w:r>
          </w:p>
        </w:tc>
        <w:tc>
          <w:tcPr>
            <w:tcW w:w="439" w:type="pct"/>
            <w:tcBorders>
              <w:top w:val="nil"/>
              <w:left w:val="nil"/>
              <w:bottom w:val="single" w:sz="4" w:space="0" w:color="auto"/>
              <w:right w:val="single" w:sz="4" w:space="0" w:color="auto"/>
            </w:tcBorders>
            <w:shd w:val="clear" w:color="000000" w:fill="FFFFFF"/>
            <w:noWrap/>
            <w:vAlign w:val="center"/>
            <w:hideMark/>
          </w:tcPr>
          <w:p w14:paraId="4EB1B3C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42728</w:t>
            </w:r>
          </w:p>
        </w:tc>
        <w:tc>
          <w:tcPr>
            <w:tcW w:w="409" w:type="pct"/>
            <w:tcBorders>
              <w:top w:val="nil"/>
              <w:left w:val="nil"/>
              <w:bottom w:val="single" w:sz="4" w:space="0" w:color="auto"/>
              <w:right w:val="single" w:sz="4" w:space="0" w:color="auto"/>
            </w:tcBorders>
            <w:shd w:val="clear" w:color="000000" w:fill="FFFFFF"/>
            <w:noWrap/>
            <w:vAlign w:val="center"/>
            <w:hideMark/>
          </w:tcPr>
          <w:p w14:paraId="124BFE8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43.043</w:t>
            </w:r>
          </w:p>
        </w:tc>
        <w:tc>
          <w:tcPr>
            <w:tcW w:w="409" w:type="pct"/>
            <w:tcBorders>
              <w:top w:val="nil"/>
              <w:left w:val="nil"/>
              <w:bottom w:val="single" w:sz="4" w:space="0" w:color="auto"/>
              <w:right w:val="single" w:sz="4" w:space="0" w:color="auto"/>
            </w:tcBorders>
            <w:shd w:val="clear" w:color="000000" w:fill="FFFFFF"/>
            <w:noWrap/>
            <w:vAlign w:val="center"/>
            <w:hideMark/>
          </w:tcPr>
          <w:p w14:paraId="0870D50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43.997</w:t>
            </w:r>
          </w:p>
        </w:tc>
        <w:tc>
          <w:tcPr>
            <w:tcW w:w="409" w:type="pct"/>
            <w:tcBorders>
              <w:top w:val="nil"/>
              <w:left w:val="nil"/>
              <w:bottom w:val="single" w:sz="4" w:space="0" w:color="auto"/>
              <w:right w:val="single" w:sz="4" w:space="0" w:color="auto"/>
            </w:tcBorders>
            <w:shd w:val="clear" w:color="000000" w:fill="FFFFFF"/>
            <w:noWrap/>
            <w:vAlign w:val="center"/>
            <w:hideMark/>
          </w:tcPr>
          <w:p w14:paraId="6BA8CEF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4618FC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478C3C9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65.734</w:t>
            </w:r>
          </w:p>
        </w:tc>
        <w:tc>
          <w:tcPr>
            <w:tcW w:w="409" w:type="pct"/>
            <w:tcBorders>
              <w:top w:val="nil"/>
              <w:left w:val="nil"/>
              <w:bottom w:val="single" w:sz="4" w:space="0" w:color="auto"/>
              <w:right w:val="single" w:sz="4" w:space="0" w:color="auto"/>
            </w:tcBorders>
            <w:shd w:val="clear" w:color="000000" w:fill="FFFFFF"/>
            <w:noWrap/>
            <w:vAlign w:val="center"/>
            <w:hideMark/>
          </w:tcPr>
          <w:p w14:paraId="69FD9A8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73.102</w:t>
            </w:r>
          </w:p>
        </w:tc>
        <w:tc>
          <w:tcPr>
            <w:tcW w:w="409" w:type="pct"/>
            <w:tcBorders>
              <w:top w:val="nil"/>
              <w:left w:val="nil"/>
              <w:bottom w:val="single" w:sz="4" w:space="0" w:color="auto"/>
              <w:right w:val="single" w:sz="4" w:space="0" w:color="auto"/>
            </w:tcBorders>
            <w:shd w:val="clear" w:color="auto" w:fill="auto"/>
            <w:noWrap/>
            <w:vAlign w:val="center"/>
            <w:hideMark/>
          </w:tcPr>
          <w:p w14:paraId="411E7B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84</w:t>
            </w:r>
          </w:p>
        </w:tc>
        <w:tc>
          <w:tcPr>
            <w:tcW w:w="306" w:type="pct"/>
            <w:tcBorders>
              <w:top w:val="nil"/>
              <w:left w:val="nil"/>
              <w:bottom w:val="single" w:sz="4" w:space="0" w:color="auto"/>
              <w:right w:val="single" w:sz="4" w:space="0" w:color="auto"/>
            </w:tcBorders>
            <w:shd w:val="clear" w:color="auto" w:fill="auto"/>
            <w:noWrap/>
            <w:vAlign w:val="center"/>
            <w:hideMark/>
          </w:tcPr>
          <w:p w14:paraId="4979544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1F03CB39"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7DA09E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octubre</w:t>
            </w:r>
          </w:p>
        </w:tc>
        <w:tc>
          <w:tcPr>
            <w:tcW w:w="409" w:type="pct"/>
            <w:tcBorders>
              <w:top w:val="nil"/>
              <w:left w:val="nil"/>
              <w:bottom w:val="single" w:sz="4" w:space="0" w:color="auto"/>
              <w:right w:val="single" w:sz="4" w:space="0" w:color="auto"/>
            </w:tcBorders>
            <w:shd w:val="clear" w:color="000000" w:fill="FFFFFF"/>
            <w:noWrap/>
            <w:vAlign w:val="center"/>
            <w:hideMark/>
          </w:tcPr>
          <w:p w14:paraId="32BB94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25.492</w:t>
            </w:r>
          </w:p>
        </w:tc>
        <w:tc>
          <w:tcPr>
            <w:tcW w:w="409" w:type="pct"/>
            <w:tcBorders>
              <w:top w:val="nil"/>
              <w:left w:val="nil"/>
              <w:bottom w:val="single" w:sz="4" w:space="0" w:color="auto"/>
              <w:right w:val="single" w:sz="4" w:space="0" w:color="auto"/>
            </w:tcBorders>
            <w:shd w:val="clear" w:color="000000" w:fill="FFFFFF"/>
            <w:noWrap/>
            <w:vAlign w:val="center"/>
            <w:hideMark/>
          </w:tcPr>
          <w:p w14:paraId="612D7C7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36.024</w:t>
            </w:r>
          </w:p>
        </w:tc>
        <w:tc>
          <w:tcPr>
            <w:tcW w:w="439" w:type="pct"/>
            <w:tcBorders>
              <w:top w:val="nil"/>
              <w:left w:val="nil"/>
              <w:bottom w:val="single" w:sz="4" w:space="0" w:color="auto"/>
              <w:right w:val="single" w:sz="4" w:space="0" w:color="auto"/>
            </w:tcBorders>
            <w:shd w:val="clear" w:color="000000" w:fill="FFFFFF"/>
            <w:noWrap/>
            <w:vAlign w:val="center"/>
            <w:hideMark/>
          </w:tcPr>
          <w:p w14:paraId="290CC4F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35448</w:t>
            </w:r>
          </w:p>
        </w:tc>
        <w:tc>
          <w:tcPr>
            <w:tcW w:w="409" w:type="pct"/>
            <w:tcBorders>
              <w:top w:val="nil"/>
              <w:left w:val="nil"/>
              <w:bottom w:val="single" w:sz="4" w:space="0" w:color="auto"/>
              <w:right w:val="single" w:sz="4" w:space="0" w:color="auto"/>
            </w:tcBorders>
            <w:shd w:val="clear" w:color="000000" w:fill="FFFFFF"/>
            <w:noWrap/>
            <w:vAlign w:val="center"/>
            <w:hideMark/>
          </w:tcPr>
          <w:p w14:paraId="69ECE22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41.974</w:t>
            </w:r>
          </w:p>
        </w:tc>
        <w:tc>
          <w:tcPr>
            <w:tcW w:w="409" w:type="pct"/>
            <w:tcBorders>
              <w:top w:val="nil"/>
              <w:left w:val="nil"/>
              <w:bottom w:val="single" w:sz="4" w:space="0" w:color="auto"/>
              <w:right w:val="single" w:sz="4" w:space="0" w:color="auto"/>
            </w:tcBorders>
            <w:shd w:val="clear" w:color="000000" w:fill="FFFFFF"/>
            <w:noWrap/>
            <w:vAlign w:val="center"/>
            <w:hideMark/>
          </w:tcPr>
          <w:p w14:paraId="3FAC5193"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51.277</w:t>
            </w:r>
          </w:p>
        </w:tc>
        <w:tc>
          <w:tcPr>
            <w:tcW w:w="409" w:type="pct"/>
            <w:tcBorders>
              <w:top w:val="nil"/>
              <w:left w:val="nil"/>
              <w:bottom w:val="single" w:sz="4" w:space="0" w:color="auto"/>
              <w:right w:val="single" w:sz="4" w:space="0" w:color="auto"/>
            </w:tcBorders>
            <w:shd w:val="clear" w:color="000000" w:fill="FFFFFF"/>
            <w:noWrap/>
            <w:vAlign w:val="center"/>
            <w:hideMark/>
          </w:tcPr>
          <w:p w14:paraId="50C24DB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492C531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447CDC5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64.406</w:t>
            </w:r>
          </w:p>
        </w:tc>
        <w:tc>
          <w:tcPr>
            <w:tcW w:w="409" w:type="pct"/>
            <w:tcBorders>
              <w:top w:val="nil"/>
              <w:left w:val="nil"/>
              <w:bottom w:val="single" w:sz="4" w:space="0" w:color="auto"/>
              <w:right w:val="single" w:sz="4" w:space="0" w:color="auto"/>
            </w:tcBorders>
            <w:shd w:val="clear" w:color="000000" w:fill="FFFFFF"/>
            <w:noWrap/>
            <w:vAlign w:val="center"/>
            <w:hideMark/>
          </w:tcPr>
          <w:p w14:paraId="051D016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71.207</w:t>
            </w:r>
          </w:p>
        </w:tc>
        <w:tc>
          <w:tcPr>
            <w:tcW w:w="409" w:type="pct"/>
            <w:tcBorders>
              <w:top w:val="nil"/>
              <w:left w:val="nil"/>
              <w:bottom w:val="single" w:sz="4" w:space="0" w:color="auto"/>
              <w:right w:val="single" w:sz="4" w:space="0" w:color="auto"/>
            </w:tcBorders>
            <w:shd w:val="clear" w:color="auto" w:fill="auto"/>
            <w:noWrap/>
            <w:vAlign w:val="center"/>
            <w:hideMark/>
          </w:tcPr>
          <w:p w14:paraId="44CB3DBB"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2.037</w:t>
            </w:r>
          </w:p>
        </w:tc>
        <w:tc>
          <w:tcPr>
            <w:tcW w:w="306" w:type="pct"/>
            <w:tcBorders>
              <w:top w:val="nil"/>
              <w:left w:val="nil"/>
              <w:bottom w:val="single" w:sz="4" w:space="0" w:color="auto"/>
              <w:right w:val="single" w:sz="4" w:space="0" w:color="auto"/>
            </w:tcBorders>
            <w:shd w:val="clear" w:color="auto" w:fill="auto"/>
            <w:noWrap/>
            <w:vAlign w:val="center"/>
            <w:hideMark/>
          </w:tcPr>
          <w:p w14:paraId="440C180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DF48661"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6F980007"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noviembre</w:t>
            </w:r>
          </w:p>
        </w:tc>
        <w:tc>
          <w:tcPr>
            <w:tcW w:w="409" w:type="pct"/>
            <w:tcBorders>
              <w:top w:val="nil"/>
              <w:left w:val="nil"/>
              <w:bottom w:val="single" w:sz="4" w:space="0" w:color="auto"/>
              <w:right w:val="single" w:sz="4" w:space="0" w:color="auto"/>
            </w:tcBorders>
            <w:shd w:val="clear" w:color="000000" w:fill="FFFFFF"/>
            <w:noWrap/>
            <w:vAlign w:val="center"/>
            <w:hideMark/>
          </w:tcPr>
          <w:p w14:paraId="354600D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14.684</w:t>
            </w:r>
          </w:p>
        </w:tc>
        <w:tc>
          <w:tcPr>
            <w:tcW w:w="409" w:type="pct"/>
            <w:tcBorders>
              <w:top w:val="nil"/>
              <w:left w:val="nil"/>
              <w:bottom w:val="single" w:sz="4" w:space="0" w:color="auto"/>
              <w:right w:val="single" w:sz="4" w:space="0" w:color="auto"/>
            </w:tcBorders>
            <w:shd w:val="clear" w:color="000000" w:fill="FFFFFF"/>
            <w:noWrap/>
            <w:vAlign w:val="center"/>
            <w:hideMark/>
          </w:tcPr>
          <w:p w14:paraId="599AC19F"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24.450</w:t>
            </w:r>
          </w:p>
        </w:tc>
        <w:tc>
          <w:tcPr>
            <w:tcW w:w="439" w:type="pct"/>
            <w:tcBorders>
              <w:top w:val="nil"/>
              <w:left w:val="nil"/>
              <w:bottom w:val="single" w:sz="4" w:space="0" w:color="auto"/>
              <w:right w:val="single" w:sz="4" w:space="0" w:color="auto"/>
            </w:tcBorders>
            <w:shd w:val="clear" w:color="000000" w:fill="FFFFFF"/>
            <w:noWrap/>
            <w:vAlign w:val="center"/>
            <w:hideMark/>
          </w:tcPr>
          <w:p w14:paraId="2102CD3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21320</w:t>
            </w:r>
          </w:p>
        </w:tc>
        <w:tc>
          <w:tcPr>
            <w:tcW w:w="409" w:type="pct"/>
            <w:tcBorders>
              <w:top w:val="nil"/>
              <w:left w:val="nil"/>
              <w:bottom w:val="single" w:sz="4" w:space="0" w:color="auto"/>
              <w:right w:val="single" w:sz="4" w:space="0" w:color="auto"/>
            </w:tcBorders>
            <w:shd w:val="clear" w:color="000000" w:fill="FFFFFF"/>
            <w:noWrap/>
            <w:vAlign w:val="center"/>
            <w:hideMark/>
          </w:tcPr>
          <w:p w14:paraId="0387E31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28.578</w:t>
            </w:r>
          </w:p>
        </w:tc>
        <w:tc>
          <w:tcPr>
            <w:tcW w:w="409" w:type="pct"/>
            <w:tcBorders>
              <w:top w:val="nil"/>
              <w:left w:val="nil"/>
              <w:bottom w:val="single" w:sz="4" w:space="0" w:color="auto"/>
              <w:right w:val="single" w:sz="4" w:space="0" w:color="auto"/>
            </w:tcBorders>
            <w:shd w:val="clear" w:color="auto" w:fill="auto"/>
            <w:noWrap/>
            <w:vAlign w:val="center"/>
            <w:hideMark/>
          </w:tcPr>
          <w:p w14:paraId="0F1FCBF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47.480</w:t>
            </w:r>
          </w:p>
        </w:tc>
        <w:tc>
          <w:tcPr>
            <w:tcW w:w="409" w:type="pct"/>
            <w:tcBorders>
              <w:top w:val="nil"/>
              <w:left w:val="nil"/>
              <w:bottom w:val="single" w:sz="4" w:space="0" w:color="auto"/>
              <w:right w:val="single" w:sz="4" w:space="0" w:color="auto"/>
            </w:tcBorders>
            <w:shd w:val="clear" w:color="000000" w:fill="FFFFFF"/>
            <w:noWrap/>
            <w:vAlign w:val="center"/>
            <w:hideMark/>
          </w:tcPr>
          <w:p w14:paraId="51E077B4"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2B5D1E5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2E61C34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53.790</w:t>
            </w:r>
          </w:p>
        </w:tc>
        <w:tc>
          <w:tcPr>
            <w:tcW w:w="409" w:type="pct"/>
            <w:tcBorders>
              <w:top w:val="nil"/>
              <w:left w:val="nil"/>
              <w:bottom w:val="single" w:sz="4" w:space="0" w:color="auto"/>
              <w:right w:val="single" w:sz="4" w:space="0" w:color="auto"/>
            </w:tcBorders>
            <w:shd w:val="clear" w:color="000000" w:fill="FFFFFF"/>
            <w:noWrap/>
            <w:vAlign w:val="center"/>
            <w:hideMark/>
          </w:tcPr>
          <w:p w14:paraId="778E36B0"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51.027</w:t>
            </w:r>
          </w:p>
        </w:tc>
        <w:tc>
          <w:tcPr>
            <w:tcW w:w="409" w:type="pct"/>
            <w:tcBorders>
              <w:top w:val="nil"/>
              <w:left w:val="nil"/>
              <w:bottom w:val="single" w:sz="4" w:space="0" w:color="auto"/>
              <w:right w:val="single" w:sz="4" w:space="0" w:color="auto"/>
            </w:tcBorders>
            <w:shd w:val="clear" w:color="000000" w:fill="FFFFFF"/>
            <w:noWrap/>
            <w:vAlign w:val="center"/>
            <w:hideMark/>
          </w:tcPr>
          <w:p w14:paraId="25D4F659"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2.168</w:t>
            </w:r>
          </w:p>
        </w:tc>
        <w:tc>
          <w:tcPr>
            <w:tcW w:w="306" w:type="pct"/>
            <w:tcBorders>
              <w:top w:val="nil"/>
              <w:left w:val="nil"/>
              <w:bottom w:val="single" w:sz="4" w:space="0" w:color="auto"/>
              <w:right w:val="single" w:sz="4" w:space="0" w:color="auto"/>
            </w:tcBorders>
            <w:shd w:val="clear" w:color="000000" w:fill="FFFFFF"/>
            <w:noWrap/>
            <w:vAlign w:val="center"/>
            <w:hideMark/>
          </w:tcPr>
          <w:p w14:paraId="75FB8A46"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2C7F9BD4"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38D42742"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diciembre</w:t>
            </w:r>
          </w:p>
        </w:tc>
        <w:tc>
          <w:tcPr>
            <w:tcW w:w="409" w:type="pct"/>
            <w:tcBorders>
              <w:top w:val="nil"/>
              <w:left w:val="nil"/>
              <w:bottom w:val="single" w:sz="4" w:space="0" w:color="auto"/>
              <w:right w:val="single" w:sz="4" w:space="0" w:color="auto"/>
            </w:tcBorders>
            <w:shd w:val="clear" w:color="000000" w:fill="FFFFFF"/>
            <w:noWrap/>
            <w:vAlign w:val="center"/>
            <w:hideMark/>
          </w:tcPr>
          <w:p w14:paraId="3DF2D7A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33.348</w:t>
            </w:r>
          </w:p>
        </w:tc>
        <w:tc>
          <w:tcPr>
            <w:tcW w:w="409" w:type="pct"/>
            <w:tcBorders>
              <w:top w:val="nil"/>
              <w:left w:val="nil"/>
              <w:bottom w:val="single" w:sz="4" w:space="0" w:color="auto"/>
              <w:right w:val="single" w:sz="4" w:space="0" w:color="auto"/>
            </w:tcBorders>
            <w:shd w:val="clear" w:color="000000" w:fill="FFFFFF"/>
            <w:noWrap/>
            <w:vAlign w:val="center"/>
            <w:hideMark/>
          </w:tcPr>
          <w:p w14:paraId="2848293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34.928</w:t>
            </w:r>
          </w:p>
        </w:tc>
        <w:tc>
          <w:tcPr>
            <w:tcW w:w="439" w:type="pct"/>
            <w:tcBorders>
              <w:top w:val="nil"/>
              <w:left w:val="nil"/>
              <w:bottom w:val="single" w:sz="4" w:space="0" w:color="auto"/>
              <w:right w:val="single" w:sz="4" w:space="0" w:color="auto"/>
            </w:tcBorders>
            <w:shd w:val="clear" w:color="000000" w:fill="FFFFFF"/>
            <w:noWrap/>
            <w:vAlign w:val="center"/>
            <w:hideMark/>
          </w:tcPr>
          <w:p w14:paraId="7361ED02"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31512</w:t>
            </w:r>
          </w:p>
        </w:tc>
        <w:tc>
          <w:tcPr>
            <w:tcW w:w="409" w:type="pct"/>
            <w:tcBorders>
              <w:top w:val="nil"/>
              <w:left w:val="nil"/>
              <w:bottom w:val="single" w:sz="4" w:space="0" w:color="auto"/>
              <w:right w:val="single" w:sz="4" w:space="0" w:color="auto"/>
            </w:tcBorders>
            <w:shd w:val="clear" w:color="000000" w:fill="FFFFFF"/>
            <w:noWrap/>
            <w:vAlign w:val="center"/>
            <w:hideMark/>
          </w:tcPr>
          <w:p w14:paraId="0ECE5141"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39.142</w:t>
            </w:r>
          </w:p>
        </w:tc>
        <w:tc>
          <w:tcPr>
            <w:tcW w:w="409" w:type="pct"/>
            <w:tcBorders>
              <w:top w:val="nil"/>
              <w:left w:val="nil"/>
              <w:bottom w:val="single" w:sz="4" w:space="0" w:color="auto"/>
              <w:right w:val="single" w:sz="4" w:space="0" w:color="auto"/>
            </w:tcBorders>
            <w:shd w:val="clear" w:color="000000" w:fill="FFFFFF"/>
            <w:noWrap/>
            <w:vAlign w:val="center"/>
            <w:hideMark/>
          </w:tcPr>
          <w:p w14:paraId="1C0FD0E7"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43.678</w:t>
            </w:r>
          </w:p>
        </w:tc>
        <w:tc>
          <w:tcPr>
            <w:tcW w:w="409" w:type="pct"/>
            <w:tcBorders>
              <w:top w:val="nil"/>
              <w:left w:val="nil"/>
              <w:bottom w:val="single" w:sz="4" w:space="0" w:color="auto"/>
              <w:right w:val="single" w:sz="4" w:space="0" w:color="auto"/>
            </w:tcBorders>
            <w:shd w:val="clear" w:color="000000" w:fill="FFFFFF"/>
            <w:noWrap/>
            <w:vAlign w:val="center"/>
            <w:hideMark/>
          </w:tcPr>
          <w:p w14:paraId="25CE00CA"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6B011B2C"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247C665D"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47.252</w:t>
            </w:r>
          </w:p>
        </w:tc>
        <w:tc>
          <w:tcPr>
            <w:tcW w:w="409" w:type="pct"/>
            <w:tcBorders>
              <w:top w:val="nil"/>
              <w:left w:val="nil"/>
              <w:bottom w:val="single" w:sz="4" w:space="0" w:color="auto"/>
              <w:right w:val="single" w:sz="4" w:space="0" w:color="auto"/>
            </w:tcBorders>
            <w:shd w:val="clear" w:color="000000" w:fill="FFFFFF"/>
            <w:noWrap/>
            <w:vAlign w:val="center"/>
            <w:hideMark/>
          </w:tcPr>
          <w:p w14:paraId="536FCF88"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37.062</w:t>
            </w:r>
          </w:p>
        </w:tc>
        <w:tc>
          <w:tcPr>
            <w:tcW w:w="409" w:type="pct"/>
            <w:tcBorders>
              <w:top w:val="nil"/>
              <w:left w:val="nil"/>
              <w:bottom w:val="single" w:sz="4" w:space="0" w:color="auto"/>
              <w:right w:val="single" w:sz="4" w:space="0" w:color="auto"/>
            </w:tcBorders>
            <w:shd w:val="clear" w:color="000000" w:fill="FFFFFF"/>
            <w:noWrap/>
            <w:vAlign w:val="center"/>
            <w:hideMark/>
          </w:tcPr>
          <w:p w14:paraId="037974C5"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3.150</w:t>
            </w:r>
          </w:p>
        </w:tc>
        <w:tc>
          <w:tcPr>
            <w:tcW w:w="306" w:type="pct"/>
            <w:tcBorders>
              <w:top w:val="nil"/>
              <w:left w:val="nil"/>
              <w:bottom w:val="single" w:sz="4" w:space="0" w:color="auto"/>
              <w:right w:val="single" w:sz="4" w:space="0" w:color="auto"/>
            </w:tcBorders>
            <w:shd w:val="clear" w:color="000000" w:fill="FFFFFF"/>
            <w:noWrap/>
            <w:vAlign w:val="center"/>
            <w:hideMark/>
          </w:tcPr>
          <w:p w14:paraId="65814D4E" w14:textId="77777777" w:rsidR="008C1E8C" w:rsidRPr="008C1E8C" w:rsidRDefault="008C1E8C" w:rsidP="00597170">
            <w:pPr>
              <w:jc w:val="center"/>
              <w:rPr>
                <w:rFonts w:asciiTheme="majorBidi" w:hAnsiTheme="majorBidi" w:cstheme="majorBidi"/>
                <w:color w:val="000000"/>
                <w:sz w:val="18"/>
                <w:szCs w:val="18"/>
                <w:lang w:val="es-CO" w:eastAsia="es-CO"/>
              </w:rPr>
            </w:pPr>
            <w:r w:rsidRPr="008C1E8C">
              <w:rPr>
                <w:rFonts w:asciiTheme="majorBidi" w:hAnsiTheme="majorBidi" w:cstheme="majorBidi"/>
                <w:color w:val="000000"/>
                <w:sz w:val="18"/>
                <w:szCs w:val="18"/>
                <w:lang w:val="es-CO" w:eastAsia="es-CO"/>
              </w:rPr>
              <w:t> </w:t>
            </w:r>
          </w:p>
        </w:tc>
      </w:tr>
      <w:tr w:rsidR="008C1E8C" w:rsidRPr="008C1E8C" w14:paraId="4E3AA655" w14:textId="77777777" w:rsidTr="008C1E8C">
        <w:trPr>
          <w:trHeight w:val="300"/>
          <w:jc w:val="center"/>
        </w:trPr>
        <w:tc>
          <w:tcPr>
            <w:tcW w:w="574" w:type="pct"/>
            <w:tcBorders>
              <w:top w:val="nil"/>
              <w:left w:val="single" w:sz="4" w:space="0" w:color="auto"/>
              <w:bottom w:val="single" w:sz="4" w:space="0" w:color="auto"/>
              <w:right w:val="single" w:sz="4" w:space="0" w:color="auto"/>
            </w:tcBorders>
            <w:shd w:val="clear" w:color="000000" w:fill="FFF2CC"/>
            <w:noWrap/>
            <w:vAlign w:val="bottom"/>
            <w:hideMark/>
          </w:tcPr>
          <w:p w14:paraId="3689DC79"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TOTALES</w:t>
            </w:r>
          </w:p>
        </w:tc>
        <w:tc>
          <w:tcPr>
            <w:tcW w:w="409" w:type="pct"/>
            <w:tcBorders>
              <w:top w:val="nil"/>
              <w:left w:val="nil"/>
              <w:bottom w:val="single" w:sz="4" w:space="0" w:color="auto"/>
              <w:right w:val="single" w:sz="4" w:space="0" w:color="auto"/>
            </w:tcBorders>
            <w:shd w:val="clear" w:color="000000" w:fill="FFF2CC"/>
            <w:noWrap/>
            <w:vAlign w:val="center"/>
            <w:hideMark/>
          </w:tcPr>
          <w:p w14:paraId="61DBDA3B"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216.510</w:t>
            </w:r>
          </w:p>
        </w:tc>
        <w:tc>
          <w:tcPr>
            <w:tcW w:w="409" w:type="pct"/>
            <w:tcBorders>
              <w:top w:val="nil"/>
              <w:left w:val="nil"/>
              <w:bottom w:val="single" w:sz="4" w:space="0" w:color="auto"/>
              <w:right w:val="single" w:sz="4" w:space="0" w:color="auto"/>
            </w:tcBorders>
            <w:shd w:val="clear" w:color="000000" w:fill="FFF2CC"/>
            <w:noWrap/>
            <w:vAlign w:val="center"/>
            <w:hideMark/>
          </w:tcPr>
          <w:p w14:paraId="4A50063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388.897</w:t>
            </w:r>
          </w:p>
        </w:tc>
        <w:tc>
          <w:tcPr>
            <w:tcW w:w="439" w:type="pct"/>
            <w:tcBorders>
              <w:top w:val="nil"/>
              <w:left w:val="nil"/>
              <w:bottom w:val="single" w:sz="4" w:space="0" w:color="auto"/>
              <w:right w:val="single" w:sz="4" w:space="0" w:color="auto"/>
            </w:tcBorders>
            <w:shd w:val="clear" w:color="000000" w:fill="FFF2CC"/>
            <w:noWrap/>
            <w:vAlign w:val="center"/>
            <w:hideMark/>
          </w:tcPr>
          <w:p w14:paraId="7B0A49D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385.792</w:t>
            </w:r>
          </w:p>
        </w:tc>
        <w:tc>
          <w:tcPr>
            <w:tcW w:w="409" w:type="pct"/>
            <w:tcBorders>
              <w:top w:val="nil"/>
              <w:left w:val="nil"/>
              <w:bottom w:val="single" w:sz="4" w:space="0" w:color="auto"/>
              <w:right w:val="single" w:sz="4" w:space="0" w:color="auto"/>
            </w:tcBorders>
            <w:shd w:val="clear" w:color="000000" w:fill="FFF2CC"/>
            <w:noWrap/>
            <w:vAlign w:val="center"/>
            <w:hideMark/>
          </w:tcPr>
          <w:p w14:paraId="54BF6DE2"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405.650</w:t>
            </w:r>
          </w:p>
        </w:tc>
        <w:tc>
          <w:tcPr>
            <w:tcW w:w="409" w:type="pct"/>
            <w:tcBorders>
              <w:top w:val="nil"/>
              <w:left w:val="nil"/>
              <w:bottom w:val="single" w:sz="4" w:space="0" w:color="auto"/>
              <w:right w:val="single" w:sz="4" w:space="0" w:color="auto"/>
            </w:tcBorders>
            <w:shd w:val="clear" w:color="000000" w:fill="FFF2CC"/>
            <w:noWrap/>
            <w:vAlign w:val="center"/>
            <w:hideMark/>
          </w:tcPr>
          <w:p w14:paraId="4EE75A88"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456.826</w:t>
            </w:r>
          </w:p>
        </w:tc>
        <w:tc>
          <w:tcPr>
            <w:tcW w:w="409" w:type="pct"/>
            <w:tcBorders>
              <w:top w:val="nil"/>
              <w:left w:val="nil"/>
              <w:bottom w:val="single" w:sz="4" w:space="0" w:color="auto"/>
              <w:right w:val="single" w:sz="4" w:space="0" w:color="auto"/>
            </w:tcBorders>
            <w:shd w:val="clear" w:color="000000" w:fill="FFF2CC"/>
            <w:noWrap/>
            <w:vAlign w:val="center"/>
            <w:hideMark/>
          </w:tcPr>
          <w:p w14:paraId="1C88EEA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4C38F91A"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40B93243"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590.304</w:t>
            </w:r>
          </w:p>
        </w:tc>
        <w:tc>
          <w:tcPr>
            <w:tcW w:w="409" w:type="pct"/>
            <w:tcBorders>
              <w:top w:val="nil"/>
              <w:left w:val="nil"/>
              <w:bottom w:val="single" w:sz="4" w:space="0" w:color="auto"/>
              <w:right w:val="single" w:sz="4" w:space="0" w:color="auto"/>
            </w:tcBorders>
            <w:shd w:val="clear" w:color="000000" w:fill="FFF2CC"/>
            <w:noWrap/>
            <w:vAlign w:val="center"/>
            <w:hideMark/>
          </w:tcPr>
          <w:p w14:paraId="1BCA09B0"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631.654</w:t>
            </w:r>
          </w:p>
        </w:tc>
        <w:tc>
          <w:tcPr>
            <w:tcW w:w="409" w:type="pct"/>
            <w:tcBorders>
              <w:top w:val="nil"/>
              <w:left w:val="nil"/>
              <w:bottom w:val="single" w:sz="4" w:space="0" w:color="auto"/>
              <w:right w:val="single" w:sz="4" w:space="0" w:color="auto"/>
            </w:tcBorders>
            <w:shd w:val="clear" w:color="000000" w:fill="FFF2CC"/>
            <w:noWrap/>
            <w:vAlign w:val="center"/>
            <w:hideMark/>
          </w:tcPr>
          <w:p w14:paraId="30E25425"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156.306</w:t>
            </w:r>
          </w:p>
        </w:tc>
        <w:tc>
          <w:tcPr>
            <w:tcW w:w="306" w:type="pct"/>
            <w:tcBorders>
              <w:top w:val="nil"/>
              <w:left w:val="nil"/>
              <w:bottom w:val="single" w:sz="4" w:space="0" w:color="auto"/>
              <w:right w:val="single" w:sz="4" w:space="0" w:color="auto"/>
            </w:tcBorders>
            <w:shd w:val="clear" w:color="000000" w:fill="FFF2CC"/>
            <w:noWrap/>
            <w:vAlign w:val="center"/>
            <w:hideMark/>
          </w:tcPr>
          <w:p w14:paraId="75C2D38C" w14:textId="77777777" w:rsidR="008C1E8C" w:rsidRPr="008C1E8C" w:rsidRDefault="008C1E8C" w:rsidP="00597170">
            <w:pPr>
              <w:jc w:val="center"/>
              <w:rPr>
                <w:rFonts w:asciiTheme="majorBidi" w:hAnsiTheme="majorBidi" w:cstheme="majorBidi"/>
                <w:b/>
                <w:bCs/>
                <w:color w:val="000000"/>
                <w:sz w:val="18"/>
                <w:szCs w:val="18"/>
                <w:lang w:val="es-CO" w:eastAsia="es-CO"/>
              </w:rPr>
            </w:pPr>
            <w:r w:rsidRPr="008C1E8C">
              <w:rPr>
                <w:rFonts w:asciiTheme="majorBidi" w:hAnsiTheme="majorBidi" w:cstheme="majorBidi"/>
                <w:b/>
                <w:bCs/>
                <w:color w:val="000000"/>
                <w:sz w:val="18"/>
                <w:szCs w:val="18"/>
                <w:lang w:val="es-CO" w:eastAsia="es-CO"/>
              </w:rPr>
              <w:t>6.748</w:t>
            </w:r>
          </w:p>
        </w:tc>
      </w:tr>
    </w:tbl>
    <w:p w14:paraId="6EEBDF52" w14:textId="69E33B28" w:rsidR="008C1E8C" w:rsidRDefault="008C1E8C" w:rsidP="00A868D4">
      <w:pPr>
        <w:jc w:val="both"/>
        <w:rPr>
          <w:bCs/>
        </w:rPr>
      </w:pPr>
    </w:p>
    <w:p w14:paraId="49ED94E2" w14:textId="7777777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 xml:space="preserve">El operador </w:t>
      </w:r>
      <w:proofErr w:type="spellStart"/>
      <w:r w:rsidRPr="00A868D4">
        <w:rPr>
          <w:rFonts w:asciiTheme="majorBidi" w:hAnsiTheme="majorBidi" w:cstheme="majorBidi"/>
          <w:bCs/>
        </w:rPr>
        <w:t>Turistren</w:t>
      </w:r>
      <w:proofErr w:type="spellEnd"/>
      <w:r w:rsidRPr="00A868D4">
        <w:rPr>
          <w:rFonts w:asciiTheme="majorBidi" w:hAnsiTheme="majorBidi" w:cstheme="majorBidi"/>
          <w:bCs/>
        </w:rPr>
        <w:t xml:space="preserve"> informa la activación de los protocolos de bioseguridad dando inicio al servicio tanto de turismo como de transporte público a partir del 27 de septiembre de 2020.</w:t>
      </w:r>
    </w:p>
    <w:p w14:paraId="3A756CA8" w14:textId="77777777" w:rsidR="00A868D4" w:rsidRPr="00A868D4" w:rsidRDefault="00A868D4" w:rsidP="00A868D4">
      <w:pPr>
        <w:rPr>
          <w:rFonts w:asciiTheme="majorBidi" w:hAnsiTheme="majorBidi" w:cstheme="majorBidi"/>
          <w:bCs/>
        </w:rPr>
      </w:pPr>
    </w:p>
    <w:p w14:paraId="3DD6D74B" w14:textId="46466867" w:rsidR="00A868D4" w:rsidRPr="00A868D4" w:rsidRDefault="00A868D4" w:rsidP="00A868D4">
      <w:pPr>
        <w:jc w:val="both"/>
        <w:rPr>
          <w:rFonts w:asciiTheme="majorBidi" w:hAnsiTheme="majorBidi" w:cstheme="majorBidi"/>
          <w:bCs/>
        </w:rPr>
      </w:pPr>
      <w:r w:rsidRPr="00A868D4">
        <w:rPr>
          <w:rFonts w:asciiTheme="majorBidi" w:hAnsiTheme="majorBidi" w:cstheme="majorBidi"/>
          <w:bCs/>
        </w:rPr>
        <w:t>Para el año 2020 se movilizaron 156.303 pasajeros.</w:t>
      </w:r>
    </w:p>
    <w:p w14:paraId="162005F2" w14:textId="6590D62D" w:rsidR="00A868D4" w:rsidRPr="00A868D4" w:rsidRDefault="00A868D4" w:rsidP="00A868D4">
      <w:pPr>
        <w:jc w:val="both"/>
        <w:rPr>
          <w:rFonts w:asciiTheme="majorBidi" w:hAnsiTheme="majorBidi" w:cstheme="majorBidi"/>
          <w:bCs/>
        </w:rPr>
      </w:pPr>
    </w:p>
    <w:p w14:paraId="27D4EADE" w14:textId="77777777" w:rsidR="00A868D4" w:rsidRPr="00A868D4" w:rsidRDefault="00A868D4" w:rsidP="00A868D4">
      <w:pPr>
        <w:jc w:val="both"/>
        <w:rPr>
          <w:rFonts w:asciiTheme="majorBidi" w:hAnsiTheme="majorBidi" w:cstheme="majorBidi"/>
        </w:rPr>
      </w:pPr>
      <w:r w:rsidRPr="00A868D4">
        <w:rPr>
          <w:rFonts w:asciiTheme="majorBidi" w:hAnsiTheme="majorBidi" w:cstheme="majorBidi"/>
        </w:rPr>
        <w:t>Para el mes de abril con corte al 15 (en el entendido de la finalización del contrato de administración con IBINES), se movilizaron 1.784 pasajeros, solo trenes de turismos fines de semana teniendo un total de 6.748 pasajeros en lo corrido del 2021.</w:t>
      </w:r>
    </w:p>
    <w:p w14:paraId="00755E35" w14:textId="77777777" w:rsidR="00A868D4" w:rsidRPr="00A868D4" w:rsidRDefault="00A868D4" w:rsidP="00A868D4">
      <w:pPr>
        <w:jc w:val="both"/>
        <w:rPr>
          <w:rFonts w:asciiTheme="majorBidi" w:hAnsiTheme="majorBidi" w:cstheme="majorBidi"/>
          <w:bCs/>
        </w:rPr>
      </w:pPr>
    </w:p>
    <w:p w14:paraId="7EB15DE1" w14:textId="4B54519B" w:rsidR="00A868D4" w:rsidRDefault="00A868D4" w:rsidP="00D84A13">
      <w:pPr>
        <w:jc w:val="both"/>
        <w:rPr>
          <w:rFonts w:asciiTheme="majorBidi" w:hAnsiTheme="majorBidi" w:cstheme="majorBidi"/>
          <w:bCs/>
        </w:rPr>
      </w:pPr>
      <w:r w:rsidRPr="00A868D4">
        <w:rPr>
          <w:rFonts w:asciiTheme="majorBidi" w:hAnsiTheme="majorBidi" w:cstheme="majorBidi"/>
          <w:bCs/>
        </w:rPr>
        <w:t xml:space="preserve">El servicio de transporte de pasajeros se encuentra suspendido desde el 16 de abril de 2021 por finalización del contrato del administrador férreo </w:t>
      </w:r>
      <w:proofErr w:type="spellStart"/>
      <w:r w:rsidRPr="00A868D4">
        <w:rPr>
          <w:rFonts w:asciiTheme="majorBidi" w:hAnsiTheme="majorBidi" w:cstheme="majorBidi"/>
          <w:bCs/>
        </w:rPr>
        <w:t>Ibines</w:t>
      </w:r>
      <w:proofErr w:type="spellEnd"/>
      <w:r w:rsidRPr="00A868D4">
        <w:rPr>
          <w:rFonts w:asciiTheme="majorBidi" w:hAnsiTheme="majorBidi" w:cstheme="majorBidi"/>
          <w:bCs/>
        </w:rPr>
        <w:t>, y se espera se reactive el servicio en el mes de mayo conforme a la estrategia de la ANI y FINDETER.</w:t>
      </w:r>
    </w:p>
    <w:p w14:paraId="1BDE74A7" w14:textId="402DDA9F" w:rsidR="00A868D4" w:rsidRDefault="00A868D4" w:rsidP="00D84A13">
      <w:pPr>
        <w:jc w:val="both"/>
        <w:rPr>
          <w:rFonts w:asciiTheme="majorBidi" w:hAnsiTheme="majorBidi" w:cstheme="majorBidi"/>
          <w:bCs/>
        </w:rPr>
      </w:pPr>
    </w:p>
    <w:p w14:paraId="3A28E931" w14:textId="644E9B7E" w:rsidR="00A868D4" w:rsidRDefault="00A868D4" w:rsidP="00D84A13">
      <w:pPr>
        <w:jc w:val="both"/>
        <w:rPr>
          <w:rFonts w:asciiTheme="majorBidi" w:hAnsiTheme="majorBidi" w:cstheme="majorBidi"/>
          <w:bCs/>
        </w:rPr>
      </w:pPr>
    </w:p>
    <w:p w14:paraId="36B0213E" w14:textId="045DEAFE" w:rsidR="00ED2D37" w:rsidRDefault="00ED2D37" w:rsidP="00ED2D37">
      <w:pPr>
        <w:jc w:val="center"/>
        <w:rPr>
          <w:rFonts w:asciiTheme="majorBidi" w:hAnsiTheme="majorBidi" w:cstheme="majorBidi"/>
          <w:bCs/>
        </w:rPr>
      </w:pPr>
      <w:r w:rsidRPr="00ED2D37">
        <w:rPr>
          <w:rFonts w:asciiTheme="majorBidi" w:hAnsiTheme="majorBidi" w:cstheme="majorBidi"/>
          <w:bCs/>
        </w:rPr>
        <w:t xml:space="preserve">Cantidad Pasajeros movilizados </w:t>
      </w:r>
      <w:proofErr w:type="spellStart"/>
      <w:r w:rsidRPr="00ED2D37">
        <w:rPr>
          <w:rFonts w:asciiTheme="majorBidi" w:hAnsiTheme="majorBidi" w:cstheme="majorBidi"/>
          <w:bCs/>
        </w:rPr>
        <w:t>Coopsercol</w:t>
      </w:r>
      <w:proofErr w:type="spellEnd"/>
      <w:r w:rsidRPr="00ED2D37">
        <w:rPr>
          <w:rFonts w:asciiTheme="majorBidi" w:hAnsiTheme="majorBidi" w:cstheme="majorBidi"/>
          <w:bCs/>
        </w:rPr>
        <w:t xml:space="preserve"> La Dorada-Chiriguaná con corte al 15 de abril de 2021</w:t>
      </w:r>
    </w:p>
    <w:p w14:paraId="4630354F" w14:textId="427A022C" w:rsidR="00ED2D37" w:rsidRDefault="00ED2D37" w:rsidP="00D84A13">
      <w:pPr>
        <w:jc w:val="both"/>
        <w:rPr>
          <w:rFonts w:asciiTheme="majorBidi" w:hAnsiTheme="majorBidi" w:cstheme="majorBidi"/>
          <w:bCs/>
        </w:rPr>
      </w:pPr>
    </w:p>
    <w:tbl>
      <w:tblPr>
        <w:tblW w:w="5000" w:type="pct"/>
        <w:jc w:val="center"/>
        <w:tblCellMar>
          <w:left w:w="70" w:type="dxa"/>
          <w:right w:w="70" w:type="dxa"/>
        </w:tblCellMar>
        <w:tblLook w:val="04A0" w:firstRow="1" w:lastRow="0" w:firstColumn="1" w:lastColumn="0" w:noHBand="0" w:noVBand="1"/>
      </w:tblPr>
      <w:tblGrid>
        <w:gridCol w:w="1200"/>
        <w:gridCol w:w="871"/>
        <w:gridCol w:w="870"/>
        <w:gridCol w:w="870"/>
        <w:gridCol w:w="870"/>
        <w:gridCol w:w="856"/>
        <w:gridCol w:w="842"/>
        <w:gridCol w:w="828"/>
        <w:gridCol w:w="816"/>
        <w:gridCol w:w="805"/>
      </w:tblGrid>
      <w:tr w:rsidR="00ED2D37" w:rsidRPr="00ED2D37" w14:paraId="770BB46A" w14:textId="77777777" w:rsidTr="00ED2D37">
        <w:trPr>
          <w:trHeight w:val="300"/>
          <w:tblHeader/>
          <w:jc w:val="center"/>
        </w:trPr>
        <w:tc>
          <w:tcPr>
            <w:tcW w:w="679" w:type="pct"/>
            <w:tcBorders>
              <w:top w:val="nil"/>
              <w:left w:val="single" w:sz="4" w:space="0" w:color="auto"/>
              <w:bottom w:val="single" w:sz="4" w:space="0" w:color="auto"/>
              <w:right w:val="single" w:sz="4" w:space="0" w:color="auto"/>
            </w:tcBorders>
            <w:shd w:val="clear" w:color="000000" w:fill="1F4E78"/>
            <w:noWrap/>
            <w:vAlign w:val="center"/>
            <w:hideMark/>
          </w:tcPr>
          <w:p w14:paraId="0424F0CB"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MES</w:t>
            </w:r>
          </w:p>
        </w:tc>
        <w:tc>
          <w:tcPr>
            <w:tcW w:w="493" w:type="pct"/>
            <w:tcBorders>
              <w:top w:val="nil"/>
              <w:left w:val="nil"/>
              <w:bottom w:val="single" w:sz="4" w:space="0" w:color="auto"/>
              <w:right w:val="single" w:sz="4" w:space="0" w:color="auto"/>
            </w:tcBorders>
            <w:shd w:val="clear" w:color="000000" w:fill="1F4E78"/>
            <w:vAlign w:val="center"/>
            <w:hideMark/>
          </w:tcPr>
          <w:p w14:paraId="18363DB1"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2013</w:t>
            </w:r>
          </w:p>
        </w:tc>
        <w:tc>
          <w:tcPr>
            <w:tcW w:w="493" w:type="pct"/>
            <w:tcBorders>
              <w:top w:val="nil"/>
              <w:left w:val="nil"/>
              <w:bottom w:val="single" w:sz="4" w:space="0" w:color="auto"/>
              <w:right w:val="single" w:sz="4" w:space="0" w:color="auto"/>
            </w:tcBorders>
            <w:shd w:val="clear" w:color="000000" w:fill="1F4E78"/>
            <w:vAlign w:val="center"/>
            <w:hideMark/>
          </w:tcPr>
          <w:p w14:paraId="73E96DA3"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2014</w:t>
            </w:r>
          </w:p>
        </w:tc>
        <w:tc>
          <w:tcPr>
            <w:tcW w:w="493" w:type="pct"/>
            <w:tcBorders>
              <w:top w:val="nil"/>
              <w:left w:val="nil"/>
              <w:bottom w:val="single" w:sz="4" w:space="0" w:color="auto"/>
              <w:right w:val="single" w:sz="4" w:space="0" w:color="auto"/>
            </w:tcBorders>
            <w:shd w:val="clear" w:color="000000" w:fill="1F4E78"/>
            <w:vAlign w:val="center"/>
            <w:hideMark/>
          </w:tcPr>
          <w:p w14:paraId="5D200B36"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2015</w:t>
            </w:r>
          </w:p>
        </w:tc>
        <w:tc>
          <w:tcPr>
            <w:tcW w:w="493" w:type="pct"/>
            <w:tcBorders>
              <w:top w:val="nil"/>
              <w:left w:val="nil"/>
              <w:bottom w:val="single" w:sz="4" w:space="0" w:color="auto"/>
              <w:right w:val="single" w:sz="4" w:space="0" w:color="auto"/>
            </w:tcBorders>
            <w:shd w:val="clear" w:color="000000" w:fill="1F4E78"/>
            <w:vAlign w:val="center"/>
            <w:hideMark/>
          </w:tcPr>
          <w:p w14:paraId="315B0058"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2016</w:t>
            </w:r>
          </w:p>
        </w:tc>
        <w:tc>
          <w:tcPr>
            <w:tcW w:w="485" w:type="pct"/>
            <w:tcBorders>
              <w:top w:val="nil"/>
              <w:left w:val="nil"/>
              <w:bottom w:val="single" w:sz="4" w:space="0" w:color="auto"/>
              <w:right w:val="single" w:sz="4" w:space="0" w:color="auto"/>
            </w:tcBorders>
            <w:shd w:val="clear" w:color="000000" w:fill="1F4E78"/>
            <w:vAlign w:val="center"/>
            <w:hideMark/>
          </w:tcPr>
          <w:p w14:paraId="0B28EEC3"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2017</w:t>
            </w:r>
          </w:p>
        </w:tc>
        <w:tc>
          <w:tcPr>
            <w:tcW w:w="477" w:type="pct"/>
            <w:tcBorders>
              <w:top w:val="nil"/>
              <w:left w:val="nil"/>
              <w:bottom w:val="single" w:sz="4" w:space="0" w:color="auto"/>
              <w:right w:val="single" w:sz="4" w:space="0" w:color="auto"/>
            </w:tcBorders>
            <w:shd w:val="clear" w:color="000000" w:fill="1F4E78"/>
            <w:vAlign w:val="center"/>
            <w:hideMark/>
          </w:tcPr>
          <w:p w14:paraId="3C5C6A8F"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2018</w:t>
            </w:r>
          </w:p>
        </w:tc>
        <w:tc>
          <w:tcPr>
            <w:tcW w:w="469" w:type="pct"/>
            <w:tcBorders>
              <w:top w:val="nil"/>
              <w:left w:val="nil"/>
              <w:bottom w:val="single" w:sz="4" w:space="0" w:color="auto"/>
              <w:right w:val="single" w:sz="4" w:space="0" w:color="auto"/>
            </w:tcBorders>
            <w:shd w:val="clear" w:color="000000" w:fill="1F4E78"/>
            <w:vAlign w:val="center"/>
            <w:hideMark/>
          </w:tcPr>
          <w:p w14:paraId="4070C0DF"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2019</w:t>
            </w:r>
          </w:p>
        </w:tc>
        <w:tc>
          <w:tcPr>
            <w:tcW w:w="462" w:type="pct"/>
            <w:tcBorders>
              <w:top w:val="nil"/>
              <w:left w:val="nil"/>
              <w:bottom w:val="single" w:sz="4" w:space="0" w:color="auto"/>
              <w:right w:val="single" w:sz="4" w:space="0" w:color="auto"/>
            </w:tcBorders>
            <w:shd w:val="clear" w:color="000000" w:fill="1F4E78"/>
            <w:vAlign w:val="center"/>
            <w:hideMark/>
          </w:tcPr>
          <w:p w14:paraId="40A40B72"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2020</w:t>
            </w:r>
          </w:p>
        </w:tc>
        <w:tc>
          <w:tcPr>
            <w:tcW w:w="456" w:type="pct"/>
            <w:tcBorders>
              <w:top w:val="nil"/>
              <w:left w:val="nil"/>
              <w:bottom w:val="single" w:sz="4" w:space="0" w:color="auto"/>
              <w:right w:val="single" w:sz="4" w:space="0" w:color="auto"/>
            </w:tcBorders>
            <w:shd w:val="clear" w:color="000000" w:fill="1F4E78"/>
            <w:vAlign w:val="center"/>
            <w:hideMark/>
          </w:tcPr>
          <w:p w14:paraId="7057E57C" w14:textId="77777777" w:rsidR="00ED2D37" w:rsidRPr="00ED2D37" w:rsidRDefault="00ED2D37" w:rsidP="00597170">
            <w:pPr>
              <w:jc w:val="center"/>
              <w:rPr>
                <w:rFonts w:asciiTheme="majorBidi" w:hAnsiTheme="majorBidi" w:cstheme="majorBidi"/>
                <w:b/>
                <w:bCs/>
                <w:color w:val="FFFFFF"/>
                <w:sz w:val="18"/>
                <w:szCs w:val="18"/>
                <w:lang w:val="es-CO" w:eastAsia="es-CO"/>
              </w:rPr>
            </w:pPr>
            <w:r w:rsidRPr="00ED2D37">
              <w:rPr>
                <w:rFonts w:asciiTheme="majorBidi" w:hAnsiTheme="majorBidi" w:cstheme="majorBidi"/>
                <w:b/>
                <w:bCs/>
                <w:color w:val="FFFFFF"/>
                <w:sz w:val="18"/>
                <w:szCs w:val="18"/>
                <w:lang w:val="es-CO" w:eastAsia="es-CO"/>
              </w:rPr>
              <w:t>2021</w:t>
            </w:r>
          </w:p>
        </w:tc>
      </w:tr>
      <w:tr w:rsidR="00ED2D37" w:rsidRPr="00ED2D37" w14:paraId="2BB41DF1"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171535C7"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enero</w:t>
            </w:r>
          </w:p>
        </w:tc>
        <w:tc>
          <w:tcPr>
            <w:tcW w:w="493" w:type="pct"/>
            <w:tcBorders>
              <w:top w:val="nil"/>
              <w:left w:val="nil"/>
              <w:bottom w:val="single" w:sz="4" w:space="0" w:color="auto"/>
              <w:right w:val="single" w:sz="4" w:space="0" w:color="auto"/>
            </w:tcBorders>
            <w:shd w:val="clear" w:color="000000" w:fill="FFFFFF"/>
            <w:noWrap/>
            <w:vAlign w:val="center"/>
            <w:hideMark/>
          </w:tcPr>
          <w:p w14:paraId="23BCE31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6.130</w:t>
            </w:r>
          </w:p>
        </w:tc>
        <w:tc>
          <w:tcPr>
            <w:tcW w:w="493" w:type="pct"/>
            <w:tcBorders>
              <w:top w:val="nil"/>
              <w:left w:val="nil"/>
              <w:bottom w:val="single" w:sz="4" w:space="0" w:color="auto"/>
              <w:right w:val="single" w:sz="4" w:space="0" w:color="auto"/>
            </w:tcBorders>
            <w:shd w:val="clear" w:color="000000" w:fill="FFFFFF"/>
            <w:noWrap/>
            <w:vAlign w:val="center"/>
            <w:hideMark/>
          </w:tcPr>
          <w:p w14:paraId="2060D45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6.696</w:t>
            </w:r>
          </w:p>
        </w:tc>
        <w:tc>
          <w:tcPr>
            <w:tcW w:w="493" w:type="pct"/>
            <w:tcBorders>
              <w:top w:val="nil"/>
              <w:left w:val="nil"/>
              <w:bottom w:val="single" w:sz="4" w:space="0" w:color="auto"/>
              <w:right w:val="single" w:sz="4" w:space="0" w:color="auto"/>
            </w:tcBorders>
            <w:shd w:val="clear" w:color="000000" w:fill="FFFFFF"/>
            <w:noWrap/>
            <w:vAlign w:val="center"/>
            <w:hideMark/>
          </w:tcPr>
          <w:p w14:paraId="3DBF693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6.895</w:t>
            </w:r>
          </w:p>
        </w:tc>
        <w:tc>
          <w:tcPr>
            <w:tcW w:w="493" w:type="pct"/>
            <w:tcBorders>
              <w:top w:val="nil"/>
              <w:left w:val="nil"/>
              <w:bottom w:val="single" w:sz="4" w:space="0" w:color="auto"/>
              <w:right w:val="single" w:sz="4" w:space="0" w:color="auto"/>
            </w:tcBorders>
            <w:shd w:val="clear" w:color="000000" w:fill="FFFFFF"/>
            <w:noWrap/>
            <w:vAlign w:val="center"/>
            <w:hideMark/>
          </w:tcPr>
          <w:p w14:paraId="7334721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6.591</w:t>
            </w:r>
          </w:p>
        </w:tc>
        <w:tc>
          <w:tcPr>
            <w:tcW w:w="485" w:type="pct"/>
            <w:tcBorders>
              <w:top w:val="nil"/>
              <w:left w:val="nil"/>
              <w:bottom w:val="single" w:sz="4" w:space="0" w:color="auto"/>
              <w:right w:val="single" w:sz="4" w:space="0" w:color="auto"/>
            </w:tcBorders>
            <w:shd w:val="clear" w:color="000000" w:fill="FFFFFF"/>
            <w:noWrap/>
            <w:vAlign w:val="center"/>
            <w:hideMark/>
          </w:tcPr>
          <w:p w14:paraId="3E09DA0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7.234</w:t>
            </w:r>
          </w:p>
        </w:tc>
        <w:tc>
          <w:tcPr>
            <w:tcW w:w="477" w:type="pct"/>
            <w:tcBorders>
              <w:top w:val="nil"/>
              <w:left w:val="nil"/>
              <w:bottom w:val="single" w:sz="4" w:space="0" w:color="auto"/>
              <w:right w:val="single" w:sz="4" w:space="0" w:color="auto"/>
            </w:tcBorders>
            <w:shd w:val="clear" w:color="000000" w:fill="FFFFFF"/>
            <w:noWrap/>
            <w:vAlign w:val="center"/>
            <w:hideMark/>
          </w:tcPr>
          <w:p w14:paraId="1AFD701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6.524</w:t>
            </w:r>
          </w:p>
        </w:tc>
        <w:tc>
          <w:tcPr>
            <w:tcW w:w="469" w:type="pct"/>
            <w:tcBorders>
              <w:top w:val="nil"/>
              <w:left w:val="nil"/>
              <w:bottom w:val="single" w:sz="4" w:space="0" w:color="auto"/>
              <w:right w:val="single" w:sz="4" w:space="0" w:color="auto"/>
            </w:tcBorders>
            <w:shd w:val="clear" w:color="000000" w:fill="FFFFFF"/>
            <w:noWrap/>
            <w:vAlign w:val="center"/>
            <w:hideMark/>
          </w:tcPr>
          <w:p w14:paraId="07C21BB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6.548</w:t>
            </w:r>
          </w:p>
        </w:tc>
        <w:tc>
          <w:tcPr>
            <w:tcW w:w="462" w:type="pct"/>
            <w:tcBorders>
              <w:top w:val="nil"/>
              <w:left w:val="nil"/>
              <w:bottom w:val="single" w:sz="4" w:space="0" w:color="auto"/>
              <w:right w:val="single" w:sz="4" w:space="0" w:color="auto"/>
            </w:tcBorders>
            <w:shd w:val="clear" w:color="000000" w:fill="FFFFFF"/>
            <w:noWrap/>
            <w:vAlign w:val="center"/>
            <w:hideMark/>
          </w:tcPr>
          <w:p w14:paraId="3CAF056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6.408</w:t>
            </w:r>
          </w:p>
        </w:tc>
        <w:tc>
          <w:tcPr>
            <w:tcW w:w="456" w:type="pct"/>
            <w:tcBorders>
              <w:top w:val="nil"/>
              <w:left w:val="nil"/>
              <w:bottom w:val="single" w:sz="4" w:space="0" w:color="auto"/>
              <w:right w:val="single" w:sz="4" w:space="0" w:color="auto"/>
            </w:tcBorders>
            <w:shd w:val="clear" w:color="000000" w:fill="FFFFFF"/>
            <w:noWrap/>
            <w:vAlign w:val="center"/>
            <w:hideMark/>
          </w:tcPr>
          <w:p w14:paraId="216E9E1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3.515</w:t>
            </w:r>
          </w:p>
        </w:tc>
      </w:tr>
      <w:tr w:rsidR="00ED2D37" w:rsidRPr="00ED2D37" w14:paraId="62E470CF"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37ED7FDE"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febrero</w:t>
            </w:r>
          </w:p>
        </w:tc>
        <w:tc>
          <w:tcPr>
            <w:tcW w:w="493" w:type="pct"/>
            <w:tcBorders>
              <w:top w:val="nil"/>
              <w:left w:val="nil"/>
              <w:bottom w:val="single" w:sz="4" w:space="0" w:color="auto"/>
              <w:right w:val="single" w:sz="4" w:space="0" w:color="auto"/>
            </w:tcBorders>
            <w:shd w:val="clear" w:color="000000" w:fill="FFFFFF"/>
            <w:noWrap/>
            <w:vAlign w:val="center"/>
            <w:hideMark/>
          </w:tcPr>
          <w:p w14:paraId="2D4F2EE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5.702</w:t>
            </w:r>
          </w:p>
        </w:tc>
        <w:tc>
          <w:tcPr>
            <w:tcW w:w="493" w:type="pct"/>
            <w:tcBorders>
              <w:top w:val="nil"/>
              <w:left w:val="nil"/>
              <w:bottom w:val="single" w:sz="4" w:space="0" w:color="auto"/>
              <w:right w:val="single" w:sz="4" w:space="0" w:color="auto"/>
            </w:tcBorders>
            <w:shd w:val="clear" w:color="000000" w:fill="FFFFFF"/>
            <w:noWrap/>
            <w:vAlign w:val="center"/>
            <w:hideMark/>
          </w:tcPr>
          <w:p w14:paraId="51C74A2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5.241</w:t>
            </w:r>
          </w:p>
        </w:tc>
        <w:tc>
          <w:tcPr>
            <w:tcW w:w="493" w:type="pct"/>
            <w:tcBorders>
              <w:top w:val="nil"/>
              <w:left w:val="nil"/>
              <w:bottom w:val="single" w:sz="4" w:space="0" w:color="auto"/>
              <w:right w:val="single" w:sz="4" w:space="0" w:color="auto"/>
            </w:tcBorders>
            <w:shd w:val="clear" w:color="000000" w:fill="FFFFFF"/>
            <w:noWrap/>
            <w:vAlign w:val="center"/>
            <w:hideMark/>
          </w:tcPr>
          <w:p w14:paraId="6574AC2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5.069</w:t>
            </w:r>
          </w:p>
        </w:tc>
        <w:tc>
          <w:tcPr>
            <w:tcW w:w="493" w:type="pct"/>
            <w:tcBorders>
              <w:top w:val="nil"/>
              <w:left w:val="nil"/>
              <w:bottom w:val="single" w:sz="4" w:space="0" w:color="auto"/>
              <w:right w:val="single" w:sz="4" w:space="0" w:color="auto"/>
            </w:tcBorders>
            <w:shd w:val="clear" w:color="000000" w:fill="FFFFFF"/>
            <w:noWrap/>
            <w:vAlign w:val="center"/>
            <w:hideMark/>
          </w:tcPr>
          <w:p w14:paraId="47FC78C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4.516</w:t>
            </w:r>
          </w:p>
        </w:tc>
        <w:tc>
          <w:tcPr>
            <w:tcW w:w="485" w:type="pct"/>
            <w:tcBorders>
              <w:top w:val="nil"/>
              <w:left w:val="nil"/>
              <w:bottom w:val="single" w:sz="4" w:space="0" w:color="auto"/>
              <w:right w:val="single" w:sz="4" w:space="0" w:color="auto"/>
            </w:tcBorders>
            <w:shd w:val="clear" w:color="000000" w:fill="FFFFFF"/>
            <w:noWrap/>
            <w:vAlign w:val="center"/>
            <w:hideMark/>
          </w:tcPr>
          <w:p w14:paraId="3BB16D3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5.626</w:t>
            </w:r>
          </w:p>
        </w:tc>
        <w:tc>
          <w:tcPr>
            <w:tcW w:w="477" w:type="pct"/>
            <w:tcBorders>
              <w:top w:val="nil"/>
              <w:left w:val="nil"/>
              <w:bottom w:val="single" w:sz="4" w:space="0" w:color="auto"/>
              <w:right w:val="single" w:sz="4" w:space="0" w:color="auto"/>
            </w:tcBorders>
            <w:shd w:val="clear" w:color="000000" w:fill="FFFFFF"/>
            <w:noWrap/>
            <w:vAlign w:val="center"/>
            <w:hideMark/>
          </w:tcPr>
          <w:p w14:paraId="20B890E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6.479</w:t>
            </w:r>
          </w:p>
        </w:tc>
        <w:tc>
          <w:tcPr>
            <w:tcW w:w="469" w:type="pct"/>
            <w:tcBorders>
              <w:top w:val="nil"/>
              <w:left w:val="nil"/>
              <w:bottom w:val="single" w:sz="4" w:space="0" w:color="auto"/>
              <w:right w:val="single" w:sz="4" w:space="0" w:color="auto"/>
            </w:tcBorders>
            <w:shd w:val="clear" w:color="000000" w:fill="FFFFFF"/>
            <w:noWrap/>
            <w:vAlign w:val="center"/>
            <w:hideMark/>
          </w:tcPr>
          <w:p w14:paraId="639CD72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6.683</w:t>
            </w:r>
          </w:p>
        </w:tc>
        <w:tc>
          <w:tcPr>
            <w:tcW w:w="462" w:type="pct"/>
            <w:tcBorders>
              <w:top w:val="nil"/>
              <w:left w:val="nil"/>
              <w:bottom w:val="single" w:sz="4" w:space="0" w:color="auto"/>
              <w:right w:val="single" w:sz="4" w:space="0" w:color="auto"/>
            </w:tcBorders>
            <w:shd w:val="clear" w:color="000000" w:fill="FFFFFF"/>
            <w:noWrap/>
            <w:vAlign w:val="center"/>
            <w:hideMark/>
          </w:tcPr>
          <w:p w14:paraId="12F69AB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4.633</w:t>
            </w:r>
          </w:p>
        </w:tc>
        <w:tc>
          <w:tcPr>
            <w:tcW w:w="456" w:type="pct"/>
            <w:tcBorders>
              <w:top w:val="nil"/>
              <w:left w:val="nil"/>
              <w:bottom w:val="single" w:sz="4" w:space="0" w:color="auto"/>
              <w:right w:val="single" w:sz="4" w:space="0" w:color="auto"/>
            </w:tcBorders>
            <w:shd w:val="clear" w:color="000000" w:fill="FFFFFF"/>
            <w:noWrap/>
            <w:vAlign w:val="center"/>
            <w:hideMark/>
          </w:tcPr>
          <w:p w14:paraId="199ACE2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3.035</w:t>
            </w:r>
          </w:p>
        </w:tc>
      </w:tr>
      <w:tr w:rsidR="00ED2D37" w:rsidRPr="00ED2D37" w14:paraId="4401022D"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70C8949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marzo</w:t>
            </w:r>
          </w:p>
        </w:tc>
        <w:tc>
          <w:tcPr>
            <w:tcW w:w="493" w:type="pct"/>
            <w:tcBorders>
              <w:top w:val="nil"/>
              <w:left w:val="nil"/>
              <w:bottom w:val="single" w:sz="4" w:space="0" w:color="auto"/>
              <w:right w:val="single" w:sz="4" w:space="0" w:color="auto"/>
            </w:tcBorders>
            <w:shd w:val="clear" w:color="000000" w:fill="FFFFFF"/>
            <w:noWrap/>
            <w:vAlign w:val="center"/>
            <w:hideMark/>
          </w:tcPr>
          <w:p w14:paraId="59F8FAB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7.800</w:t>
            </w:r>
          </w:p>
        </w:tc>
        <w:tc>
          <w:tcPr>
            <w:tcW w:w="493" w:type="pct"/>
            <w:tcBorders>
              <w:top w:val="nil"/>
              <w:left w:val="nil"/>
              <w:bottom w:val="single" w:sz="4" w:space="0" w:color="auto"/>
              <w:right w:val="single" w:sz="4" w:space="0" w:color="auto"/>
            </w:tcBorders>
            <w:shd w:val="clear" w:color="000000" w:fill="FFFFFF"/>
            <w:noWrap/>
            <w:vAlign w:val="center"/>
            <w:hideMark/>
          </w:tcPr>
          <w:p w14:paraId="3FB7D9A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6.250</w:t>
            </w:r>
          </w:p>
        </w:tc>
        <w:tc>
          <w:tcPr>
            <w:tcW w:w="493" w:type="pct"/>
            <w:tcBorders>
              <w:top w:val="nil"/>
              <w:left w:val="nil"/>
              <w:bottom w:val="single" w:sz="4" w:space="0" w:color="auto"/>
              <w:right w:val="single" w:sz="4" w:space="0" w:color="auto"/>
            </w:tcBorders>
            <w:shd w:val="clear" w:color="000000" w:fill="FFFFFF"/>
            <w:noWrap/>
            <w:vAlign w:val="center"/>
            <w:hideMark/>
          </w:tcPr>
          <w:p w14:paraId="0B2505C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5.587</w:t>
            </w:r>
          </w:p>
        </w:tc>
        <w:tc>
          <w:tcPr>
            <w:tcW w:w="493" w:type="pct"/>
            <w:tcBorders>
              <w:top w:val="nil"/>
              <w:left w:val="nil"/>
              <w:bottom w:val="single" w:sz="4" w:space="0" w:color="auto"/>
              <w:right w:val="single" w:sz="4" w:space="0" w:color="auto"/>
            </w:tcBorders>
            <w:shd w:val="clear" w:color="000000" w:fill="FFFFFF"/>
            <w:noWrap/>
            <w:vAlign w:val="center"/>
            <w:hideMark/>
          </w:tcPr>
          <w:p w14:paraId="265C5D2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5.651</w:t>
            </w:r>
          </w:p>
        </w:tc>
        <w:tc>
          <w:tcPr>
            <w:tcW w:w="485" w:type="pct"/>
            <w:tcBorders>
              <w:top w:val="nil"/>
              <w:left w:val="nil"/>
              <w:bottom w:val="single" w:sz="4" w:space="0" w:color="auto"/>
              <w:right w:val="single" w:sz="4" w:space="0" w:color="auto"/>
            </w:tcBorders>
            <w:shd w:val="clear" w:color="000000" w:fill="FFFFFF"/>
            <w:noWrap/>
            <w:vAlign w:val="center"/>
            <w:hideMark/>
          </w:tcPr>
          <w:p w14:paraId="406F105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7.121</w:t>
            </w:r>
          </w:p>
        </w:tc>
        <w:tc>
          <w:tcPr>
            <w:tcW w:w="477" w:type="pct"/>
            <w:tcBorders>
              <w:top w:val="nil"/>
              <w:left w:val="nil"/>
              <w:bottom w:val="single" w:sz="4" w:space="0" w:color="auto"/>
              <w:right w:val="single" w:sz="4" w:space="0" w:color="auto"/>
            </w:tcBorders>
            <w:shd w:val="clear" w:color="auto" w:fill="auto"/>
            <w:noWrap/>
            <w:vAlign w:val="center"/>
            <w:hideMark/>
          </w:tcPr>
          <w:p w14:paraId="7FD2AB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7.843</w:t>
            </w:r>
          </w:p>
        </w:tc>
        <w:tc>
          <w:tcPr>
            <w:tcW w:w="469" w:type="pct"/>
            <w:tcBorders>
              <w:top w:val="nil"/>
              <w:left w:val="nil"/>
              <w:bottom w:val="single" w:sz="4" w:space="0" w:color="auto"/>
              <w:right w:val="single" w:sz="4" w:space="0" w:color="auto"/>
            </w:tcBorders>
            <w:shd w:val="clear" w:color="auto" w:fill="auto"/>
            <w:noWrap/>
            <w:vAlign w:val="center"/>
            <w:hideMark/>
          </w:tcPr>
          <w:p w14:paraId="500FFB8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6.221</w:t>
            </w:r>
          </w:p>
        </w:tc>
        <w:tc>
          <w:tcPr>
            <w:tcW w:w="462" w:type="pct"/>
            <w:tcBorders>
              <w:top w:val="nil"/>
              <w:left w:val="nil"/>
              <w:bottom w:val="single" w:sz="4" w:space="0" w:color="auto"/>
              <w:right w:val="single" w:sz="4" w:space="0" w:color="auto"/>
            </w:tcBorders>
            <w:shd w:val="clear" w:color="auto" w:fill="auto"/>
            <w:noWrap/>
            <w:vAlign w:val="center"/>
            <w:hideMark/>
          </w:tcPr>
          <w:p w14:paraId="103196E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4.218</w:t>
            </w:r>
          </w:p>
        </w:tc>
        <w:tc>
          <w:tcPr>
            <w:tcW w:w="456" w:type="pct"/>
            <w:tcBorders>
              <w:top w:val="nil"/>
              <w:left w:val="nil"/>
              <w:bottom w:val="single" w:sz="4" w:space="0" w:color="auto"/>
              <w:right w:val="single" w:sz="4" w:space="0" w:color="auto"/>
            </w:tcBorders>
            <w:shd w:val="clear" w:color="auto" w:fill="auto"/>
            <w:noWrap/>
            <w:vAlign w:val="center"/>
            <w:hideMark/>
          </w:tcPr>
          <w:p w14:paraId="5976F77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4.200</w:t>
            </w:r>
          </w:p>
        </w:tc>
      </w:tr>
      <w:tr w:rsidR="00ED2D37" w:rsidRPr="00ED2D37" w14:paraId="09AF42BB"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75BD3FAD"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abril</w:t>
            </w:r>
          </w:p>
        </w:tc>
        <w:tc>
          <w:tcPr>
            <w:tcW w:w="493" w:type="pct"/>
            <w:tcBorders>
              <w:top w:val="nil"/>
              <w:left w:val="nil"/>
              <w:bottom w:val="single" w:sz="4" w:space="0" w:color="auto"/>
              <w:right w:val="single" w:sz="4" w:space="0" w:color="auto"/>
            </w:tcBorders>
            <w:shd w:val="clear" w:color="000000" w:fill="FFFFFF"/>
            <w:noWrap/>
            <w:vAlign w:val="center"/>
            <w:hideMark/>
          </w:tcPr>
          <w:p w14:paraId="7840CD0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7.089</w:t>
            </w:r>
          </w:p>
        </w:tc>
        <w:tc>
          <w:tcPr>
            <w:tcW w:w="493" w:type="pct"/>
            <w:tcBorders>
              <w:top w:val="nil"/>
              <w:left w:val="nil"/>
              <w:bottom w:val="single" w:sz="4" w:space="0" w:color="auto"/>
              <w:right w:val="single" w:sz="4" w:space="0" w:color="auto"/>
            </w:tcBorders>
            <w:shd w:val="clear" w:color="000000" w:fill="FFFFFF"/>
            <w:noWrap/>
            <w:vAlign w:val="center"/>
            <w:hideMark/>
          </w:tcPr>
          <w:p w14:paraId="690759A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6.398</w:t>
            </w:r>
          </w:p>
        </w:tc>
        <w:tc>
          <w:tcPr>
            <w:tcW w:w="493" w:type="pct"/>
            <w:tcBorders>
              <w:top w:val="nil"/>
              <w:left w:val="nil"/>
              <w:bottom w:val="single" w:sz="4" w:space="0" w:color="auto"/>
              <w:right w:val="single" w:sz="4" w:space="0" w:color="auto"/>
            </w:tcBorders>
            <w:shd w:val="clear" w:color="000000" w:fill="FFFFFF"/>
            <w:noWrap/>
            <w:vAlign w:val="center"/>
            <w:hideMark/>
          </w:tcPr>
          <w:p w14:paraId="5A06D46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5.259</w:t>
            </w:r>
          </w:p>
        </w:tc>
        <w:tc>
          <w:tcPr>
            <w:tcW w:w="493" w:type="pct"/>
            <w:tcBorders>
              <w:top w:val="nil"/>
              <w:left w:val="nil"/>
              <w:bottom w:val="single" w:sz="4" w:space="0" w:color="auto"/>
              <w:right w:val="single" w:sz="4" w:space="0" w:color="auto"/>
            </w:tcBorders>
            <w:shd w:val="clear" w:color="000000" w:fill="FFFFFF"/>
            <w:noWrap/>
            <w:vAlign w:val="center"/>
            <w:hideMark/>
          </w:tcPr>
          <w:p w14:paraId="530F358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5.036</w:t>
            </w:r>
          </w:p>
        </w:tc>
        <w:tc>
          <w:tcPr>
            <w:tcW w:w="485" w:type="pct"/>
            <w:tcBorders>
              <w:top w:val="nil"/>
              <w:left w:val="nil"/>
              <w:bottom w:val="single" w:sz="4" w:space="0" w:color="auto"/>
              <w:right w:val="single" w:sz="4" w:space="0" w:color="auto"/>
            </w:tcBorders>
            <w:shd w:val="clear" w:color="000000" w:fill="FFFFFF"/>
            <w:noWrap/>
            <w:vAlign w:val="center"/>
            <w:hideMark/>
          </w:tcPr>
          <w:p w14:paraId="098477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6.075</w:t>
            </w:r>
          </w:p>
        </w:tc>
        <w:tc>
          <w:tcPr>
            <w:tcW w:w="477" w:type="pct"/>
            <w:tcBorders>
              <w:top w:val="nil"/>
              <w:left w:val="nil"/>
              <w:bottom w:val="single" w:sz="4" w:space="0" w:color="auto"/>
              <w:right w:val="single" w:sz="4" w:space="0" w:color="auto"/>
            </w:tcBorders>
            <w:shd w:val="clear" w:color="000000" w:fill="FFFFFF"/>
            <w:noWrap/>
            <w:vAlign w:val="center"/>
            <w:hideMark/>
          </w:tcPr>
          <w:p w14:paraId="39EED05B"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6.743</w:t>
            </w:r>
          </w:p>
        </w:tc>
        <w:tc>
          <w:tcPr>
            <w:tcW w:w="469" w:type="pct"/>
            <w:tcBorders>
              <w:top w:val="nil"/>
              <w:left w:val="nil"/>
              <w:bottom w:val="single" w:sz="4" w:space="0" w:color="auto"/>
              <w:right w:val="single" w:sz="4" w:space="0" w:color="auto"/>
            </w:tcBorders>
            <w:shd w:val="clear" w:color="000000" w:fill="FFFFFF"/>
            <w:noWrap/>
            <w:vAlign w:val="center"/>
            <w:hideMark/>
          </w:tcPr>
          <w:p w14:paraId="19BBFD9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5.308</w:t>
            </w:r>
          </w:p>
        </w:tc>
        <w:tc>
          <w:tcPr>
            <w:tcW w:w="462" w:type="pct"/>
            <w:tcBorders>
              <w:top w:val="nil"/>
              <w:left w:val="nil"/>
              <w:bottom w:val="single" w:sz="4" w:space="0" w:color="auto"/>
              <w:right w:val="single" w:sz="4" w:space="0" w:color="auto"/>
            </w:tcBorders>
            <w:shd w:val="clear" w:color="000000" w:fill="FFFFFF"/>
            <w:noWrap/>
            <w:vAlign w:val="center"/>
            <w:hideMark/>
          </w:tcPr>
          <w:p w14:paraId="5BFD3F9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auto" w:fill="auto"/>
            <w:noWrap/>
            <w:vAlign w:val="center"/>
            <w:hideMark/>
          </w:tcPr>
          <w:p w14:paraId="1D7E19C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1.776</w:t>
            </w:r>
          </w:p>
        </w:tc>
      </w:tr>
      <w:tr w:rsidR="00ED2D37" w:rsidRPr="00ED2D37" w14:paraId="1B16C7F1"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239FC13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mayo</w:t>
            </w:r>
          </w:p>
        </w:tc>
        <w:tc>
          <w:tcPr>
            <w:tcW w:w="493" w:type="pct"/>
            <w:tcBorders>
              <w:top w:val="nil"/>
              <w:left w:val="nil"/>
              <w:bottom w:val="single" w:sz="4" w:space="0" w:color="auto"/>
              <w:right w:val="single" w:sz="4" w:space="0" w:color="auto"/>
            </w:tcBorders>
            <w:shd w:val="clear" w:color="000000" w:fill="FFFFFF"/>
            <w:noWrap/>
            <w:vAlign w:val="center"/>
            <w:hideMark/>
          </w:tcPr>
          <w:p w14:paraId="42C37D0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7.823</w:t>
            </w:r>
          </w:p>
        </w:tc>
        <w:tc>
          <w:tcPr>
            <w:tcW w:w="493" w:type="pct"/>
            <w:tcBorders>
              <w:top w:val="nil"/>
              <w:left w:val="nil"/>
              <w:bottom w:val="single" w:sz="4" w:space="0" w:color="auto"/>
              <w:right w:val="single" w:sz="4" w:space="0" w:color="auto"/>
            </w:tcBorders>
            <w:shd w:val="clear" w:color="000000" w:fill="FFFFFF"/>
            <w:noWrap/>
            <w:vAlign w:val="center"/>
            <w:hideMark/>
          </w:tcPr>
          <w:p w14:paraId="60A00B3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7.177</w:t>
            </w:r>
          </w:p>
        </w:tc>
        <w:tc>
          <w:tcPr>
            <w:tcW w:w="493" w:type="pct"/>
            <w:tcBorders>
              <w:top w:val="nil"/>
              <w:left w:val="nil"/>
              <w:bottom w:val="single" w:sz="4" w:space="0" w:color="auto"/>
              <w:right w:val="single" w:sz="4" w:space="0" w:color="auto"/>
            </w:tcBorders>
            <w:shd w:val="clear" w:color="000000" w:fill="FFFFFF"/>
            <w:noWrap/>
            <w:vAlign w:val="center"/>
            <w:hideMark/>
          </w:tcPr>
          <w:p w14:paraId="76DA69F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5.847</w:t>
            </w:r>
          </w:p>
        </w:tc>
        <w:tc>
          <w:tcPr>
            <w:tcW w:w="493" w:type="pct"/>
            <w:tcBorders>
              <w:top w:val="nil"/>
              <w:left w:val="nil"/>
              <w:bottom w:val="single" w:sz="4" w:space="0" w:color="auto"/>
              <w:right w:val="single" w:sz="4" w:space="0" w:color="auto"/>
            </w:tcBorders>
            <w:shd w:val="clear" w:color="000000" w:fill="FFFFFF"/>
            <w:noWrap/>
            <w:vAlign w:val="center"/>
            <w:hideMark/>
          </w:tcPr>
          <w:p w14:paraId="341FD25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5.908</w:t>
            </w:r>
          </w:p>
        </w:tc>
        <w:tc>
          <w:tcPr>
            <w:tcW w:w="485" w:type="pct"/>
            <w:tcBorders>
              <w:top w:val="nil"/>
              <w:left w:val="nil"/>
              <w:bottom w:val="single" w:sz="4" w:space="0" w:color="auto"/>
              <w:right w:val="single" w:sz="4" w:space="0" w:color="auto"/>
            </w:tcBorders>
            <w:shd w:val="clear" w:color="000000" w:fill="FFFFFF"/>
            <w:noWrap/>
            <w:vAlign w:val="center"/>
            <w:hideMark/>
          </w:tcPr>
          <w:p w14:paraId="43D4401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5.845</w:t>
            </w:r>
          </w:p>
        </w:tc>
        <w:tc>
          <w:tcPr>
            <w:tcW w:w="477" w:type="pct"/>
            <w:tcBorders>
              <w:top w:val="nil"/>
              <w:left w:val="nil"/>
              <w:bottom w:val="single" w:sz="4" w:space="0" w:color="auto"/>
              <w:right w:val="single" w:sz="4" w:space="0" w:color="auto"/>
            </w:tcBorders>
            <w:shd w:val="clear" w:color="000000" w:fill="FFFFFF"/>
            <w:noWrap/>
            <w:vAlign w:val="center"/>
            <w:hideMark/>
          </w:tcPr>
          <w:p w14:paraId="40AAD9C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5.991</w:t>
            </w:r>
          </w:p>
        </w:tc>
        <w:tc>
          <w:tcPr>
            <w:tcW w:w="469" w:type="pct"/>
            <w:tcBorders>
              <w:top w:val="nil"/>
              <w:left w:val="nil"/>
              <w:bottom w:val="single" w:sz="4" w:space="0" w:color="auto"/>
              <w:right w:val="single" w:sz="4" w:space="0" w:color="auto"/>
            </w:tcBorders>
            <w:shd w:val="clear" w:color="000000" w:fill="FFFFFF"/>
            <w:noWrap/>
            <w:vAlign w:val="center"/>
            <w:hideMark/>
          </w:tcPr>
          <w:p w14:paraId="7571FFC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6.161</w:t>
            </w:r>
          </w:p>
        </w:tc>
        <w:tc>
          <w:tcPr>
            <w:tcW w:w="462" w:type="pct"/>
            <w:tcBorders>
              <w:top w:val="nil"/>
              <w:left w:val="nil"/>
              <w:bottom w:val="single" w:sz="4" w:space="0" w:color="auto"/>
              <w:right w:val="single" w:sz="4" w:space="0" w:color="auto"/>
            </w:tcBorders>
            <w:shd w:val="clear" w:color="000000" w:fill="FFFFFF"/>
            <w:noWrap/>
            <w:vAlign w:val="center"/>
            <w:hideMark/>
          </w:tcPr>
          <w:p w14:paraId="316DAC7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577E15C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8CCBE44"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4012F0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junio</w:t>
            </w:r>
          </w:p>
        </w:tc>
        <w:tc>
          <w:tcPr>
            <w:tcW w:w="493" w:type="pct"/>
            <w:tcBorders>
              <w:top w:val="nil"/>
              <w:left w:val="nil"/>
              <w:bottom w:val="single" w:sz="4" w:space="0" w:color="auto"/>
              <w:right w:val="single" w:sz="4" w:space="0" w:color="auto"/>
            </w:tcBorders>
            <w:shd w:val="clear" w:color="000000" w:fill="FFFFFF"/>
            <w:noWrap/>
            <w:vAlign w:val="center"/>
            <w:hideMark/>
          </w:tcPr>
          <w:p w14:paraId="4C77295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6.534</w:t>
            </w:r>
          </w:p>
        </w:tc>
        <w:tc>
          <w:tcPr>
            <w:tcW w:w="493" w:type="pct"/>
            <w:tcBorders>
              <w:top w:val="nil"/>
              <w:left w:val="nil"/>
              <w:bottom w:val="single" w:sz="4" w:space="0" w:color="auto"/>
              <w:right w:val="single" w:sz="4" w:space="0" w:color="auto"/>
            </w:tcBorders>
            <w:shd w:val="clear" w:color="000000" w:fill="FFFFFF"/>
            <w:noWrap/>
            <w:vAlign w:val="center"/>
            <w:hideMark/>
          </w:tcPr>
          <w:p w14:paraId="127AC99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6.506</w:t>
            </w:r>
          </w:p>
        </w:tc>
        <w:tc>
          <w:tcPr>
            <w:tcW w:w="493" w:type="pct"/>
            <w:tcBorders>
              <w:top w:val="nil"/>
              <w:left w:val="nil"/>
              <w:bottom w:val="single" w:sz="4" w:space="0" w:color="auto"/>
              <w:right w:val="single" w:sz="4" w:space="0" w:color="auto"/>
            </w:tcBorders>
            <w:shd w:val="clear" w:color="000000" w:fill="FFFFFF"/>
            <w:noWrap/>
            <w:vAlign w:val="center"/>
            <w:hideMark/>
          </w:tcPr>
          <w:p w14:paraId="0B94D33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5.827</w:t>
            </w:r>
          </w:p>
        </w:tc>
        <w:tc>
          <w:tcPr>
            <w:tcW w:w="493" w:type="pct"/>
            <w:tcBorders>
              <w:top w:val="nil"/>
              <w:left w:val="nil"/>
              <w:bottom w:val="single" w:sz="4" w:space="0" w:color="auto"/>
              <w:right w:val="single" w:sz="4" w:space="0" w:color="auto"/>
            </w:tcBorders>
            <w:shd w:val="clear" w:color="000000" w:fill="FFFFFF"/>
            <w:noWrap/>
            <w:vAlign w:val="center"/>
            <w:hideMark/>
          </w:tcPr>
          <w:p w14:paraId="6778B12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6.059</w:t>
            </w:r>
          </w:p>
        </w:tc>
        <w:tc>
          <w:tcPr>
            <w:tcW w:w="485" w:type="pct"/>
            <w:tcBorders>
              <w:top w:val="nil"/>
              <w:left w:val="nil"/>
              <w:bottom w:val="single" w:sz="4" w:space="0" w:color="auto"/>
              <w:right w:val="single" w:sz="4" w:space="0" w:color="auto"/>
            </w:tcBorders>
            <w:shd w:val="clear" w:color="000000" w:fill="FFFFFF"/>
            <w:noWrap/>
            <w:vAlign w:val="center"/>
            <w:hideMark/>
          </w:tcPr>
          <w:p w14:paraId="1C306DB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5.896</w:t>
            </w:r>
          </w:p>
        </w:tc>
        <w:tc>
          <w:tcPr>
            <w:tcW w:w="477" w:type="pct"/>
            <w:tcBorders>
              <w:top w:val="nil"/>
              <w:left w:val="nil"/>
              <w:bottom w:val="single" w:sz="4" w:space="0" w:color="auto"/>
              <w:right w:val="single" w:sz="4" w:space="0" w:color="auto"/>
            </w:tcBorders>
            <w:shd w:val="clear" w:color="000000" w:fill="FFFFFF"/>
            <w:noWrap/>
            <w:vAlign w:val="center"/>
            <w:hideMark/>
          </w:tcPr>
          <w:p w14:paraId="08EE1C2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4.218</w:t>
            </w:r>
          </w:p>
        </w:tc>
        <w:tc>
          <w:tcPr>
            <w:tcW w:w="469" w:type="pct"/>
            <w:tcBorders>
              <w:top w:val="nil"/>
              <w:left w:val="nil"/>
              <w:bottom w:val="single" w:sz="4" w:space="0" w:color="auto"/>
              <w:right w:val="single" w:sz="4" w:space="0" w:color="auto"/>
            </w:tcBorders>
            <w:shd w:val="clear" w:color="000000" w:fill="FFFFFF"/>
            <w:noWrap/>
            <w:vAlign w:val="center"/>
            <w:hideMark/>
          </w:tcPr>
          <w:p w14:paraId="31BB357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6.374</w:t>
            </w:r>
          </w:p>
        </w:tc>
        <w:tc>
          <w:tcPr>
            <w:tcW w:w="462" w:type="pct"/>
            <w:tcBorders>
              <w:top w:val="nil"/>
              <w:left w:val="nil"/>
              <w:bottom w:val="single" w:sz="4" w:space="0" w:color="auto"/>
              <w:right w:val="single" w:sz="4" w:space="0" w:color="auto"/>
            </w:tcBorders>
            <w:shd w:val="clear" w:color="000000" w:fill="FFFFFF"/>
            <w:noWrap/>
            <w:vAlign w:val="center"/>
            <w:hideMark/>
          </w:tcPr>
          <w:p w14:paraId="75FE4D7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37EF0CD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651184"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11AC23F4"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julio</w:t>
            </w:r>
          </w:p>
        </w:tc>
        <w:tc>
          <w:tcPr>
            <w:tcW w:w="493" w:type="pct"/>
            <w:tcBorders>
              <w:top w:val="nil"/>
              <w:left w:val="nil"/>
              <w:bottom w:val="single" w:sz="4" w:space="0" w:color="auto"/>
              <w:right w:val="single" w:sz="4" w:space="0" w:color="auto"/>
            </w:tcBorders>
            <w:shd w:val="clear" w:color="000000" w:fill="FFFFFF"/>
            <w:noWrap/>
            <w:vAlign w:val="center"/>
            <w:hideMark/>
          </w:tcPr>
          <w:p w14:paraId="13EBF4A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7.152</w:t>
            </w:r>
          </w:p>
        </w:tc>
        <w:tc>
          <w:tcPr>
            <w:tcW w:w="493" w:type="pct"/>
            <w:tcBorders>
              <w:top w:val="nil"/>
              <w:left w:val="nil"/>
              <w:bottom w:val="single" w:sz="4" w:space="0" w:color="auto"/>
              <w:right w:val="single" w:sz="4" w:space="0" w:color="auto"/>
            </w:tcBorders>
            <w:shd w:val="clear" w:color="000000" w:fill="FFFFFF"/>
            <w:noWrap/>
            <w:vAlign w:val="center"/>
            <w:hideMark/>
          </w:tcPr>
          <w:p w14:paraId="5E164AB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7.044</w:t>
            </w:r>
          </w:p>
        </w:tc>
        <w:tc>
          <w:tcPr>
            <w:tcW w:w="493" w:type="pct"/>
            <w:tcBorders>
              <w:top w:val="nil"/>
              <w:left w:val="nil"/>
              <w:bottom w:val="single" w:sz="4" w:space="0" w:color="auto"/>
              <w:right w:val="single" w:sz="4" w:space="0" w:color="auto"/>
            </w:tcBorders>
            <w:shd w:val="clear" w:color="000000" w:fill="FFFFFF"/>
            <w:noWrap/>
            <w:vAlign w:val="center"/>
            <w:hideMark/>
          </w:tcPr>
          <w:p w14:paraId="183C4AD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6.561</w:t>
            </w:r>
          </w:p>
        </w:tc>
        <w:tc>
          <w:tcPr>
            <w:tcW w:w="493" w:type="pct"/>
            <w:tcBorders>
              <w:top w:val="nil"/>
              <w:left w:val="nil"/>
              <w:bottom w:val="single" w:sz="4" w:space="0" w:color="auto"/>
              <w:right w:val="single" w:sz="4" w:space="0" w:color="auto"/>
            </w:tcBorders>
            <w:shd w:val="clear" w:color="000000" w:fill="FFFFFF"/>
            <w:noWrap/>
            <w:vAlign w:val="center"/>
            <w:hideMark/>
          </w:tcPr>
          <w:p w14:paraId="5C0FA1B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6.267</w:t>
            </w:r>
          </w:p>
        </w:tc>
        <w:tc>
          <w:tcPr>
            <w:tcW w:w="485" w:type="pct"/>
            <w:tcBorders>
              <w:top w:val="nil"/>
              <w:left w:val="nil"/>
              <w:bottom w:val="single" w:sz="4" w:space="0" w:color="auto"/>
              <w:right w:val="single" w:sz="4" w:space="0" w:color="auto"/>
            </w:tcBorders>
            <w:shd w:val="clear" w:color="000000" w:fill="FFFFFF"/>
            <w:noWrap/>
            <w:vAlign w:val="center"/>
            <w:hideMark/>
          </w:tcPr>
          <w:p w14:paraId="5EBD0A7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7.788</w:t>
            </w:r>
          </w:p>
        </w:tc>
        <w:tc>
          <w:tcPr>
            <w:tcW w:w="477" w:type="pct"/>
            <w:tcBorders>
              <w:top w:val="nil"/>
              <w:left w:val="nil"/>
              <w:bottom w:val="single" w:sz="4" w:space="0" w:color="auto"/>
              <w:right w:val="single" w:sz="4" w:space="0" w:color="auto"/>
            </w:tcBorders>
            <w:shd w:val="clear" w:color="000000" w:fill="FFFFFF"/>
            <w:noWrap/>
            <w:vAlign w:val="center"/>
            <w:hideMark/>
          </w:tcPr>
          <w:p w14:paraId="1546FDD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5.048</w:t>
            </w:r>
          </w:p>
        </w:tc>
        <w:tc>
          <w:tcPr>
            <w:tcW w:w="469" w:type="pct"/>
            <w:tcBorders>
              <w:top w:val="nil"/>
              <w:left w:val="nil"/>
              <w:bottom w:val="single" w:sz="4" w:space="0" w:color="auto"/>
              <w:right w:val="single" w:sz="4" w:space="0" w:color="auto"/>
            </w:tcBorders>
            <w:shd w:val="clear" w:color="000000" w:fill="FFFFFF"/>
            <w:noWrap/>
            <w:vAlign w:val="center"/>
            <w:hideMark/>
          </w:tcPr>
          <w:p w14:paraId="5F8460E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5.853</w:t>
            </w:r>
          </w:p>
        </w:tc>
        <w:tc>
          <w:tcPr>
            <w:tcW w:w="462" w:type="pct"/>
            <w:tcBorders>
              <w:top w:val="nil"/>
              <w:left w:val="nil"/>
              <w:bottom w:val="single" w:sz="4" w:space="0" w:color="auto"/>
              <w:right w:val="single" w:sz="4" w:space="0" w:color="auto"/>
            </w:tcBorders>
            <w:shd w:val="clear" w:color="000000" w:fill="FFFFFF"/>
            <w:noWrap/>
            <w:vAlign w:val="center"/>
            <w:hideMark/>
          </w:tcPr>
          <w:p w14:paraId="7485F17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518DCFA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3ACF1FCC"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685DBD7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agosto</w:t>
            </w:r>
          </w:p>
        </w:tc>
        <w:tc>
          <w:tcPr>
            <w:tcW w:w="493" w:type="pct"/>
            <w:tcBorders>
              <w:top w:val="nil"/>
              <w:left w:val="nil"/>
              <w:bottom w:val="single" w:sz="4" w:space="0" w:color="auto"/>
              <w:right w:val="single" w:sz="4" w:space="0" w:color="auto"/>
            </w:tcBorders>
            <w:shd w:val="clear" w:color="000000" w:fill="FFFFFF"/>
            <w:noWrap/>
            <w:vAlign w:val="center"/>
            <w:hideMark/>
          </w:tcPr>
          <w:p w14:paraId="6F3B114A"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4.156</w:t>
            </w:r>
          </w:p>
        </w:tc>
        <w:tc>
          <w:tcPr>
            <w:tcW w:w="493" w:type="pct"/>
            <w:tcBorders>
              <w:top w:val="nil"/>
              <w:left w:val="nil"/>
              <w:bottom w:val="single" w:sz="4" w:space="0" w:color="auto"/>
              <w:right w:val="single" w:sz="4" w:space="0" w:color="auto"/>
            </w:tcBorders>
            <w:shd w:val="clear" w:color="000000" w:fill="FFFFFF"/>
            <w:noWrap/>
            <w:vAlign w:val="center"/>
            <w:hideMark/>
          </w:tcPr>
          <w:p w14:paraId="48133C8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5.224</w:t>
            </w:r>
          </w:p>
        </w:tc>
        <w:tc>
          <w:tcPr>
            <w:tcW w:w="493" w:type="pct"/>
            <w:tcBorders>
              <w:top w:val="nil"/>
              <w:left w:val="nil"/>
              <w:bottom w:val="single" w:sz="4" w:space="0" w:color="auto"/>
              <w:right w:val="single" w:sz="4" w:space="0" w:color="auto"/>
            </w:tcBorders>
            <w:shd w:val="clear" w:color="000000" w:fill="FFFFFF"/>
            <w:noWrap/>
            <w:vAlign w:val="center"/>
            <w:hideMark/>
          </w:tcPr>
          <w:p w14:paraId="25057EE1"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6.223</w:t>
            </w:r>
          </w:p>
        </w:tc>
        <w:tc>
          <w:tcPr>
            <w:tcW w:w="493" w:type="pct"/>
            <w:tcBorders>
              <w:top w:val="nil"/>
              <w:left w:val="nil"/>
              <w:bottom w:val="single" w:sz="4" w:space="0" w:color="auto"/>
              <w:right w:val="single" w:sz="4" w:space="0" w:color="auto"/>
            </w:tcBorders>
            <w:shd w:val="clear" w:color="000000" w:fill="FFFFFF"/>
            <w:noWrap/>
            <w:vAlign w:val="center"/>
            <w:hideMark/>
          </w:tcPr>
          <w:p w14:paraId="5EE138E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5.772</w:t>
            </w:r>
          </w:p>
        </w:tc>
        <w:tc>
          <w:tcPr>
            <w:tcW w:w="485" w:type="pct"/>
            <w:tcBorders>
              <w:top w:val="nil"/>
              <w:left w:val="nil"/>
              <w:bottom w:val="single" w:sz="4" w:space="0" w:color="auto"/>
              <w:right w:val="single" w:sz="4" w:space="0" w:color="auto"/>
            </w:tcBorders>
            <w:shd w:val="clear" w:color="000000" w:fill="FFFFFF"/>
            <w:noWrap/>
            <w:vAlign w:val="center"/>
            <w:hideMark/>
          </w:tcPr>
          <w:p w14:paraId="0151EF5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7.717</w:t>
            </w:r>
          </w:p>
        </w:tc>
        <w:tc>
          <w:tcPr>
            <w:tcW w:w="477" w:type="pct"/>
            <w:tcBorders>
              <w:top w:val="nil"/>
              <w:left w:val="nil"/>
              <w:bottom w:val="single" w:sz="4" w:space="0" w:color="auto"/>
              <w:right w:val="single" w:sz="4" w:space="0" w:color="auto"/>
            </w:tcBorders>
            <w:shd w:val="clear" w:color="000000" w:fill="FFFFFF"/>
            <w:noWrap/>
            <w:vAlign w:val="center"/>
            <w:hideMark/>
          </w:tcPr>
          <w:p w14:paraId="3F5766CC"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5.693</w:t>
            </w:r>
          </w:p>
        </w:tc>
        <w:tc>
          <w:tcPr>
            <w:tcW w:w="469" w:type="pct"/>
            <w:tcBorders>
              <w:top w:val="nil"/>
              <w:left w:val="nil"/>
              <w:bottom w:val="single" w:sz="4" w:space="0" w:color="auto"/>
              <w:right w:val="single" w:sz="4" w:space="0" w:color="auto"/>
            </w:tcBorders>
            <w:shd w:val="clear" w:color="000000" w:fill="FFFFFF"/>
            <w:noWrap/>
            <w:vAlign w:val="center"/>
            <w:hideMark/>
          </w:tcPr>
          <w:p w14:paraId="170F6E9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6.404</w:t>
            </w:r>
          </w:p>
        </w:tc>
        <w:tc>
          <w:tcPr>
            <w:tcW w:w="462" w:type="pct"/>
            <w:tcBorders>
              <w:top w:val="nil"/>
              <w:left w:val="nil"/>
              <w:bottom w:val="single" w:sz="4" w:space="0" w:color="auto"/>
              <w:right w:val="single" w:sz="4" w:space="0" w:color="auto"/>
            </w:tcBorders>
            <w:shd w:val="clear" w:color="000000" w:fill="FFFFFF"/>
            <w:noWrap/>
            <w:vAlign w:val="center"/>
            <w:hideMark/>
          </w:tcPr>
          <w:p w14:paraId="4611501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2139A08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B7F6C2"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3703B20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septiembre</w:t>
            </w:r>
          </w:p>
        </w:tc>
        <w:tc>
          <w:tcPr>
            <w:tcW w:w="493" w:type="pct"/>
            <w:tcBorders>
              <w:top w:val="nil"/>
              <w:left w:val="nil"/>
              <w:bottom w:val="single" w:sz="4" w:space="0" w:color="auto"/>
              <w:right w:val="single" w:sz="4" w:space="0" w:color="auto"/>
            </w:tcBorders>
            <w:shd w:val="clear" w:color="000000" w:fill="FFFFFF"/>
            <w:noWrap/>
            <w:vAlign w:val="center"/>
            <w:hideMark/>
          </w:tcPr>
          <w:p w14:paraId="23D14CA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6.130</w:t>
            </w:r>
          </w:p>
        </w:tc>
        <w:tc>
          <w:tcPr>
            <w:tcW w:w="493" w:type="pct"/>
            <w:tcBorders>
              <w:top w:val="nil"/>
              <w:left w:val="nil"/>
              <w:bottom w:val="single" w:sz="4" w:space="0" w:color="auto"/>
              <w:right w:val="single" w:sz="4" w:space="0" w:color="auto"/>
            </w:tcBorders>
            <w:shd w:val="clear" w:color="000000" w:fill="FFFFFF"/>
            <w:noWrap/>
            <w:vAlign w:val="center"/>
            <w:hideMark/>
          </w:tcPr>
          <w:p w14:paraId="2F76462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4.959</w:t>
            </w:r>
          </w:p>
        </w:tc>
        <w:tc>
          <w:tcPr>
            <w:tcW w:w="493" w:type="pct"/>
            <w:tcBorders>
              <w:top w:val="nil"/>
              <w:left w:val="nil"/>
              <w:bottom w:val="single" w:sz="4" w:space="0" w:color="auto"/>
              <w:right w:val="single" w:sz="4" w:space="0" w:color="auto"/>
            </w:tcBorders>
            <w:shd w:val="clear" w:color="000000" w:fill="FFFFFF"/>
            <w:noWrap/>
            <w:vAlign w:val="center"/>
            <w:hideMark/>
          </w:tcPr>
          <w:p w14:paraId="676F56A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5.452</w:t>
            </w:r>
          </w:p>
        </w:tc>
        <w:tc>
          <w:tcPr>
            <w:tcW w:w="493" w:type="pct"/>
            <w:tcBorders>
              <w:top w:val="nil"/>
              <w:left w:val="nil"/>
              <w:bottom w:val="single" w:sz="4" w:space="0" w:color="auto"/>
              <w:right w:val="single" w:sz="4" w:space="0" w:color="auto"/>
            </w:tcBorders>
            <w:shd w:val="clear" w:color="000000" w:fill="FFFFFF"/>
            <w:noWrap/>
            <w:vAlign w:val="center"/>
            <w:hideMark/>
          </w:tcPr>
          <w:p w14:paraId="355C663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5.735</w:t>
            </w:r>
          </w:p>
        </w:tc>
        <w:tc>
          <w:tcPr>
            <w:tcW w:w="485" w:type="pct"/>
            <w:tcBorders>
              <w:top w:val="nil"/>
              <w:left w:val="nil"/>
              <w:bottom w:val="single" w:sz="4" w:space="0" w:color="auto"/>
              <w:right w:val="single" w:sz="4" w:space="0" w:color="auto"/>
            </w:tcBorders>
            <w:shd w:val="clear" w:color="000000" w:fill="FFFFFF"/>
            <w:noWrap/>
            <w:vAlign w:val="center"/>
            <w:hideMark/>
          </w:tcPr>
          <w:p w14:paraId="34CA172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7.031</w:t>
            </w:r>
          </w:p>
        </w:tc>
        <w:tc>
          <w:tcPr>
            <w:tcW w:w="477" w:type="pct"/>
            <w:tcBorders>
              <w:top w:val="nil"/>
              <w:left w:val="nil"/>
              <w:bottom w:val="single" w:sz="4" w:space="0" w:color="auto"/>
              <w:right w:val="single" w:sz="4" w:space="0" w:color="auto"/>
            </w:tcBorders>
            <w:shd w:val="clear" w:color="000000" w:fill="FFFFFF"/>
            <w:noWrap/>
            <w:vAlign w:val="center"/>
            <w:hideMark/>
          </w:tcPr>
          <w:p w14:paraId="47E6544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6.400</w:t>
            </w:r>
          </w:p>
        </w:tc>
        <w:tc>
          <w:tcPr>
            <w:tcW w:w="469" w:type="pct"/>
            <w:tcBorders>
              <w:top w:val="nil"/>
              <w:left w:val="nil"/>
              <w:bottom w:val="single" w:sz="4" w:space="0" w:color="auto"/>
              <w:right w:val="single" w:sz="4" w:space="0" w:color="auto"/>
            </w:tcBorders>
            <w:shd w:val="clear" w:color="000000" w:fill="FFFFFF"/>
            <w:noWrap/>
            <w:vAlign w:val="center"/>
            <w:hideMark/>
          </w:tcPr>
          <w:p w14:paraId="6A3D362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6.111</w:t>
            </w:r>
          </w:p>
        </w:tc>
        <w:tc>
          <w:tcPr>
            <w:tcW w:w="462" w:type="pct"/>
            <w:tcBorders>
              <w:top w:val="nil"/>
              <w:left w:val="nil"/>
              <w:bottom w:val="single" w:sz="4" w:space="0" w:color="auto"/>
              <w:right w:val="single" w:sz="4" w:space="0" w:color="auto"/>
            </w:tcBorders>
            <w:shd w:val="clear" w:color="000000" w:fill="FFFFFF"/>
            <w:noWrap/>
            <w:vAlign w:val="center"/>
            <w:hideMark/>
          </w:tcPr>
          <w:p w14:paraId="4954A0F6"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0</w:t>
            </w:r>
          </w:p>
        </w:tc>
        <w:tc>
          <w:tcPr>
            <w:tcW w:w="456" w:type="pct"/>
            <w:tcBorders>
              <w:top w:val="nil"/>
              <w:left w:val="nil"/>
              <w:bottom w:val="single" w:sz="4" w:space="0" w:color="auto"/>
              <w:right w:val="single" w:sz="4" w:space="0" w:color="auto"/>
            </w:tcBorders>
            <w:shd w:val="clear" w:color="000000" w:fill="FFFFFF"/>
            <w:noWrap/>
            <w:vAlign w:val="center"/>
            <w:hideMark/>
          </w:tcPr>
          <w:p w14:paraId="4EAFC8D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7FFD1D7"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4823B7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octubre</w:t>
            </w:r>
          </w:p>
        </w:tc>
        <w:tc>
          <w:tcPr>
            <w:tcW w:w="493" w:type="pct"/>
            <w:tcBorders>
              <w:top w:val="nil"/>
              <w:left w:val="nil"/>
              <w:bottom w:val="single" w:sz="4" w:space="0" w:color="auto"/>
              <w:right w:val="single" w:sz="4" w:space="0" w:color="auto"/>
            </w:tcBorders>
            <w:shd w:val="clear" w:color="000000" w:fill="FFFFFF"/>
            <w:noWrap/>
            <w:vAlign w:val="center"/>
            <w:hideMark/>
          </w:tcPr>
          <w:p w14:paraId="2330B0B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4.193</w:t>
            </w:r>
          </w:p>
        </w:tc>
        <w:tc>
          <w:tcPr>
            <w:tcW w:w="493" w:type="pct"/>
            <w:tcBorders>
              <w:top w:val="nil"/>
              <w:left w:val="nil"/>
              <w:bottom w:val="single" w:sz="4" w:space="0" w:color="auto"/>
              <w:right w:val="single" w:sz="4" w:space="0" w:color="auto"/>
            </w:tcBorders>
            <w:shd w:val="clear" w:color="000000" w:fill="FFFFFF"/>
            <w:noWrap/>
            <w:vAlign w:val="center"/>
            <w:hideMark/>
          </w:tcPr>
          <w:p w14:paraId="1DF7CD1F"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6.098</w:t>
            </w:r>
          </w:p>
        </w:tc>
        <w:tc>
          <w:tcPr>
            <w:tcW w:w="493" w:type="pct"/>
            <w:tcBorders>
              <w:top w:val="nil"/>
              <w:left w:val="nil"/>
              <w:bottom w:val="single" w:sz="4" w:space="0" w:color="auto"/>
              <w:right w:val="single" w:sz="4" w:space="0" w:color="auto"/>
            </w:tcBorders>
            <w:shd w:val="clear" w:color="000000" w:fill="FFFFFF"/>
            <w:noWrap/>
            <w:vAlign w:val="center"/>
            <w:hideMark/>
          </w:tcPr>
          <w:p w14:paraId="4684EF0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5.789</w:t>
            </w:r>
          </w:p>
        </w:tc>
        <w:tc>
          <w:tcPr>
            <w:tcW w:w="493" w:type="pct"/>
            <w:tcBorders>
              <w:top w:val="nil"/>
              <w:left w:val="nil"/>
              <w:bottom w:val="single" w:sz="4" w:space="0" w:color="auto"/>
              <w:right w:val="single" w:sz="4" w:space="0" w:color="auto"/>
            </w:tcBorders>
            <w:shd w:val="clear" w:color="000000" w:fill="FFFFFF"/>
            <w:noWrap/>
            <w:vAlign w:val="center"/>
            <w:hideMark/>
          </w:tcPr>
          <w:p w14:paraId="74D2FEC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7.057</w:t>
            </w:r>
          </w:p>
        </w:tc>
        <w:tc>
          <w:tcPr>
            <w:tcW w:w="485" w:type="pct"/>
            <w:tcBorders>
              <w:top w:val="nil"/>
              <w:left w:val="nil"/>
              <w:bottom w:val="single" w:sz="4" w:space="0" w:color="auto"/>
              <w:right w:val="single" w:sz="4" w:space="0" w:color="auto"/>
            </w:tcBorders>
            <w:shd w:val="clear" w:color="000000" w:fill="FFFFFF"/>
            <w:noWrap/>
            <w:vAlign w:val="center"/>
            <w:hideMark/>
          </w:tcPr>
          <w:p w14:paraId="5D847E8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6.763</w:t>
            </w:r>
          </w:p>
        </w:tc>
        <w:tc>
          <w:tcPr>
            <w:tcW w:w="477" w:type="pct"/>
            <w:tcBorders>
              <w:top w:val="nil"/>
              <w:left w:val="nil"/>
              <w:bottom w:val="single" w:sz="4" w:space="0" w:color="auto"/>
              <w:right w:val="single" w:sz="4" w:space="0" w:color="auto"/>
            </w:tcBorders>
            <w:shd w:val="clear" w:color="000000" w:fill="FFFFFF"/>
            <w:noWrap/>
            <w:vAlign w:val="center"/>
            <w:hideMark/>
          </w:tcPr>
          <w:p w14:paraId="3EF67B9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6.852</w:t>
            </w:r>
          </w:p>
        </w:tc>
        <w:tc>
          <w:tcPr>
            <w:tcW w:w="469" w:type="pct"/>
            <w:tcBorders>
              <w:top w:val="nil"/>
              <w:left w:val="nil"/>
              <w:bottom w:val="single" w:sz="4" w:space="0" w:color="auto"/>
              <w:right w:val="single" w:sz="4" w:space="0" w:color="auto"/>
            </w:tcBorders>
            <w:shd w:val="clear" w:color="000000" w:fill="FFFFFF"/>
            <w:noWrap/>
            <w:vAlign w:val="center"/>
            <w:hideMark/>
          </w:tcPr>
          <w:p w14:paraId="10EF864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6.693</w:t>
            </w:r>
          </w:p>
        </w:tc>
        <w:tc>
          <w:tcPr>
            <w:tcW w:w="462" w:type="pct"/>
            <w:tcBorders>
              <w:top w:val="nil"/>
              <w:left w:val="nil"/>
              <w:bottom w:val="single" w:sz="4" w:space="0" w:color="auto"/>
              <w:right w:val="single" w:sz="4" w:space="0" w:color="auto"/>
            </w:tcBorders>
            <w:shd w:val="clear" w:color="000000" w:fill="FFFFFF"/>
            <w:noWrap/>
            <w:vAlign w:val="center"/>
            <w:hideMark/>
          </w:tcPr>
          <w:p w14:paraId="4FFF1D6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1.494</w:t>
            </w:r>
          </w:p>
        </w:tc>
        <w:tc>
          <w:tcPr>
            <w:tcW w:w="456" w:type="pct"/>
            <w:tcBorders>
              <w:top w:val="nil"/>
              <w:left w:val="nil"/>
              <w:bottom w:val="single" w:sz="4" w:space="0" w:color="auto"/>
              <w:right w:val="single" w:sz="4" w:space="0" w:color="auto"/>
            </w:tcBorders>
            <w:shd w:val="clear" w:color="000000" w:fill="FFFFFF"/>
            <w:noWrap/>
            <w:vAlign w:val="center"/>
            <w:hideMark/>
          </w:tcPr>
          <w:p w14:paraId="0917901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48B7773E"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5C221F3D"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noviembre</w:t>
            </w:r>
          </w:p>
        </w:tc>
        <w:tc>
          <w:tcPr>
            <w:tcW w:w="493" w:type="pct"/>
            <w:tcBorders>
              <w:top w:val="nil"/>
              <w:left w:val="nil"/>
              <w:bottom w:val="single" w:sz="4" w:space="0" w:color="auto"/>
              <w:right w:val="single" w:sz="4" w:space="0" w:color="auto"/>
            </w:tcBorders>
            <w:shd w:val="clear" w:color="000000" w:fill="FFFFFF"/>
            <w:noWrap/>
            <w:vAlign w:val="center"/>
            <w:hideMark/>
          </w:tcPr>
          <w:p w14:paraId="241543D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4.717</w:t>
            </w:r>
          </w:p>
        </w:tc>
        <w:tc>
          <w:tcPr>
            <w:tcW w:w="493" w:type="pct"/>
            <w:tcBorders>
              <w:top w:val="nil"/>
              <w:left w:val="nil"/>
              <w:bottom w:val="single" w:sz="4" w:space="0" w:color="auto"/>
              <w:right w:val="single" w:sz="4" w:space="0" w:color="auto"/>
            </w:tcBorders>
            <w:shd w:val="clear" w:color="000000" w:fill="FFFFFF"/>
            <w:noWrap/>
            <w:vAlign w:val="center"/>
            <w:hideMark/>
          </w:tcPr>
          <w:p w14:paraId="5ED8A9C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6.306</w:t>
            </w:r>
          </w:p>
        </w:tc>
        <w:tc>
          <w:tcPr>
            <w:tcW w:w="493" w:type="pct"/>
            <w:tcBorders>
              <w:top w:val="nil"/>
              <w:left w:val="nil"/>
              <w:bottom w:val="single" w:sz="4" w:space="0" w:color="auto"/>
              <w:right w:val="single" w:sz="4" w:space="0" w:color="auto"/>
            </w:tcBorders>
            <w:shd w:val="clear" w:color="000000" w:fill="FFFFFF"/>
            <w:noWrap/>
            <w:vAlign w:val="center"/>
            <w:hideMark/>
          </w:tcPr>
          <w:p w14:paraId="38F54DB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6.248</w:t>
            </w:r>
          </w:p>
        </w:tc>
        <w:tc>
          <w:tcPr>
            <w:tcW w:w="493" w:type="pct"/>
            <w:tcBorders>
              <w:top w:val="nil"/>
              <w:left w:val="nil"/>
              <w:bottom w:val="single" w:sz="4" w:space="0" w:color="auto"/>
              <w:right w:val="single" w:sz="4" w:space="0" w:color="auto"/>
            </w:tcBorders>
            <w:shd w:val="clear" w:color="000000" w:fill="FFFFFF"/>
            <w:noWrap/>
            <w:vAlign w:val="center"/>
            <w:hideMark/>
          </w:tcPr>
          <w:p w14:paraId="35B3684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6.745</w:t>
            </w:r>
          </w:p>
        </w:tc>
        <w:tc>
          <w:tcPr>
            <w:tcW w:w="485" w:type="pct"/>
            <w:tcBorders>
              <w:top w:val="nil"/>
              <w:left w:val="nil"/>
              <w:bottom w:val="single" w:sz="4" w:space="0" w:color="auto"/>
              <w:right w:val="single" w:sz="4" w:space="0" w:color="auto"/>
            </w:tcBorders>
            <w:shd w:val="clear" w:color="auto" w:fill="auto"/>
            <w:noWrap/>
            <w:vAlign w:val="center"/>
            <w:hideMark/>
          </w:tcPr>
          <w:p w14:paraId="3EB557B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7.013</w:t>
            </w:r>
          </w:p>
        </w:tc>
        <w:tc>
          <w:tcPr>
            <w:tcW w:w="477" w:type="pct"/>
            <w:tcBorders>
              <w:top w:val="nil"/>
              <w:left w:val="nil"/>
              <w:bottom w:val="single" w:sz="4" w:space="0" w:color="auto"/>
              <w:right w:val="single" w:sz="4" w:space="0" w:color="auto"/>
            </w:tcBorders>
            <w:shd w:val="clear" w:color="auto" w:fill="auto"/>
            <w:noWrap/>
            <w:vAlign w:val="center"/>
            <w:hideMark/>
          </w:tcPr>
          <w:p w14:paraId="4DF3107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6.132</w:t>
            </w:r>
          </w:p>
        </w:tc>
        <w:tc>
          <w:tcPr>
            <w:tcW w:w="469" w:type="pct"/>
            <w:tcBorders>
              <w:top w:val="nil"/>
              <w:left w:val="nil"/>
              <w:bottom w:val="single" w:sz="4" w:space="0" w:color="auto"/>
              <w:right w:val="single" w:sz="4" w:space="0" w:color="auto"/>
            </w:tcBorders>
            <w:shd w:val="clear" w:color="auto" w:fill="auto"/>
            <w:noWrap/>
            <w:vAlign w:val="center"/>
            <w:hideMark/>
          </w:tcPr>
          <w:p w14:paraId="00CAE71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5.457</w:t>
            </w:r>
          </w:p>
        </w:tc>
        <w:tc>
          <w:tcPr>
            <w:tcW w:w="462" w:type="pct"/>
            <w:tcBorders>
              <w:top w:val="nil"/>
              <w:left w:val="nil"/>
              <w:bottom w:val="single" w:sz="4" w:space="0" w:color="auto"/>
              <w:right w:val="single" w:sz="4" w:space="0" w:color="auto"/>
            </w:tcBorders>
            <w:shd w:val="clear" w:color="auto" w:fill="auto"/>
            <w:noWrap/>
            <w:vAlign w:val="center"/>
            <w:hideMark/>
          </w:tcPr>
          <w:p w14:paraId="03112D7D"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2.038</w:t>
            </w:r>
          </w:p>
        </w:tc>
        <w:tc>
          <w:tcPr>
            <w:tcW w:w="456" w:type="pct"/>
            <w:tcBorders>
              <w:top w:val="nil"/>
              <w:left w:val="nil"/>
              <w:bottom w:val="single" w:sz="4" w:space="0" w:color="auto"/>
              <w:right w:val="single" w:sz="4" w:space="0" w:color="auto"/>
            </w:tcBorders>
            <w:shd w:val="clear" w:color="auto" w:fill="auto"/>
            <w:noWrap/>
            <w:vAlign w:val="center"/>
            <w:hideMark/>
          </w:tcPr>
          <w:p w14:paraId="450AC1BE"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10DEC608"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14:paraId="41664F4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diciembre</w:t>
            </w:r>
          </w:p>
        </w:tc>
        <w:tc>
          <w:tcPr>
            <w:tcW w:w="493" w:type="pct"/>
            <w:tcBorders>
              <w:top w:val="nil"/>
              <w:left w:val="nil"/>
              <w:bottom w:val="single" w:sz="4" w:space="0" w:color="auto"/>
              <w:right w:val="single" w:sz="4" w:space="0" w:color="auto"/>
            </w:tcBorders>
            <w:shd w:val="clear" w:color="000000" w:fill="FFFFFF"/>
            <w:noWrap/>
            <w:vAlign w:val="center"/>
            <w:hideMark/>
          </w:tcPr>
          <w:p w14:paraId="0CFB404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6.830</w:t>
            </w:r>
          </w:p>
        </w:tc>
        <w:tc>
          <w:tcPr>
            <w:tcW w:w="493" w:type="pct"/>
            <w:tcBorders>
              <w:top w:val="nil"/>
              <w:left w:val="nil"/>
              <w:bottom w:val="single" w:sz="4" w:space="0" w:color="auto"/>
              <w:right w:val="single" w:sz="4" w:space="0" w:color="auto"/>
            </w:tcBorders>
            <w:shd w:val="clear" w:color="000000" w:fill="FFFFFF"/>
            <w:noWrap/>
            <w:vAlign w:val="center"/>
            <w:hideMark/>
          </w:tcPr>
          <w:p w14:paraId="1DDD2767"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7.662</w:t>
            </w:r>
          </w:p>
        </w:tc>
        <w:tc>
          <w:tcPr>
            <w:tcW w:w="493" w:type="pct"/>
            <w:tcBorders>
              <w:top w:val="nil"/>
              <w:left w:val="nil"/>
              <w:bottom w:val="single" w:sz="4" w:space="0" w:color="auto"/>
              <w:right w:val="single" w:sz="4" w:space="0" w:color="auto"/>
            </w:tcBorders>
            <w:shd w:val="clear" w:color="000000" w:fill="FFFFFF"/>
            <w:noWrap/>
            <w:vAlign w:val="center"/>
            <w:hideMark/>
          </w:tcPr>
          <w:p w14:paraId="483D64D2"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8.070</w:t>
            </w:r>
          </w:p>
        </w:tc>
        <w:tc>
          <w:tcPr>
            <w:tcW w:w="493" w:type="pct"/>
            <w:tcBorders>
              <w:top w:val="nil"/>
              <w:left w:val="nil"/>
              <w:bottom w:val="single" w:sz="4" w:space="0" w:color="auto"/>
              <w:right w:val="single" w:sz="4" w:space="0" w:color="auto"/>
            </w:tcBorders>
            <w:shd w:val="clear" w:color="000000" w:fill="FFFFFF"/>
            <w:noWrap/>
            <w:vAlign w:val="center"/>
            <w:hideMark/>
          </w:tcPr>
          <w:p w14:paraId="7651B449"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8.138</w:t>
            </w:r>
          </w:p>
        </w:tc>
        <w:tc>
          <w:tcPr>
            <w:tcW w:w="485" w:type="pct"/>
            <w:tcBorders>
              <w:top w:val="nil"/>
              <w:left w:val="nil"/>
              <w:bottom w:val="single" w:sz="4" w:space="0" w:color="auto"/>
              <w:right w:val="single" w:sz="4" w:space="0" w:color="auto"/>
            </w:tcBorders>
            <w:shd w:val="clear" w:color="000000" w:fill="FFFFFF"/>
            <w:noWrap/>
            <w:vAlign w:val="center"/>
            <w:hideMark/>
          </w:tcPr>
          <w:p w14:paraId="377E5938"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6.758</w:t>
            </w:r>
          </w:p>
        </w:tc>
        <w:tc>
          <w:tcPr>
            <w:tcW w:w="477" w:type="pct"/>
            <w:tcBorders>
              <w:top w:val="nil"/>
              <w:left w:val="nil"/>
              <w:bottom w:val="single" w:sz="4" w:space="0" w:color="auto"/>
              <w:right w:val="single" w:sz="4" w:space="0" w:color="auto"/>
            </w:tcBorders>
            <w:shd w:val="clear" w:color="000000" w:fill="FFFFFF"/>
            <w:noWrap/>
            <w:vAlign w:val="center"/>
            <w:hideMark/>
          </w:tcPr>
          <w:p w14:paraId="05318733"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8.880</w:t>
            </w:r>
          </w:p>
        </w:tc>
        <w:tc>
          <w:tcPr>
            <w:tcW w:w="469" w:type="pct"/>
            <w:tcBorders>
              <w:top w:val="nil"/>
              <w:left w:val="nil"/>
              <w:bottom w:val="single" w:sz="4" w:space="0" w:color="auto"/>
              <w:right w:val="single" w:sz="4" w:space="0" w:color="auto"/>
            </w:tcBorders>
            <w:shd w:val="clear" w:color="000000" w:fill="FFFFFF"/>
            <w:noWrap/>
            <w:vAlign w:val="center"/>
            <w:hideMark/>
          </w:tcPr>
          <w:p w14:paraId="581C5870"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6.900</w:t>
            </w:r>
          </w:p>
        </w:tc>
        <w:tc>
          <w:tcPr>
            <w:tcW w:w="462" w:type="pct"/>
            <w:tcBorders>
              <w:top w:val="nil"/>
              <w:left w:val="nil"/>
              <w:bottom w:val="single" w:sz="4" w:space="0" w:color="auto"/>
              <w:right w:val="single" w:sz="4" w:space="0" w:color="auto"/>
            </w:tcBorders>
            <w:shd w:val="clear" w:color="000000" w:fill="FFFFFF"/>
            <w:noWrap/>
            <w:vAlign w:val="center"/>
            <w:hideMark/>
          </w:tcPr>
          <w:p w14:paraId="5279A145"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3.567</w:t>
            </w:r>
          </w:p>
        </w:tc>
        <w:tc>
          <w:tcPr>
            <w:tcW w:w="456" w:type="pct"/>
            <w:tcBorders>
              <w:top w:val="nil"/>
              <w:left w:val="nil"/>
              <w:bottom w:val="single" w:sz="4" w:space="0" w:color="auto"/>
              <w:right w:val="single" w:sz="4" w:space="0" w:color="auto"/>
            </w:tcBorders>
            <w:shd w:val="clear" w:color="000000" w:fill="FFFFFF"/>
            <w:noWrap/>
            <w:vAlign w:val="center"/>
            <w:hideMark/>
          </w:tcPr>
          <w:p w14:paraId="1F2CB314" w14:textId="77777777" w:rsidR="00ED2D37" w:rsidRPr="00ED2D37" w:rsidRDefault="00ED2D37" w:rsidP="00597170">
            <w:pPr>
              <w:jc w:val="center"/>
              <w:rPr>
                <w:rFonts w:asciiTheme="majorBidi" w:hAnsiTheme="majorBidi" w:cstheme="majorBidi"/>
                <w:color w:val="000000"/>
                <w:sz w:val="18"/>
                <w:szCs w:val="18"/>
                <w:lang w:val="es-CO" w:eastAsia="es-CO"/>
              </w:rPr>
            </w:pPr>
            <w:r w:rsidRPr="00ED2D37">
              <w:rPr>
                <w:rFonts w:asciiTheme="majorBidi" w:hAnsiTheme="majorBidi" w:cstheme="majorBidi"/>
                <w:color w:val="000000"/>
                <w:sz w:val="18"/>
                <w:szCs w:val="18"/>
                <w:lang w:val="es-CO" w:eastAsia="es-CO"/>
              </w:rPr>
              <w:t> </w:t>
            </w:r>
          </w:p>
        </w:tc>
      </w:tr>
      <w:tr w:rsidR="00ED2D37" w:rsidRPr="00ED2D37" w14:paraId="63E5FDD7" w14:textId="77777777" w:rsidTr="00ED2D37">
        <w:trPr>
          <w:trHeight w:val="300"/>
          <w:jc w:val="center"/>
        </w:trPr>
        <w:tc>
          <w:tcPr>
            <w:tcW w:w="679" w:type="pct"/>
            <w:tcBorders>
              <w:top w:val="nil"/>
              <w:left w:val="single" w:sz="4" w:space="0" w:color="auto"/>
              <w:bottom w:val="single" w:sz="4" w:space="0" w:color="auto"/>
              <w:right w:val="single" w:sz="4" w:space="0" w:color="auto"/>
            </w:tcBorders>
            <w:shd w:val="clear" w:color="000000" w:fill="FFF2CC"/>
            <w:noWrap/>
            <w:vAlign w:val="bottom"/>
            <w:hideMark/>
          </w:tcPr>
          <w:p w14:paraId="4D5FEA7C"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TOTALES</w:t>
            </w:r>
          </w:p>
        </w:tc>
        <w:tc>
          <w:tcPr>
            <w:tcW w:w="493" w:type="pct"/>
            <w:tcBorders>
              <w:top w:val="nil"/>
              <w:left w:val="nil"/>
              <w:bottom w:val="single" w:sz="4" w:space="0" w:color="auto"/>
              <w:right w:val="single" w:sz="4" w:space="0" w:color="auto"/>
            </w:tcBorders>
            <w:shd w:val="clear" w:color="000000" w:fill="FFF2CC"/>
            <w:noWrap/>
            <w:vAlign w:val="center"/>
            <w:hideMark/>
          </w:tcPr>
          <w:p w14:paraId="73B37F1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74.256</w:t>
            </w:r>
          </w:p>
        </w:tc>
        <w:tc>
          <w:tcPr>
            <w:tcW w:w="493" w:type="pct"/>
            <w:tcBorders>
              <w:top w:val="nil"/>
              <w:left w:val="nil"/>
              <w:bottom w:val="single" w:sz="4" w:space="0" w:color="auto"/>
              <w:right w:val="single" w:sz="4" w:space="0" w:color="auto"/>
            </w:tcBorders>
            <w:shd w:val="clear" w:color="000000" w:fill="FFF2CC"/>
            <w:noWrap/>
            <w:vAlign w:val="center"/>
            <w:hideMark/>
          </w:tcPr>
          <w:p w14:paraId="4820AD9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75.561</w:t>
            </w:r>
          </w:p>
        </w:tc>
        <w:tc>
          <w:tcPr>
            <w:tcW w:w="493" w:type="pct"/>
            <w:tcBorders>
              <w:top w:val="nil"/>
              <w:left w:val="nil"/>
              <w:bottom w:val="single" w:sz="4" w:space="0" w:color="auto"/>
              <w:right w:val="single" w:sz="4" w:space="0" w:color="auto"/>
            </w:tcBorders>
            <w:shd w:val="clear" w:color="000000" w:fill="FFF2CC"/>
            <w:noWrap/>
            <w:vAlign w:val="center"/>
            <w:hideMark/>
          </w:tcPr>
          <w:p w14:paraId="28AF5D5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72.827</w:t>
            </w:r>
          </w:p>
        </w:tc>
        <w:tc>
          <w:tcPr>
            <w:tcW w:w="493" w:type="pct"/>
            <w:tcBorders>
              <w:top w:val="nil"/>
              <w:left w:val="nil"/>
              <w:bottom w:val="single" w:sz="4" w:space="0" w:color="auto"/>
              <w:right w:val="single" w:sz="4" w:space="0" w:color="auto"/>
            </w:tcBorders>
            <w:shd w:val="clear" w:color="000000" w:fill="FFF2CC"/>
            <w:noWrap/>
            <w:vAlign w:val="center"/>
            <w:hideMark/>
          </w:tcPr>
          <w:p w14:paraId="6A9C4E8F"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73.475</w:t>
            </w:r>
          </w:p>
        </w:tc>
        <w:tc>
          <w:tcPr>
            <w:tcW w:w="485" w:type="pct"/>
            <w:tcBorders>
              <w:top w:val="nil"/>
              <w:left w:val="nil"/>
              <w:bottom w:val="single" w:sz="4" w:space="0" w:color="auto"/>
              <w:right w:val="single" w:sz="4" w:space="0" w:color="auto"/>
            </w:tcBorders>
            <w:shd w:val="clear" w:color="000000" w:fill="FFF2CC"/>
            <w:noWrap/>
            <w:vAlign w:val="center"/>
            <w:hideMark/>
          </w:tcPr>
          <w:p w14:paraId="097EA52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80.867</w:t>
            </w:r>
          </w:p>
        </w:tc>
        <w:tc>
          <w:tcPr>
            <w:tcW w:w="477" w:type="pct"/>
            <w:tcBorders>
              <w:top w:val="nil"/>
              <w:left w:val="nil"/>
              <w:bottom w:val="single" w:sz="4" w:space="0" w:color="auto"/>
              <w:right w:val="single" w:sz="4" w:space="0" w:color="auto"/>
            </w:tcBorders>
            <w:shd w:val="clear" w:color="000000" w:fill="FFF2CC"/>
            <w:noWrap/>
            <w:vAlign w:val="center"/>
            <w:hideMark/>
          </w:tcPr>
          <w:p w14:paraId="5A91D361"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76.803</w:t>
            </w:r>
          </w:p>
        </w:tc>
        <w:tc>
          <w:tcPr>
            <w:tcW w:w="469" w:type="pct"/>
            <w:tcBorders>
              <w:top w:val="nil"/>
              <w:left w:val="nil"/>
              <w:bottom w:val="single" w:sz="4" w:space="0" w:color="auto"/>
              <w:right w:val="single" w:sz="4" w:space="0" w:color="auto"/>
            </w:tcBorders>
            <w:shd w:val="clear" w:color="000000" w:fill="FFF2CC"/>
            <w:noWrap/>
            <w:vAlign w:val="center"/>
            <w:hideMark/>
          </w:tcPr>
          <w:p w14:paraId="27671BC3"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74.713</w:t>
            </w:r>
          </w:p>
        </w:tc>
        <w:tc>
          <w:tcPr>
            <w:tcW w:w="462" w:type="pct"/>
            <w:tcBorders>
              <w:top w:val="nil"/>
              <w:left w:val="nil"/>
              <w:bottom w:val="single" w:sz="4" w:space="0" w:color="auto"/>
              <w:right w:val="single" w:sz="4" w:space="0" w:color="auto"/>
            </w:tcBorders>
            <w:shd w:val="clear" w:color="000000" w:fill="FFF2CC"/>
            <w:noWrap/>
            <w:vAlign w:val="center"/>
            <w:hideMark/>
          </w:tcPr>
          <w:p w14:paraId="39A0D46B"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22.358</w:t>
            </w:r>
          </w:p>
        </w:tc>
        <w:tc>
          <w:tcPr>
            <w:tcW w:w="456" w:type="pct"/>
            <w:tcBorders>
              <w:top w:val="nil"/>
              <w:left w:val="nil"/>
              <w:bottom w:val="single" w:sz="4" w:space="0" w:color="auto"/>
              <w:right w:val="single" w:sz="4" w:space="0" w:color="auto"/>
            </w:tcBorders>
            <w:shd w:val="clear" w:color="000000" w:fill="FFF2CC"/>
            <w:noWrap/>
            <w:vAlign w:val="center"/>
            <w:hideMark/>
          </w:tcPr>
          <w:p w14:paraId="6A01D8C5" w14:textId="77777777" w:rsidR="00ED2D37" w:rsidRPr="00ED2D37" w:rsidRDefault="00ED2D37" w:rsidP="00597170">
            <w:pPr>
              <w:jc w:val="center"/>
              <w:rPr>
                <w:rFonts w:asciiTheme="majorBidi" w:hAnsiTheme="majorBidi" w:cstheme="majorBidi"/>
                <w:b/>
                <w:bCs/>
                <w:color w:val="000000"/>
                <w:sz w:val="18"/>
                <w:szCs w:val="18"/>
                <w:lang w:val="es-CO" w:eastAsia="es-CO"/>
              </w:rPr>
            </w:pPr>
            <w:r w:rsidRPr="00ED2D37">
              <w:rPr>
                <w:rFonts w:asciiTheme="majorBidi" w:hAnsiTheme="majorBidi" w:cstheme="majorBidi"/>
                <w:b/>
                <w:bCs/>
                <w:color w:val="000000"/>
                <w:sz w:val="18"/>
                <w:szCs w:val="18"/>
                <w:lang w:val="es-CO" w:eastAsia="es-CO"/>
              </w:rPr>
              <w:t>12.526</w:t>
            </w:r>
          </w:p>
        </w:tc>
      </w:tr>
    </w:tbl>
    <w:p w14:paraId="5DB23018" w14:textId="17EBE7F5" w:rsidR="00ED2D37" w:rsidRDefault="00ED2D37" w:rsidP="00D84A13">
      <w:pPr>
        <w:jc w:val="both"/>
        <w:rPr>
          <w:rFonts w:asciiTheme="majorBidi" w:hAnsiTheme="majorBidi" w:cstheme="majorBidi"/>
          <w:bCs/>
        </w:rPr>
      </w:pPr>
    </w:p>
    <w:p w14:paraId="502E504F" w14:textId="7CA77B1D" w:rsidR="00ED2D37" w:rsidRDefault="00ED2D37" w:rsidP="00D84A13">
      <w:pPr>
        <w:jc w:val="both"/>
        <w:rPr>
          <w:rFonts w:asciiTheme="majorBidi" w:hAnsiTheme="majorBidi" w:cstheme="majorBidi"/>
          <w:bCs/>
        </w:rPr>
      </w:pPr>
    </w:p>
    <w:p w14:paraId="402B0258" w14:textId="39E4C319" w:rsidR="00ED2D37" w:rsidRDefault="00ED2D37" w:rsidP="00D84A13">
      <w:pPr>
        <w:jc w:val="both"/>
        <w:rPr>
          <w:rFonts w:asciiTheme="majorBidi" w:hAnsiTheme="majorBidi" w:cstheme="majorBidi"/>
          <w:bCs/>
        </w:rPr>
      </w:pPr>
      <w:r w:rsidRPr="00ED2D37">
        <w:rPr>
          <w:rFonts w:asciiTheme="majorBidi" w:hAnsiTheme="majorBidi" w:cstheme="majorBidi"/>
          <w:bCs/>
        </w:rPr>
        <w:t>Para el mes de abril</w:t>
      </w:r>
      <w:r>
        <w:rPr>
          <w:rFonts w:asciiTheme="majorBidi" w:hAnsiTheme="majorBidi" w:cstheme="majorBidi"/>
          <w:bCs/>
        </w:rPr>
        <w:t>,</w:t>
      </w:r>
      <w:r w:rsidRPr="00ED2D37">
        <w:rPr>
          <w:rFonts w:asciiTheme="majorBidi" w:hAnsiTheme="majorBidi" w:cstheme="majorBidi"/>
          <w:bCs/>
        </w:rPr>
        <w:t xml:space="preserve"> con corte al 15</w:t>
      </w:r>
      <w:r>
        <w:rPr>
          <w:rFonts w:asciiTheme="majorBidi" w:hAnsiTheme="majorBidi" w:cstheme="majorBidi"/>
          <w:bCs/>
        </w:rPr>
        <w:t>,</w:t>
      </w:r>
      <w:r w:rsidRPr="00ED2D37">
        <w:rPr>
          <w:rFonts w:asciiTheme="majorBidi" w:hAnsiTheme="majorBidi" w:cstheme="majorBidi"/>
          <w:bCs/>
        </w:rPr>
        <w:t xml:space="preserve"> (en el entendido de la finalización del contrato de administración con IBINES) se movilizaron 1.776 pasajeros, teniendo un total de 12.526 pasajeros en lo corrido del 2021.</w:t>
      </w:r>
    </w:p>
    <w:p w14:paraId="6F8C4102" w14:textId="181D78FD" w:rsidR="00ED2D37" w:rsidRDefault="00ED2D37" w:rsidP="00D84A13">
      <w:pPr>
        <w:jc w:val="both"/>
        <w:rPr>
          <w:rFonts w:asciiTheme="majorBidi" w:hAnsiTheme="majorBidi" w:cstheme="majorBidi"/>
          <w:bCs/>
        </w:rPr>
      </w:pPr>
    </w:p>
    <w:p w14:paraId="3DB752C2" w14:textId="61584873" w:rsidR="00ED2D37" w:rsidRDefault="00ED2D37" w:rsidP="00D84A13">
      <w:pPr>
        <w:jc w:val="both"/>
        <w:rPr>
          <w:rFonts w:asciiTheme="majorBidi" w:hAnsiTheme="majorBidi" w:cstheme="majorBidi"/>
          <w:bCs/>
        </w:rPr>
      </w:pPr>
      <w:r w:rsidRPr="00ED2D37">
        <w:rPr>
          <w:rFonts w:asciiTheme="majorBidi" w:hAnsiTheme="majorBidi" w:cstheme="majorBidi"/>
          <w:bCs/>
        </w:rPr>
        <w:t xml:space="preserve">El servicio de transporte de pasajeros se encuentra suspendido desde el 16 de abril de 2021 por finalización del contrato del administrador férreo </w:t>
      </w:r>
      <w:proofErr w:type="spellStart"/>
      <w:r w:rsidRPr="00ED2D37">
        <w:rPr>
          <w:rFonts w:asciiTheme="majorBidi" w:hAnsiTheme="majorBidi" w:cstheme="majorBidi"/>
          <w:bCs/>
        </w:rPr>
        <w:t>Ibines</w:t>
      </w:r>
      <w:proofErr w:type="spellEnd"/>
      <w:r w:rsidRPr="00ED2D37">
        <w:rPr>
          <w:rFonts w:asciiTheme="majorBidi" w:hAnsiTheme="majorBidi" w:cstheme="majorBidi"/>
          <w:bCs/>
        </w:rPr>
        <w:t>.</w:t>
      </w:r>
    </w:p>
    <w:p w14:paraId="07C268B6" w14:textId="77777777" w:rsidR="00ED2D37" w:rsidRPr="00A868D4" w:rsidRDefault="00ED2D37" w:rsidP="00D84A13">
      <w:pPr>
        <w:jc w:val="both"/>
        <w:rPr>
          <w:rFonts w:asciiTheme="majorBidi" w:hAnsiTheme="majorBidi" w:cstheme="majorBidi"/>
          <w:bCs/>
        </w:rPr>
      </w:pPr>
    </w:p>
    <w:p w14:paraId="5D91B802" w14:textId="03E837CD" w:rsidR="00D84A13" w:rsidRDefault="00D84A13" w:rsidP="00D84A13">
      <w:pPr>
        <w:jc w:val="both"/>
        <w:rPr>
          <w:bCs/>
        </w:rPr>
      </w:pPr>
      <w:r w:rsidRPr="00A868D4">
        <w:rPr>
          <w:rFonts w:asciiTheme="majorBidi" w:hAnsiTheme="majorBidi" w:cstheme="majorBidi"/>
          <w:bCs/>
        </w:rPr>
        <w:t>F</w:t>
      </w:r>
      <w:r w:rsidRPr="00D84A13">
        <w:rPr>
          <w:bCs/>
        </w:rPr>
        <w:t>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72C9C68E" w14:textId="77777777" w:rsidR="00810814" w:rsidRDefault="00810814" w:rsidP="00D84A13">
      <w:pPr>
        <w:jc w:val="both"/>
        <w:rPr>
          <w:bCs/>
        </w:rPr>
      </w:pPr>
    </w:p>
    <w:p w14:paraId="0C89789A" w14:textId="10E451DD" w:rsidR="00D84A13" w:rsidRDefault="00D84A13" w:rsidP="00D84A13">
      <w:pPr>
        <w:jc w:val="both"/>
        <w:rPr>
          <w:bCs/>
        </w:rPr>
      </w:pPr>
    </w:p>
    <w:p w14:paraId="22253B51" w14:textId="23A8FE8E" w:rsidR="00D84A13" w:rsidRDefault="00F14DF5" w:rsidP="00D84A13">
      <w:pPr>
        <w:jc w:val="both"/>
        <w:rPr>
          <w:b/>
        </w:rPr>
      </w:pPr>
      <w:r w:rsidRPr="00F14DF5">
        <w:rPr>
          <w:b/>
        </w:rPr>
        <w:t>Operación carga Bogotá -Belencito y La Dorada-Chiriguaná</w:t>
      </w:r>
    </w:p>
    <w:p w14:paraId="253A47E2" w14:textId="47E468B7" w:rsidR="00F14DF5" w:rsidRDefault="00F14DF5" w:rsidP="00D84A13">
      <w:pPr>
        <w:jc w:val="both"/>
        <w:rPr>
          <w:b/>
        </w:rPr>
      </w:pPr>
    </w:p>
    <w:p w14:paraId="72A3E4C7" w14:textId="77777777" w:rsidR="00F14DF5" w:rsidRPr="00F14DF5" w:rsidRDefault="00F14DF5" w:rsidP="00F14DF5">
      <w:pPr>
        <w:jc w:val="both"/>
        <w:rPr>
          <w:bCs/>
        </w:rPr>
      </w:pPr>
      <w:r w:rsidRPr="00F14DF5">
        <w:rPr>
          <w:bCs/>
        </w:rPr>
        <w:t>En la situación específica de la Pandemia, esta operación se ha sostenido y por el contrario vemos que ha coadyuvado a tener otra alternativa de transporte para cargas no carbón.</w:t>
      </w:r>
    </w:p>
    <w:p w14:paraId="148C91E5" w14:textId="77777777" w:rsidR="00F14DF5" w:rsidRPr="00F14DF5" w:rsidRDefault="00F14DF5" w:rsidP="00F14DF5">
      <w:pPr>
        <w:rPr>
          <w:b/>
        </w:rPr>
      </w:pPr>
    </w:p>
    <w:p w14:paraId="154CA396" w14:textId="77777777" w:rsidR="00347751" w:rsidRDefault="00347751" w:rsidP="00F14DF5">
      <w:pPr>
        <w:rPr>
          <w:b/>
        </w:rPr>
      </w:pPr>
    </w:p>
    <w:p w14:paraId="1A9A6AB9" w14:textId="77777777" w:rsidR="00347751" w:rsidRDefault="00347751" w:rsidP="00F14DF5">
      <w:pPr>
        <w:rPr>
          <w:b/>
        </w:rPr>
      </w:pPr>
    </w:p>
    <w:p w14:paraId="76F52C59" w14:textId="77777777" w:rsidR="00347751" w:rsidRDefault="00347751" w:rsidP="00F14DF5">
      <w:pPr>
        <w:rPr>
          <w:b/>
        </w:rPr>
      </w:pPr>
    </w:p>
    <w:p w14:paraId="18BFC01A" w14:textId="77777777" w:rsidR="00347751" w:rsidRDefault="00347751" w:rsidP="00F14DF5">
      <w:pPr>
        <w:rPr>
          <w:b/>
        </w:rPr>
      </w:pPr>
    </w:p>
    <w:p w14:paraId="6FC5AB5F" w14:textId="36B3548F" w:rsidR="00F14DF5" w:rsidRDefault="00F14DF5" w:rsidP="00F14DF5">
      <w:pPr>
        <w:rPr>
          <w:b/>
        </w:rPr>
      </w:pPr>
      <w:r w:rsidRPr="00F14DF5">
        <w:rPr>
          <w:b/>
        </w:rPr>
        <w:t>Bogot</w:t>
      </w:r>
      <w:r>
        <w:rPr>
          <w:b/>
        </w:rPr>
        <w:t>á</w:t>
      </w:r>
      <w:r w:rsidRPr="00F14DF5">
        <w:rPr>
          <w:b/>
        </w:rPr>
        <w:t>-Belencito</w:t>
      </w:r>
    </w:p>
    <w:p w14:paraId="261F2EB9" w14:textId="15502AB4" w:rsidR="006F75C7" w:rsidRDefault="006F75C7" w:rsidP="00F14DF5">
      <w:pPr>
        <w:rPr>
          <w:b/>
        </w:rPr>
      </w:pPr>
    </w:p>
    <w:p w14:paraId="3F82F769" w14:textId="3489769A" w:rsidR="006F75C7" w:rsidRDefault="006F75C7" w:rsidP="006F75C7">
      <w:pPr>
        <w:jc w:val="center"/>
        <w:rPr>
          <w:b/>
        </w:rPr>
      </w:pPr>
      <w:r>
        <w:rPr>
          <w:noProof/>
        </w:rPr>
        <w:drawing>
          <wp:inline distT="0" distB="0" distL="0" distR="0" wp14:anchorId="06F926B8" wp14:editId="1F4F0D0E">
            <wp:extent cx="3486150" cy="2425700"/>
            <wp:effectExtent l="0" t="0" r="0" b="12700"/>
            <wp:docPr id="14" name="Gráfico 14">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97BCE0" w14:textId="34CB4A07" w:rsidR="006F75C7" w:rsidRPr="006F75C7" w:rsidRDefault="006F75C7" w:rsidP="006F75C7">
      <w:pPr>
        <w:jc w:val="center"/>
        <w:rPr>
          <w:bCs/>
        </w:rPr>
      </w:pPr>
    </w:p>
    <w:p w14:paraId="75E3D065" w14:textId="71489AA2" w:rsidR="006F75C7" w:rsidRDefault="006F75C7" w:rsidP="006F75C7">
      <w:pPr>
        <w:jc w:val="both"/>
        <w:rPr>
          <w:bCs/>
        </w:rPr>
      </w:pPr>
      <w:r w:rsidRPr="006F75C7">
        <w:rPr>
          <w:bCs/>
        </w:rPr>
        <w:t>Para el año 2020, se tenía una meta de 51.000 Ton, logrando una movilización de carga de 50.888 Ton, correspondiente a un 99.8% del total de la meta.</w:t>
      </w:r>
    </w:p>
    <w:p w14:paraId="096138C2" w14:textId="71CB2059" w:rsidR="006F75C7" w:rsidRDefault="006F75C7" w:rsidP="006F75C7">
      <w:pPr>
        <w:jc w:val="both"/>
        <w:rPr>
          <w:bCs/>
        </w:rPr>
      </w:pPr>
    </w:p>
    <w:p w14:paraId="18A4E72D" w14:textId="7E29BDDF" w:rsidR="006F75C7" w:rsidRPr="006F75C7" w:rsidRDefault="006F75C7" w:rsidP="006F75C7">
      <w:pPr>
        <w:jc w:val="both"/>
        <w:rPr>
          <w:bCs/>
        </w:rPr>
      </w:pPr>
      <w:r w:rsidRPr="006F75C7">
        <w:rPr>
          <w:bCs/>
        </w:rPr>
        <w:t>Para el año 2021, con corte al 15 de abril de 2021, se logró una movilización de carga de 15.930 ton, con una meta para el 2021 de 33.600 ton, logrando al corte un total del 47% del total de la meta.</w:t>
      </w:r>
    </w:p>
    <w:p w14:paraId="0D4C49A9" w14:textId="77777777" w:rsidR="00F14DF5" w:rsidRPr="00F14DF5" w:rsidRDefault="00F14DF5" w:rsidP="00F14DF5">
      <w:pPr>
        <w:rPr>
          <w:b/>
        </w:rPr>
      </w:pPr>
    </w:p>
    <w:p w14:paraId="72C5F3B5" w14:textId="2F234DC8" w:rsidR="00F14DF5" w:rsidRDefault="00F14DF5" w:rsidP="00F14DF5">
      <w:pPr>
        <w:jc w:val="both"/>
        <w:rPr>
          <w:bCs/>
        </w:rPr>
      </w:pPr>
    </w:p>
    <w:p w14:paraId="4F008DDA" w14:textId="77777777" w:rsidR="00F14DF5" w:rsidRPr="00F14DF5" w:rsidRDefault="00F14DF5" w:rsidP="00F14DF5">
      <w:pPr>
        <w:rPr>
          <w:b/>
        </w:rPr>
      </w:pPr>
      <w:r w:rsidRPr="00F14DF5">
        <w:rPr>
          <w:b/>
        </w:rPr>
        <w:t>La Dorada-Chiriguaná</w:t>
      </w:r>
    </w:p>
    <w:p w14:paraId="634EB0D8" w14:textId="549426FD" w:rsidR="00F14DF5" w:rsidRDefault="00F14DF5" w:rsidP="00F14DF5">
      <w:pPr>
        <w:rPr>
          <w:bCs/>
        </w:rPr>
      </w:pPr>
    </w:p>
    <w:p w14:paraId="52A88A8E" w14:textId="09539888" w:rsidR="006F75C7" w:rsidRDefault="006F75C7" w:rsidP="00F14DF5">
      <w:pPr>
        <w:rPr>
          <w:bCs/>
        </w:rPr>
      </w:pPr>
    </w:p>
    <w:p w14:paraId="2FDB3223" w14:textId="1770475B" w:rsidR="006F75C7" w:rsidRDefault="006F75C7" w:rsidP="006F75C7">
      <w:pPr>
        <w:jc w:val="center"/>
        <w:rPr>
          <w:bCs/>
        </w:rPr>
      </w:pPr>
      <w:r>
        <w:rPr>
          <w:noProof/>
        </w:rPr>
        <w:drawing>
          <wp:inline distT="0" distB="0" distL="0" distR="0" wp14:anchorId="496E377D" wp14:editId="5DE1A5C1">
            <wp:extent cx="3738880" cy="2477135"/>
            <wp:effectExtent l="0" t="0" r="13970" b="18415"/>
            <wp:docPr id="18" name="Gráfico 18">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B13CA4" w14:textId="34A0B5D4" w:rsidR="006F75C7" w:rsidRDefault="006F75C7" w:rsidP="00F14DF5">
      <w:pPr>
        <w:jc w:val="both"/>
        <w:rPr>
          <w:bCs/>
        </w:rPr>
      </w:pPr>
    </w:p>
    <w:p w14:paraId="146C6241" w14:textId="749AF713" w:rsidR="006F75C7" w:rsidRDefault="006F75C7" w:rsidP="00F14DF5">
      <w:pPr>
        <w:jc w:val="both"/>
        <w:rPr>
          <w:bCs/>
        </w:rPr>
      </w:pPr>
      <w:r w:rsidRPr="006F75C7">
        <w:rPr>
          <w:bCs/>
        </w:rPr>
        <w:t>Para el año 2020, se tenía una meta de 55.000 Toneladas, logrando una movilización de carga de 41.232 Toneladas, correspondiente a un 75% del total de la meta.</w:t>
      </w:r>
    </w:p>
    <w:p w14:paraId="300C8F4A" w14:textId="0B5CED16" w:rsidR="00471A69" w:rsidRDefault="006F75C7" w:rsidP="007124A9">
      <w:pPr>
        <w:jc w:val="both"/>
        <w:rPr>
          <w:bCs/>
        </w:rPr>
      </w:pPr>
      <w:r w:rsidRPr="006F75C7">
        <w:rPr>
          <w:bCs/>
        </w:rPr>
        <w:t>Para el año 2021, con corte al 15 de abril de 2021, se logró una movilización de carga de 12.039 Toneladas, con una meta para el 2021 de 24.000 ton, logrando al corte un total del 50% del total de la meta.</w:t>
      </w:r>
    </w:p>
    <w:p w14:paraId="07000B6F" w14:textId="27C35BC5" w:rsidR="006F75C7" w:rsidRDefault="006F75C7" w:rsidP="007124A9">
      <w:pPr>
        <w:jc w:val="both"/>
        <w:rPr>
          <w:bCs/>
        </w:rPr>
      </w:pPr>
    </w:p>
    <w:p w14:paraId="0B87CBE3" w14:textId="77777777" w:rsidR="00C917B7" w:rsidRPr="00995A1F" w:rsidRDefault="00C917B7" w:rsidP="007124A9">
      <w:pPr>
        <w:jc w:val="both"/>
        <w:rPr>
          <w:bCs/>
        </w:rPr>
      </w:pPr>
    </w:p>
    <w:p w14:paraId="4DCC52F0" w14:textId="7FA97ACD"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2F01A0">
        <w:rPr>
          <w:b/>
          <w:bCs/>
        </w:rPr>
        <w:t>ABRIL</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6" w:name="_Toc28337473"/>
      <w:r w:rsidRPr="00995A1F">
        <w:rPr>
          <w:b/>
          <w:bCs/>
        </w:rPr>
        <w:t>Ingresos de transacciones sin contraprestación</w:t>
      </w:r>
      <w:bookmarkEnd w:id="6"/>
    </w:p>
    <w:p w14:paraId="31E76E11" w14:textId="77777777" w:rsidR="00A43D03" w:rsidRPr="00995A1F" w:rsidRDefault="00A43D03" w:rsidP="00D46ECC">
      <w:pPr>
        <w:jc w:val="both"/>
        <w:rPr>
          <w:bCs/>
        </w:rPr>
      </w:pPr>
    </w:p>
    <w:p w14:paraId="53904B00" w14:textId="510AC2E5" w:rsidR="004B62B3" w:rsidRDefault="004B62B3" w:rsidP="004B62B3">
      <w:pPr>
        <w:jc w:val="both"/>
        <w:rPr>
          <w:bCs/>
        </w:rPr>
      </w:pPr>
      <w:r w:rsidRPr="00995A1F">
        <w:rPr>
          <w:bCs/>
        </w:rPr>
        <w:t>En el siguiente cuadro, se muestra los valores por subcuenta y por tercero del grupo 4.7 Operaciones interinstitucionales</w:t>
      </w:r>
      <w:r w:rsidR="00241EC3">
        <w:rPr>
          <w:bCs/>
        </w:rPr>
        <w:t>,</w:t>
      </w:r>
      <w:r w:rsidRPr="00995A1F">
        <w:rPr>
          <w:bCs/>
        </w:rPr>
        <w:t xml:space="preserve"> a </w:t>
      </w:r>
      <w:r w:rsidR="003F3FF8">
        <w:rPr>
          <w:bCs/>
        </w:rPr>
        <w:t>3</w:t>
      </w:r>
      <w:r w:rsidR="002F01A0">
        <w:rPr>
          <w:bCs/>
        </w:rPr>
        <w:t>0</w:t>
      </w:r>
      <w:r w:rsidRPr="00995A1F">
        <w:rPr>
          <w:bCs/>
        </w:rPr>
        <w:t xml:space="preserve"> de </w:t>
      </w:r>
      <w:r w:rsidR="002F01A0">
        <w:rPr>
          <w:bCs/>
        </w:rPr>
        <w:t>abril</w:t>
      </w:r>
      <w:r w:rsidRPr="00995A1F">
        <w:rPr>
          <w:bCs/>
        </w:rPr>
        <w:t xml:space="preserve"> de 202</w:t>
      </w:r>
      <w:r w:rsidR="00CA09D5">
        <w:rPr>
          <w:bCs/>
        </w:rPr>
        <w:t>1</w:t>
      </w:r>
      <w:r w:rsidRPr="00995A1F">
        <w:rPr>
          <w:bCs/>
        </w:rPr>
        <w:t>:</w:t>
      </w:r>
    </w:p>
    <w:p w14:paraId="24E3B0A6" w14:textId="4DFC8CFF" w:rsidR="005000BF" w:rsidRDefault="005000BF" w:rsidP="004B62B3">
      <w:pPr>
        <w:jc w:val="both"/>
        <w:rPr>
          <w:bCs/>
        </w:rPr>
      </w:pPr>
    </w:p>
    <w:p w14:paraId="6CB9F16B" w14:textId="7230C8B5" w:rsidR="005000BF" w:rsidRDefault="005000BF" w:rsidP="004B62B3">
      <w:pPr>
        <w:jc w:val="both"/>
        <w:rPr>
          <w:bCs/>
        </w:rPr>
      </w:pPr>
    </w:p>
    <w:p w14:paraId="36929773" w14:textId="574701DA" w:rsidR="005000BF" w:rsidRDefault="006F322F" w:rsidP="004B62B3">
      <w:pPr>
        <w:jc w:val="both"/>
        <w:rPr>
          <w:bCs/>
        </w:rPr>
      </w:pPr>
      <w:r w:rsidRPr="006F322F">
        <w:rPr>
          <w:noProof/>
        </w:rPr>
        <w:drawing>
          <wp:inline distT="0" distB="0" distL="0" distR="0" wp14:anchorId="7FDF966D" wp14:editId="32CACC77">
            <wp:extent cx="5516088" cy="1382454"/>
            <wp:effectExtent l="0" t="0" r="889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9329" cy="1385773"/>
                    </a:xfrm>
                    <a:prstGeom prst="rect">
                      <a:avLst/>
                    </a:prstGeom>
                    <a:noFill/>
                    <a:ln>
                      <a:noFill/>
                    </a:ln>
                  </pic:spPr>
                </pic:pic>
              </a:graphicData>
            </a:graphic>
          </wp:inline>
        </w:drawing>
      </w:r>
    </w:p>
    <w:p w14:paraId="44A51D16" w14:textId="0D59B760" w:rsidR="00FA22AA" w:rsidRDefault="00FA22AA" w:rsidP="004B62B3">
      <w:pPr>
        <w:jc w:val="both"/>
        <w:rPr>
          <w:bCs/>
        </w:rPr>
      </w:pPr>
    </w:p>
    <w:p w14:paraId="2824A7E0" w14:textId="1D99E20F" w:rsidR="00D24C33" w:rsidRPr="00995A1F" w:rsidRDefault="00D24C33" w:rsidP="00CA09D5">
      <w:pPr>
        <w:jc w:val="both"/>
        <w:rPr>
          <w:bCs/>
        </w:rPr>
      </w:pPr>
      <w:r w:rsidRPr="00995A1F">
        <w:rPr>
          <w:bCs/>
        </w:rPr>
        <w:t xml:space="preserve">El grupo 4.7 Operaciones interinstitucionales presenta </w:t>
      </w:r>
      <w:r w:rsidR="00CA09D5">
        <w:rPr>
          <w:bCs/>
        </w:rPr>
        <w:t xml:space="preserve">a </w:t>
      </w:r>
      <w:r w:rsidR="006F322F">
        <w:rPr>
          <w:bCs/>
        </w:rPr>
        <w:t>abril</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6F322F" w:rsidRPr="006F322F">
        <w:rPr>
          <w:bCs/>
        </w:rPr>
        <w:t>248.590.681</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6F322F" w:rsidRPr="006F322F">
        <w:rPr>
          <w:bCs/>
        </w:rPr>
        <w:t>248.133.484</w:t>
      </w:r>
      <w:r w:rsidR="006F322F">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1471D5" w:rsidRPr="001471D5">
        <w:t xml:space="preserve"> </w:t>
      </w:r>
      <w:r w:rsidR="006F322F" w:rsidRPr="006F322F">
        <w:rPr>
          <w:bCs/>
        </w:rPr>
        <w:t>457.197</w:t>
      </w:r>
      <w:r w:rsidR="006F322F">
        <w:rPr>
          <w:bCs/>
        </w:rPr>
        <w:t xml:space="preserve">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61EBE382" w:rsidR="00D24C33" w:rsidRDefault="00D24C33" w:rsidP="00D24C33">
      <w:pPr>
        <w:jc w:val="both"/>
        <w:rPr>
          <w:bCs/>
        </w:rPr>
      </w:pPr>
      <w:r w:rsidRPr="00995A1F">
        <w:rPr>
          <w:bCs/>
        </w:rPr>
        <w:t xml:space="preserve">Los ingresos 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el rubro de sentencias y conciliaciones.</w:t>
      </w:r>
    </w:p>
    <w:p w14:paraId="3183E94A" w14:textId="77777777" w:rsidR="0063624D" w:rsidRDefault="0063624D" w:rsidP="00D24C33">
      <w:pPr>
        <w:jc w:val="both"/>
        <w:rPr>
          <w:bCs/>
        </w:rPr>
      </w:pPr>
    </w:p>
    <w:p w14:paraId="0A7BFD94" w14:textId="5DF8C659" w:rsidR="006113EF" w:rsidRDefault="006113EF" w:rsidP="00D24C33">
      <w:pPr>
        <w:jc w:val="both"/>
        <w:rPr>
          <w:bCs/>
        </w:rPr>
      </w:pPr>
      <w:r>
        <w:rPr>
          <w:bCs/>
        </w:rPr>
        <w:t xml:space="preserve">Los ingresos de la subcuenta </w:t>
      </w:r>
      <w:r w:rsidRPr="006113EF">
        <w:rPr>
          <w:bCs/>
          <w:i/>
          <w:iCs/>
        </w:rPr>
        <w:t>Servicio de la deuda</w:t>
      </w:r>
      <w:r>
        <w:rPr>
          <w:bCs/>
        </w:rPr>
        <w:t xml:space="preserve"> por valor de $</w:t>
      </w:r>
      <w:r w:rsidR="00900CFE" w:rsidRPr="00900CFE">
        <w:rPr>
          <w:bCs/>
        </w:rPr>
        <w:t>64.166.248</w:t>
      </w:r>
      <w:r w:rsidR="00900CFE">
        <w:rPr>
          <w:bCs/>
        </w:rPr>
        <w:t xml:space="preserve"> </w:t>
      </w:r>
      <w:r>
        <w:rPr>
          <w:bCs/>
        </w:rPr>
        <w:t xml:space="preserve">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63624D">
        <w:rPr>
          <w:bCs/>
        </w:rPr>
        <w:t>.  A continuación, se detalla los valores por aportados:</w:t>
      </w:r>
    </w:p>
    <w:p w14:paraId="61F426D1" w14:textId="6E8213EA" w:rsidR="00900CFE" w:rsidRDefault="00900CFE" w:rsidP="00D24C33">
      <w:pPr>
        <w:jc w:val="both"/>
        <w:rPr>
          <w:bCs/>
        </w:rPr>
      </w:pPr>
    </w:p>
    <w:p w14:paraId="0F42D8BE" w14:textId="59D88179" w:rsidR="00900CFE" w:rsidRDefault="0063624D" w:rsidP="0063624D">
      <w:pPr>
        <w:jc w:val="center"/>
        <w:rPr>
          <w:bCs/>
        </w:rPr>
      </w:pPr>
      <w:r w:rsidRPr="0063624D">
        <w:rPr>
          <w:noProof/>
        </w:rPr>
        <w:drawing>
          <wp:inline distT="0" distB="0" distL="0" distR="0" wp14:anchorId="75DF4700" wp14:editId="67F96B5F">
            <wp:extent cx="4292930" cy="1674905"/>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596" cy="1676725"/>
                    </a:xfrm>
                    <a:prstGeom prst="rect">
                      <a:avLst/>
                    </a:prstGeom>
                    <a:noFill/>
                    <a:ln>
                      <a:noFill/>
                    </a:ln>
                  </pic:spPr>
                </pic:pic>
              </a:graphicData>
            </a:graphic>
          </wp:inline>
        </w:drawing>
      </w:r>
    </w:p>
    <w:p w14:paraId="121F6013" w14:textId="5D0D8FEF"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por valor de $</w:t>
      </w:r>
      <w:r w:rsidR="000B3556" w:rsidRPr="000B3556">
        <w:rPr>
          <w:bCs/>
        </w:rPr>
        <w:t>183.020.063</w:t>
      </w:r>
      <w:r w:rsidR="000B3556">
        <w:rPr>
          <w:bCs/>
        </w:rPr>
        <w:t xml:space="preserve"> </w:t>
      </w:r>
      <w:r w:rsidRPr="00995A1F">
        <w:rPr>
          <w:bCs/>
        </w:rPr>
        <w:t>miles, son ingresos recibidos para:</w:t>
      </w:r>
    </w:p>
    <w:p w14:paraId="58B57957" w14:textId="77777777" w:rsidR="00DC742A" w:rsidRPr="00995A1F" w:rsidRDefault="00DC742A" w:rsidP="00DC742A">
      <w:pPr>
        <w:jc w:val="both"/>
        <w:rPr>
          <w:bCs/>
        </w:rPr>
      </w:pPr>
    </w:p>
    <w:p w14:paraId="44FCE089" w14:textId="16C1518E" w:rsidR="00DC742A" w:rsidRDefault="00DC742A" w:rsidP="00471A69">
      <w:pPr>
        <w:pStyle w:val="Prrafodelista"/>
        <w:numPr>
          <w:ilvl w:val="0"/>
          <w:numId w:val="3"/>
        </w:numPr>
        <w:ind w:left="709"/>
        <w:jc w:val="both"/>
        <w:rPr>
          <w:bCs/>
        </w:rPr>
      </w:pPr>
      <w:r w:rsidRPr="00995A1F">
        <w:rPr>
          <w:bCs/>
        </w:rPr>
        <w:t xml:space="preserve">Pago de vigencias futuras de las concesiones de modo carretero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1AE99E5D" w14:textId="7B9CFF78" w:rsidR="005E2F2E" w:rsidRDefault="005E2F2E" w:rsidP="0043145A">
      <w:pPr>
        <w:rPr>
          <w:b/>
          <w:bCs/>
        </w:rPr>
      </w:pPr>
    </w:p>
    <w:p w14:paraId="510187B8" w14:textId="77777777" w:rsidR="006D1E38" w:rsidRDefault="006D1E38" w:rsidP="0043145A">
      <w:pPr>
        <w:rPr>
          <w:b/>
          <w:bCs/>
        </w:rPr>
      </w:pPr>
    </w:p>
    <w:p w14:paraId="1224FD03" w14:textId="6662117E" w:rsidR="00AC23E7" w:rsidRPr="00995A1F" w:rsidRDefault="00BD735C" w:rsidP="0043145A">
      <w:pPr>
        <w:rPr>
          <w:b/>
          <w:bCs/>
        </w:rPr>
      </w:pPr>
      <w:r w:rsidRPr="00995A1F">
        <w:rPr>
          <w:b/>
          <w:bCs/>
        </w:rPr>
        <w:t>N</w:t>
      </w:r>
      <w:r w:rsidR="00AC23E7" w:rsidRPr="00995A1F">
        <w:rPr>
          <w:b/>
          <w:bCs/>
        </w:rPr>
        <w:t xml:space="preserve">OTA </w:t>
      </w:r>
      <w:r w:rsidR="005E2F2E">
        <w:rPr>
          <w:b/>
          <w:bCs/>
        </w:rPr>
        <w:t>4</w:t>
      </w:r>
      <w:r w:rsidR="00AC23E7" w:rsidRPr="00995A1F">
        <w:rPr>
          <w:b/>
          <w:bCs/>
        </w:rPr>
        <w:t>.  GASTOS</w:t>
      </w:r>
    </w:p>
    <w:p w14:paraId="35902A1B" w14:textId="7F484A7F" w:rsidR="00AD3EF3" w:rsidRPr="00995A1F" w:rsidRDefault="00AD3EF3" w:rsidP="00AD3EF3">
      <w:pPr>
        <w:jc w:val="both"/>
        <w:rPr>
          <w:bCs/>
        </w:rPr>
      </w:pPr>
    </w:p>
    <w:p w14:paraId="61A087D4" w14:textId="5834042A" w:rsidR="00AC23E7" w:rsidRDefault="00AC23E7" w:rsidP="00AC23E7">
      <w:pPr>
        <w:jc w:val="center"/>
        <w:rPr>
          <w:b/>
          <w:bCs/>
        </w:rPr>
      </w:pPr>
      <w:r w:rsidRPr="00995A1F">
        <w:rPr>
          <w:b/>
          <w:bCs/>
        </w:rPr>
        <w:t xml:space="preserve">VARIACIONES GASTOS </w:t>
      </w:r>
      <w:r w:rsidR="00464A6D">
        <w:rPr>
          <w:b/>
          <w:bCs/>
        </w:rPr>
        <w:t>ABRIL</w:t>
      </w:r>
      <w:r w:rsidRPr="00995A1F">
        <w:rPr>
          <w:b/>
          <w:bCs/>
        </w:rPr>
        <w:t xml:space="preserve"> DE 202</w:t>
      </w:r>
      <w:r w:rsidR="00CA09D5">
        <w:rPr>
          <w:b/>
          <w:bCs/>
        </w:rPr>
        <w:t>1</w:t>
      </w:r>
      <w:r w:rsidRPr="00995A1F">
        <w:rPr>
          <w:b/>
          <w:bCs/>
        </w:rPr>
        <w:t xml:space="preserve"> –</w:t>
      </w:r>
      <w:r w:rsidR="004012AE" w:rsidRPr="00995A1F">
        <w:rPr>
          <w:b/>
          <w:bCs/>
        </w:rPr>
        <w:t xml:space="preserve"> </w:t>
      </w:r>
      <w:r w:rsidR="00464A6D">
        <w:rPr>
          <w:b/>
          <w:bCs/>
        </w:rPr>
        <w:t>ABRIL</w:t>
      </w:r>
      <w:r w:rsidR="004012AE" w:rsidRPr="00995A1F">
        <w:rPr>
          <w:b/>
          <w:bCs/>
        </w:rPr>
        <w:t xml:space="preserve"> </w:t>
      </w:r>
      <w:r w:rsidRPr="00995A1F">
        <w:rPr>
          <w:b/>
          <w:bCs/>
        </w:rPr>
        <w:t>DE 20</w:t>
      </w:r>
      <w:r w:rsidR="00CA09D5">
        <w:rPr>
          <w:b/>
          <w:bCs/>
        </w:rPr>
        <w:t>20</w:t>
      </w:r>
    </w:p>
    <w:p w14:paraId="5E90A11D" w14:textId="6D81B7EA" w:rsidR="007D1D5B" w:rsidRDefault="007D1D5B" w:rsidP="00AC23E7">
      <w:pPr>
        <w:jc w:val="center"/>
        <w:rPr>
          <w:b/>
          <w:bCs/>
        </w:rPr>
      </w:pPr>
    </w:p>
    <w:p w14:paraId="247978CE" w14:textId="1BF40377" w:rsidR="007D1D5B" w:rsidRDefault="007D1D5B" w:rsidP="00AC23E7">
      <w:pPr>
        <w:jc w:val="center"/>
        <w:rPr>
          <w:b/>
          <w:bCs/>
        </w:rPr>
      </w:pPr>
      <w:r w:rsidRPr="007D1D5B">
        <w:rPr>
          <w:noProof/>
        </w:rPr>
        <w:drawing>
          <wp:inline distT="0" distB="0" distL="0" distR="0" wp14:anchorId="39FD3BBC" wp14:editId="26CB9A19">
            <wp:extent cx="5646146" cy="177536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4805" cy="1778084"/>
                    </a:xfrm>
                    <a:prstGeom prst="rect">
                      <a:avLst/>
                    </a:prstGeom>
                    <a:noFill/>
                    <a:ln>
                      <a:noFill/>
                    </a:ln>
                  </pic:spPr>
                </pic:pic>
              </a:graphicData>
            </a:graphic>
          </wp:inline>
        </w:drawing>
      </w:r>
    </w:p>
    <w:p w14:paraId="4ED45F97" w14:textId="77777777" w:rsidR="007D1D5B" w:rsidRDefault="007D1D5B" w:rsidP="00AC23E7">
      <w:pPr>
        <w:jc w:val="center"/>
        <w:rPr>
          <w:b/>
          <w:bCs/>
        </w:rPr>
      </w:pPr>
    </w:p>
    <w:p w14:paraId="3FEAB0BA" w14:textId="0E71D561" w:rsidR="00AC23E7" w:rsidRDefault="00AC23E7" w:rsidP="00FC2038">
      <w:pPr>
        <w:jc w:val="both"/>
      </w:pPr>
      <w:r w:rsidRPr="00995A1F">
        <w:t xml:space="preserve">Los gastos </w:t>
      </w:r>
      <w:r w:rsidR="007D1D5B">
        <w:t>de</w:t>
      </w:r>
      <w:r w:rsidR="00715F08">
        <w:t xml:space="preserve"> enero a</w:t>
      </w:r>
      <w:r w:rsidR="007D1D5B">
        <w:t xml:space="preserve"> abril</w:t>
      </w:r>
      <w:r w:rsidRPr="00995A1F">
        <w:t xml:space="preserve"> de 202</w:t>
      </w:r>
      <w:r w:rsidR="00FC2038">
        <w:t>1</w:t>
      </w:r>
      <w:r w:rsidRPr="00995A1F">
        <w:t xml:space="preserve"> presentan</w:t>
      </w:r>
      <w:r w:rsidR="00500902">
        <w:t xml:space="preserve"> </w:t>
      </w:r>
      <w:r w:rsidR="00FC2038">
        <w:t>un</w:t>
      </w:r>
      <w:r w:rsidR="00241EC3">
        <w:t>a</w:t>
      </w:r>
      <w:r w:rsidR="00FC2038">
        <w:t xml:space="preserve"> </w:t>
      </w:r>
      <w:r w:rsidR="00241EC3">
        <w:t>disminución</w:t>
      </w:r>
      <w:r w:rsidR="00FC2038">
        <w:t xml:space="preserve"> </w:t>
      </w:r>
      <w:r w:rsidR="00500902">
        <w:t xml:space="preserve">por valor </w:t>
      </w:r>
      <w:r w:rsidR="00FC2038">
        <w:t xml:space="preserve">de </w:t>
      </w:r>
      <w:r w:rsidR="00182D91">
        <w:t>$</w:t>
      </w:r>
      <w:r w:rsidR="007D1D5B" w:rsidRPr="007D1D5B">
        <w:t xml:space="preserve">-2.359.272 </w:t>
      </w:r>
      <w:r w:rsidR="00FC2038">
        <w:t xml:space="preserve">miles, </w:t>
      </w:r>
      <w:r w:rsidRPr="00995A1F">
        <w:t>con respecto a los gastos de</w:t>
      </w:r>
      <w:r w:rsidR="007D1D5B">
        <w:t xml:space="preserve"> abril de</w:t>
      </w:r>
      <w:r w:rsidRPr="00995A1F">
        <w:t xml:space="preserve"> 20</w:t>
      </w:r>
      <w:r w:rsidR="00FC2038">
        <w:t>20, y un</w:t>
      </w:r>
      <w:r w:rsidR="00241EC3">
        <w:t>a</w:t>
      </w:r>
      <w:r w:rsidR="00FC2038">
        <w:t xml:space="preserve"> </w:t>
      </w:r>
      <w:r w:rsidR="00241EC3">
        <w:t>disminución</w:t>
      </w:r>
      <w:r w:rsidR="00105BC3" w:rsidRPr="00995A1F">
        <w:t xml:space="preserve"> </w:t>
      </w:r>
      <w:r w:rsidRPr="00995A1F">
        <w:t xml:space="preserve">del </w:t>
      </w:r>
      <w:r w:rsidR="007D1D5B">
        <w:t>4.32</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corresponde </w:t>
      </w:r>
      <w:r w:rsidR="00500902">
        <w:t xml:space="preserve">principalmente </w:t>
      </w:r>
      <w:r w:rsidR="007D1D5B">
        <w:t>a</w:t>
      </w:r>
      <w:r w:rsidR="00B03025">
        <w:t xml:space="preserve"> </w:t>
      </w:r>
      <w:r w:rsidR="009B503D">
        <w:t>una</w:t>
      </w:r>
      <w:r w:rsidR="00241EC3">
        <w:t xml:space="preserve"> disminuci</w:t>
      </w:r>
      <w:r w:rsidR="009B503D">
        <w:t>ón</w:t>
      </w:r>
      <w:r w:rsidR="00FC2038">
        <w:t xml:space="preserve"> </w:t>
      </w:r>
      <w:r w:rsidR="00241EC3">
        <w:t xml:space="preserve">en </w:t>
      </w:r>
      <w:r w:rsidR="009B503D">
        <w:t>el</w:t>
      </w:r>
      <w:r w:rsidR="00500902">
        <w:t xml:space="preserve"> grupo</w:t>
      </w:r>
      <w:r w:rsidR="00FC2038">
        <w:t xml:space="preserve"> </w:t>
      </w:r>
      <w:r w:rsidR="00500902">
        <w:t xml:space="preserve">5.1 </w:t>
      </w:r>
      <w:r w:rsidR="00500902" w:rsidRPr="00500902">
        <w:rPr>
          <w:i/>
          <w:iCs/>
        </w:rPr>
        <w:t>D</w:t>
      </w:r>
      <w:r w:rsidR="00FC2038" w:rsidRPr="00500902">
        <w:rPr>
          <w:i/>
          <w:iCs/>
        </w:rPr>
        <w:t>e Administración y operación</w:t>
      </w:r>
      <w:r w:rsidR="00FC2038">
        <w:t xml:space="preserve"> por valor de </w:t>
      </w:r>
      <w:r w:rsidR="007D1D5B">
        <w:t>$</w:t>
      </w:r>
      <w:r w:rsidR="007D1D5B" w:rsidRPr="007D1D5B">
        <w:t xml:space="preserve">-5.056.560 </w:t>
      </w:r>
      <w:r w:rsidR="00FC2038">
        <w:t>miles (1)</w:t>
      </w:r>
      <w:r w:rsidR="009B503D">
        <w:t xml:space="preserve"> </w:t>
      </w:r>
      <w:r w:rsidR="00AA0EE6">
        <w:t>e</w:t>
      </w:r>
      <w:r w:rsidR="009B503D">
        <w:t xml:space="preserve"> </w:t>
      </w:r>
      <w:r w:rsidR="00AA0EE6">
        <w:t>i</w:t>
      </w:r>
      <w:r w:rsidR="009B503D">
        <w:t>ncremento</w:t>
      </w:r>
      <w:r w:rsidR="00AA0EE6">
        <w:t>s</w:t>
      </w:r>
      <w:r w:rsidR="009B503D">
        <w:t xml:space="preserve"> en </w:t>
      </w:r>
      <w:r w:rsidR="00AA0EE6">
        <w:t>los</w:t>
      </w:r>
      <w:r w:rsidR="009B503D">
        <w:t xml:space="preserve"> grupo</w:t>
      </w:r>
      <w:r w:rsidR="00FA3163">
        <w:t>s</w:t>
      </w:r>
      <w:r w:rsidR="009B503D">
        <w:t xml:space="preserve"> </w:t>
      </w:r>
      <w:r w:rsidR="00864793" w:rsidRPr="00995A1F">
        <w:t>5.</w:t>
      </w:r>
      <w:r w:rsidR="00241EC3">
        <w:t>8</w:t>
      </w:r>
      <w:r w:rsidR="00864793" w:rsidRPr="00995A1F">
        <w:t xml:space="preserve"> </w:t>
      </w:r>
      <w:bookmarkStart w:id="7" w:name="_Hlk47087186"/>
      <w:r w:rsidR="00241EC3">
        <w:rPr>
          <w:i/>
          <w:iCs/>
        </w:rPr>
        <w:t>Otros gastos</w:t>
      </w:r>
      <w:bookmarkEnd w:id="7"/>
      <w:r w:rsidR="009B503D">
        <w:t xml:space="preserve"> </w:t>
      </w:r>
      <w:r w:rsidR="00864793" w:rsidRPr="00995A1F">
        <w:t>por valor de</w:t>
      </w:r>
      <w:r w:rsidR="009B503D">
        <w:t xml:space="preserve"> $</w:t>
      </w:r>
      <w:r w:rsidR="00255A0E" w:rsidRPr="00255A0E">
        <w:t xml:space="preserve">1.885.833 </w:t>
      </w:r>
      <w:r w:rsidR="00864793" w:rsidRPr="00995A1F">
        <w:t>miles</w:t>
      </w:r>
      <w:r w:rsidR="00D5023B" w:rsidRPr="00995A1F">
        <w:t xml:space="preserve"> (</w:t>
      </w:r>
      <w:r w:rsidR="00FC2038">
        <w:t>2</w:t>
      </w:r>
      <w:r w:rsidR="00D5023B" w:rsidRPr="00995A1F">
        <w:t>)</w:t>
      </w:r>
      <w:r w:rsidR="00917BDE">
        <w:t>,</w:t>
      </w:r>
      <w:r w:rsidR="00AA0EE6">
        <w:t xml:space="preserve"> y </w:t>
      </w:r>
      <w:r w:rsidR="00E663EA">
        <w:t xml:space="preserve">5.3 </w:t>
      </w:r>
      <w:r w:rsidR="00AA0EE6" w:rsidRPr="00E663EA">
        <w:rPr>
          <w:i/>
          <w:iCs/>
        </w:rPr>
        <w:t>Deterioro, depreciaciones, amortizaciones y provisiones</w:t>
      </w:r>
      <w:r w:rsidR="00AA0EE6" w:rsidRPr="00AA0EE6">
        <w:t xml:space="preserve"> </w:t>
      </w:r>
      <w:r w:rsidR="00AA0EE6">
        <w:t>por valor de $</w:t>
      </w:r>
      <w:r w:rsidR="00917BDE" w:rsidRPr="00917BDE">
        <w:t xml:space="preserve">1.246.396 </w:t>
      </w:r>
      <w:r w:rsidR="00AA0EE6">
        <w:t xml:space="preserve">miles </w:t>
      </w:r>
      <w:r w:rsidR="00AA0EE6" w:rsidRPr="00AA0EE6">
        <w:t>(3)</w:t>
      </w:r>
      <w:r w:rsidR="00AA0EE6">
        <w:t>.</w:t>
      </w:r>
    </w:p>
    <w:p w14:paraId="4F15836C" w14:textId="2E4DDB94" w:rsidR="00C51DA7" w:rsidRDefault="00C51DA7" w:rsidP="00FC2038">
      <w:pPr>
        <w:jc w:val="both"/>
      </w:pPr>
    </w:p>
    <w:p w14:paraId="7BED873E" w14:textId="38F8CEA0" w:rsidR="00F53004" w:rsidRDefault="00F53004" w:rsidP="00FC2038">
      <w:pPr>
        <w:jc w:val="both"/>
      </w:pPr>
      <w:r>
        <w:t>Las variaciones de estos grupos se describen a continuación:</w:t>
      </w:r>
    </w:p>
    <w:p w14:paraId="3C1BAE9C" w14:textId="10A0A91A" w:rsidR="00F53004" w:rsidRDefault="00F53004" w:rsidP="00FC2038">
      <w:pPr>
        <w:jc w:val="both"/>
      </w:pPr>
    </w:p>
    <w:p w14:paraId="7E840E8D" w14:textId="2B2F3BB3" w:rsidR="00E3269D" w:rsidRDefault="00E3269D" w:rsidP="00FC2038">
      <w:pPr>
        <w:jc w:val="both"/>
      </w:pPr>
    </w:p>
    <w:p w14:paraId="4E11FAE6" w14:textId="22D31E3A" w:rsidR="00E3269D" w:rsidRDefault="00E3269D" w:rsidP="00FC2038">
      <w:pPr>
        <w:jc w:val="both"/>
      </w:pPr>
    </w:p>
    <w:p w14:paraId="183B544A" w14:textId="371D5DB8" w:rsidR="00E3269D" w:rsidRDefault="00E3269D" w:rsidP="00FC2038">
      <w:pPr>
        <w:jc w:val="both"/>
      </w:pPr>
    </w:p>
    <w:p w14:paraId="7CA13694" w14:textId="77777777" w:rsidR="00E3269D" w:rsidRDefault="00E3269D"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3099DDD2"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El grupo 5.1 De administración y operación presenta una variación de </w:t>
      </w:r>
      <w:r w:rsidR="00095CFE">
        <w:rPr>
          <w:rFonts w:ascii="Times New Roman" w:hAnsi="Times New Roman" w:cs="Times New Roman"/>
          <w:b w:val="0"/>
          <w:bCs w:val="0"/>
          <w:color w:val="auto"/>
          <w:lang w:val="es-ES"/>
        </w:rPr>
        <w:t>$</w:t>
      </w:r>
      <w:r w:rsidR="00095CFE" w:rsidRPr="00095CFE">
        <w:rPr>
          <w:rFonts w:ascii="Times New Roman" w:hAnsi="Times New Roman" w:cs="Times New Roman"/>
          <w:b w:val="0"/>
          <w:bCs w:val="0"/>
          <w:color w:val="auto"/>
          <w:lang w:val="es-ES"/>
        </w:rPr>
        <w:t xml:space="preserve">-5.056.560 </w:t>
      </w:r>
      <w:r w:rsidRPr="00AA5B4B">
        <w:rPr>
          <w:rFonts w:ascii="Times New Roman" w:hAnsi="Times New Roman" w:cs="Times New Roman"/>
          <w:b w:val="0"/>
          <w:bCs w:val="0"/>
          <w:color w:val="auto"/>
          <w:lang w:val="es-ES"/>
        </w:rPr>
        <w:t>miles</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 xml:space="preserve">en </w:t>
      </w:r>
      <w:r w:rsidR="00095CFE">
        <w:rPr>
          <w:rFonts w:ascii="Times New Roman" w:hAnsi="Times New Roman" w:cs="Times New Roman"/>
          <w:b w:val="0"/>
          <w:bCs w:val="0"/>
          <w:color w:val="auto"/>
          <w:lang w:val="es-ES"/>
        </w:rPr>
        <w:t>abril</w:t>
      </w:r>
      <w:r w:rsidR="00B12E13">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202</w:t>
      </w:r>
      <w:r w:rsidR="00C317EF">
        <w:rPr>
          <w:rFonts w:ascii="Times New Roman" w:hAnsi="Times New Roman" w:cs="Times New Roman"/>
          <w:b w:val="0"/>
          <w:bCs w:val="0"/>
          <w:color w:val="auto"/>
          <w:lang w:val="es-ES"/>
        </w:rPr>
        <w:t xml:space="preserve">1 frente </w:t>
      </w:r>
      <w:r w:rsidRPr="00AA5B4B">
        <w:rPr>
          <w:rFonts w:ascii="Times New Roman" w:hAnsi="Times New Roman" w:cs="Times New Roman"/>
          <w:b w:val="0"/>
          <w:bCs w:val="0"/>
          <w:color w:val="auto"/>
          <w:lang w:val="es-ES"/>
        </w:rPr>
        <w:t xml:space="preserve">a </w:t>
      </w:r>
      <w:r w:rsidR="00095CFE">
        <w:rPr>
          <w:rFonts w:ascii="Times New Roman" w:hAnsi="Times New Roman" w:cs="Times New Roman"/>
          <w:b w:val="0"/>
          <w:bCs w:val="0"/>
          <w:color w:val="auto"/>
          <w:lang w:val="es-ES"/>
        </w:rPr>
        <w:t>abril</w:t>
      </w:r>
      <w:r w:rsidRPr="00AA5B4B">
        <w:rPr>
          <w:rFonts w:ascii="Times New Roman" w:hAnsi="Times New Roman" w:cs="Times New Roman"/>
          <w:b w:val="0"/>
          <w:bCs w:val="0"/>
          <w:color w:val="auto"/>
          <w:lang w:val="es-ES"/>
        </w:rPr>
        <w:t xml:space="preserve"> de 202</w:t>
      </w:r>
      <w:r w:rsidR="00C317EF">
        <w:rPr>
          <w:rFonts w:ascii="Times New Roman" w:hAnsi="Times New Roman" w:cs="Times New Roman"/>
          <w:b w:val="0"/>
          <w:bCs w:val="0"/>
          <w:color w:val="auto"/>
          <w:lang w:val="es-ES"/>
        </w:rPr>
        <w:t>0</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C26C99">
        <w:rPr>
          <w:rFonts w:ascii="Times New Roman" w:hAnsi="Times New Roman" w:cs="Times New Roman"/>
          <w:b w:val="0"/>
          <w:bCs w:val="0"/>
          <w:color w:val="auto"/>
          <w:lang w:val="es-ES"/>
        </w:rPr>
        <w:t>que presenta</w:t>
      </w:r>
      <w:r w:rsidR="0090519F">
        <w:rPr>
          <w:rFonts w:ascii="Times New Roman" w:hAnsi="Times New Roman" w:cs="Times New Roman"/>
          <w:b w:val="0"/>
          <w:bCs w:val="0"/>
          <w:color w:val="auto"/>
          <w:lang w:val="es-ES"/>
        </w:rPr>
        <w:t xml:space="preserve"> un</w:t>
      </w:r>
      <w:r w:rsidR="00C317EF">
        <w:rPr>
          <w:rFonts w:ascii="Times New Roman" w:hAnsi="Times New Roman" w:cs="Times New Roman"/>
          <w:b w:val="0"/>
          <w:bCs w:val="0"/>
          <w:color w:val="auto"/>
          <w:lang w:val="es-ES"/>
        </w:rPr>
        <w:t>a</w:t>
      </w:r>
      <w:r w:rsidR="0090519F">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disminución</w:t>
      </w:r>
      <w:r w:rsidR="0090519F">
        <w:rPr>
          <w:rFonts w:ascii="Times New Roman" w:hAnsi="Times New Roman" w:cs="Times New Roman"/>
          <w:b w:val="0"/>
          <w:bCs w:val="0"/>
          <w:color w:val="auto"/>
          <w:lang w:val="es-ES"/>
        </w:rPr>
        <w:t xml:space="preserve"> de </w:t>
      </w:r>
      <w:r w:rsidR="00095CFE">
        <w:rPr>
          <w:rFonts w:ascii="Times New Roman" w:hAnsi="Times New Roman" w:cs="Times New Roman"/>
          <w:b w:val="0"/>
          <w:bCs w:val="0"/>
          <w:color w:val="auto"/>
          <w:lang w:val="es-ES"/>
        </w:rPr>
        <w:t>$</w:t>
      </w:r>
      <w:r w:rsidR="00095CFE" w:rsidRPr="00095CFE">
        <w:rPr>
          <w:rFonts w:ascii="Times New Roman" w:hAnsi="Times New Roman" w:cs="Times New Roman"/>
          <w:b w:val="0"/>
          <w:bCs w:val="0"/>
          <w:color w:val="auto"/>
          <w:lang w:val="es-ES"/>
        </w:rPr>
        <w:t>-4.682.160</w:t>
      </w:r>
      <w:r w:rsidR="00095CFE">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miles</w:t>
      </w:r>
      <w:r w:rsidR="00095CFE">
        <w:rPr>
          <w:rFonts w:ascii="Times New Roman" w:hAnsi="Times New Roman" w:cs="Times New Roman"/>
          <w:b w:val="0"/>
          <w:bCs w:val="0"/>
          <w:color w:val="auto"/>
          <w:lang w:val="es-ES"/>
        </w:rPr>
        <w:t>.</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BDCFF02" w14:textId="77777777" w:rsidR="00EE7D10"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p>
    <w:p w14:paraId="5BBC3833" w14:textId="77777777" w:rsidR="00EE7D10"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09EE419" w14:textId="02D4CDF3" w:rsidR="00EB15AA" w:rsidRPr="00781327" w:rsidRDefault="00E919AA"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sidRPr="00781327">
        <w:rPr>
          <w:rFonts w:asciiTheme="majorBidi" w:hAnsiTheme="majorBidi" w:cstheme="majorBidi"/>
          <w:b w:val="0"/>
          <w:bCs w:val="0"/>
          <w:color w:val="auto"/>
          <w:lang w:val="es-ES"/>
        </w:rPr>
        <w:t>una</w:t>
      </w:r>
      <w:r w:rsidR="00DC0D95" w:rsidRPr="00781327">
        <w:rPr>
          <w:rFonts w:asciiTheme="majorBidi" w:hAnsiTheme="majorBidi" w:cstheme="majorBidi"/>
          <w:b w:val="0"/>
          <w:bCs w:val="0"/>
          <w:color w:val="auto"/>
          <w:lang w:val="es-ES"/>
        </w:rPr>
        <w:t xml:space="preserve"> </w:t>
      </w:r>
      <w:r w:rsidR="00942371" w:rsidRPr="00781327">
        <w:rPr>
          <w:rFonts w:asciiTheme="majorBidi" w:hAnsiTheme="majorBidi" w:cstheme="majorBidi"/>
          <w:b w:val="0"/>
          <w:bCs w:val="0"/>
          <w:color w:val="auto"/>
          <w:lang w:val="es-ES"/>
        </w:rPr>
        <w:t>disminución</w:t>
      </w:r>
      <w:r w:rsidR="00DC0D95" w:rsidRPr="00781327">
        <w:rPr>
          <w:rFonts w:asciiTheme="majorBidi" w:hAnsiTheme="majorBidi" w:cstheme="majorBidi"/>
          <w:b w:val="0"/>
          <w:bCs w:val="0"/>
          <w:color w:val="auto"/>
          <w:lang w:val="es-ES"/>
        </w:rPr>
        <w:t xml:space="preserve"> en </w:t>
      </w:r>
      <w:r w:rsidR="00942371" w:rsidRPr="00781327">
        <w:rPr>
          <w:rFonts w:asciiTheme="majorBidi" w:hAnsiTheme="majorBidi" w:cstheme="majorBidi"/>
          <w:b w:val="0"/>
          <w:bCs w:val="0"/>
          <w:color w:val="auto"/>
          <w:lang w:val="es-ES"/>
        </w:rPr>
        <w:t>la subcuenta</w:t>
      </w:r>
      <w:r w:rsidR="00AA5B4B"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5.1.11.06 </w:t>
      </w:r>
      <w:r w:rsidR="00294B50" w:rsidRPr="00781327">
        <w:rPr>
          <w:rFonts w:asciiTheme="majorBidi" w:hAnsiTheme="majorBidi" w:cstheme="majorBidi"/>
          <w:b w:val="0"/>
          <w:bCs w:val="0"/>
          <w:i/>
          <w:iCs/>
          <w:color w:val="auto"/>
          <w:lang w:val="es-ES"/>
        </w:rPr>
        <w:t>Estudios y proyectos</w:t>
      </w:r>
      <w:r w:rsidR="00294B50" w:rsidRPr="00781327">
        <w:rPr>
          <w:rFonts w:asciiTheme="majorBidi" w:hAnsiTheme="majorBidi" w:cstheme="majorBidi"/>
          <w:b w:val="0"/>
          <w:bCs w:val="0"/>
          <w:color w:val="auto"/>
          <w:lang w:val="es-ES"/>
        </w:rPr>
        <w:t xml:space="preserve"> por valor de</w:t>
      </w:r>
      <w:r w:rsidR="00EE7D10" w:rsidRPr="00781327">
        <w:rPr>
          <w:rFonts w:asciiTheme="majorBidi" w:hAnsiTheme="majorBidi" w:cstheme="majorBidi"/>
          <w:b w:val="0"/>
          <w:bCs w:val="0"/>
          <w:color w:val="auto"/>
          <w:lang w:val="es-ES"/>
        </w:rPr>
        <w:t xml:space="preserve"> </w:t>
      </w:r>
      <w:r w:rsidR="007F4CDF" w:rsidRPr="00781327">
        <w:rPr>
          <w:rFonts w:asciiTheme="majorBidi" w:hAnsiTheme="majorBidi" w:cstheme="majorBidi"/>
          <w:b w:val="0"/>
          <w:bCs w:val="0"/>
          <w:color w:val="auto"/>
          <w:lang w:val="es-ES"/>
        </w:rPr>
        <w:t>$4.520.616</w:t>
      </w:r>
      <w:r w:rsidR="00EB15AA"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miles, que </w:t>
      </w:r>
      <w:r w:rsidR="00822DFD">
        <w:rPr>
          <w:rFonts w:asciiTheme="majorBidi" w:hAnsiTheme="majorBidi" w:cstheme="majorBidi"/>
          <w:b w:val="0"/>
          <w:bCs w:val="0"/>
          <w:color w:val="auto"/>
          <w:lang w:val="es-ES"/>
        </w:rPr>
        <w:t>se debe</w:t>
      </w:r>
      <w:r w:rsidR="00294B5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en su m</w:t>
      </w:r>
      <w:r w:rsidR="00294B50" w:rsidRPr="00781327">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yoría a</w:t>
      </w:r>
      <w:r w:rsidR="00EE7D1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 xml:space="preserve">una </w:t>
      </w:r>
      <w:r w:rsidR="00942371" w:rsidRPr="00781327">
        <w:rPr>
          <w:rFonts w:asciiTheme="majorBidi" w:hAnsiTheme="majorBidi" w:cstheme="majorBidi"/>
          <w:b w:val="0"/>
          <w:bCs w:val="0"/>
          <w:color w:val="auto"/>
          <w:lang w:val="es-ES"/>
        </w:rPr>
        <w:t>menor</w:t>
      </w:r>
      <w:r w:rsidR="00294B50" w:rsidRPr="00781327">
        <w:rPr>
          <w:rFonts w:asciiTheme="majorBidi" w:hAnsiTheme="majorBidi" w:cstheme="majorBidi"/>
          <w:b w:val="0"/>
          <w:bCs w:val="0"/>
          <w:color w:val="auto"/>
          <w:lang w:val="es-ES"/>
        </w:rPr>
        <w:t xml:space="preserve"> ejecución del convenio No. 024 de 2017 con la Financiera de Desarrollo Nacional</w:t>
      </w:r>
      <w:r w:rsidR="00EE7D10" w:rsidRPr="00781327">
        <w:rPr>
          <w:rFonts w:asciiTheme="majorBidi" w:hAnsiTheme="majorBidi" w:cstheme="majorBidi"/>
          <w:b w:val="0"/>
          <w:bCs w:val="0"/>
          <w:color w:val="auto"/>
          <w:lang w:val="es-ES"/>
        </w:rPr>
        <w:t>, por valor de</w:t>
      </w:r>
      <w:r w:rsid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w:t>
      </w:r>
      <w:r w:rsidR="00EE7D10" w:rsidRPr="00781327">
        <w:rPr>
          <w:rFonts w:asciiTheme="majorBidi" w:hAnsiTheme="majorBidi" w:cstheme="majorBidi"/>
          <w:b w:val="0"/>
          <w:bCs w:val="0"/>
          <w:color w:val="auto"/>
          <w:lang w:val="es-ES"/>
        </w:rPr>
        <w:t>2.950.238</w:t>
      </w:r>
      <w:r w:rsidR="00781327" w:rsidRP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miles</w:t>
      </w:r>
      <w:r w:rsidR="00EB15AA"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El objeto de convenio</w:t>
      </w:r>
      <w:r w:rsidR="0090519F" w:rsidRPr="00781327">
        <w:rPr>
          <w:rFonts w:asciiTheme="majorBidi" w:hAnsiTheme="majorBidi" w:cstheme="majorBidi"/>
          <w:b w:val="0"/>
          <w:bCs w:val="0"/>
          <w:color w:val="auto"/>
          <w:lang w:val="es-ES"/>
        </w:rPr>
        <w:t xml:space="preserve"> es</w:t>
      </w:r>
      <w:r w:rsidR="00DC257A" w:rsidRPr="00781327">
        <w:rPr>
          <w:rFonts w:asciiTheme="majorBidi" w:hAnsiTheme="majorBidi" w:cstheme="majorBidi"/>
          <w:b w:val="0"/>
          <w:bCs w:val="0"/>
          <w:color w:val="auto"/>
          <w:lang w:val="es-ES"/>
        </w:rPr>
        <w:t xml:space="preserve"> </w:t>
      </w:r>
      <w:r w:rsidR="00DB2277" w:rsidRPr="00781327">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781327">
        <w:rPr>
          <w:rFonts w:asciiTheme="majorBidi" w:hAnsiTheme="majorBidi" w:cstheme="majorBidi"/>
          <w:b w:val="0"/>
          <w:bCs w:val="0"/>
          <w:color w:val="auto"/>
          <w:lang w:val="es-ES"/>
        </w:rPr>
        <w:t xml:space="preserve">, y  una disminución por valor de $1.479.500 miles, debido a que en el año 2021 no se han realizado pagos </w:t>
      </w:r>
      <w:r w:rsidR="00EB15AA" w:rsidRPr="00781327">
        <w:rPr>
          <w:rFonts w:asciiTheme="majorBidi" w:hAnsiTheme="majorBidi" w:cstheme="majorBidi"/>
          <w:b w:val="0"/>
          <w:bCs w:val="0"/>
          <w:color w:val="auto"/>
        </w:rPr>
        <w:t>para el proceso de consultas previas en el marco de proyecto</w:t>
      </w:r>
      <w:r w:rsidR="00822DFD">
        <w:rPr>
          <w:rFonts w:asciiTheme="majorBidi" w:hAnsiTheme="majorBidi" w:cstheme="majorBidi"/>
          <w:b w:val="0"/>
          <w:bCs w:val="0"/>
          <w:color w:val="auto"/>
        </w:rPr>
        <w:t>s</w:t>
      </w:r>
      <w:r w:rsidR="00EB15AA" w:rsidRPr="00781327">
        <w:rPr>
          <w:rFonts w:asciiTheme="majorBidi" w:hAnsiTheme="majorBidi" w:cstheme="majorBidi"/>
          <w:b w:val="0"/>
          <w:bCs w:val="0"/>
          <w:color w:val="auto"/>
        </w:rPr>
        <w:t xml:space="preserve"> de APP de iniciativa Pública.</w:t>
      </w:r>
    </w:p>
    <w:p w14:paraId="77397AA3" w14:textId="7AA170AA" w:rsidR="00EB15AA"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lang w:val="es-ES"/>
        </w:rPr>
      </w:pPr>
    </w:p>
    <w:p w14:paraId="53416F66" w14:textId="21222013" w:rsidR="00B96A44" w:rsidRDefault="00781327" w:rsidP="00EB15AA">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U</w:t>
      </w:r>
      <w:r w:rsidR="00E919AA">
        <w:rPr>
          <w:rFonts w:ascii="Times New Roman" w:hAnsi="Times New Roman" w:cs="Times New Roman"/>
          <w:b w:val="0"/>
          <w:bCs w:val="0"/>
          <w:color w:val="auto"/>
          <w:lang w:val="es-ES"/>
        </w:rPr>
        <w:t>n</w:t>
      </w:r>
      <w:r>
        <w:rPr>
          <w:rFonts w:ascii="Times New Roman" w:hAnsi="Times New Roman" w:cs="Times New Roman"/>
          <w:b w:val="0"/>
          <w:bCs w:val="0"/>
          <w:color w:val="auto"/>
          <w:lang w:val="es-ES"/>
        </w:rPr>
        <w:t xml:space="preserve"> incremento</w:t>
      </w:r>
      <w:r w:rsidR="00DC0D95">
        <w:rPr>
          <w:rFonts w:ascii="Times New Roman" w:hAnsi="Times New Roman" w:cs="Times New Roman"/>
          <w:b w:val="0"/>
          <w:bCs w:val="0"/>
          <w:color w:val="auto"/>
          <w:lang w:val="es-ES"/>
        </w:rPr>
        <w:t xml:space="preserve"> 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r w:rsidR="004D3D05">
        <w:rPr>
          <w:rFonts w:ascii="Times New Roman" w:hAnsi="Times New Roman" w:cs="Times New Roman"/>
          <w:b w:val="0"/>
          <w:bCs w:val="0"/>
          <w:color w:val="auto"/>
          <w:lang w:val="es-ES"/>
        </w:rPr>
        <w:t>$</w:t>
      </w:r>
      <w:r w:rsidR="00377664">
        <w:rPr>
          <w:rFonts w:ascii="Times New Roman" w:hAnsi="Times New Roman" w:cs="Times New Roman"/>
          <w:b w:val="0"/>
          <w:bCs w:val="0"/>
          <w:color w:val="auto"/>
          <w:lang w:val="es-ES"/>
        </w:rPr>
        <w:t>1</w:t>
      </w:r>
      <w:r w:rsidR="004D3D05" w:rsidRPr="004D3D05">
        <w:rPr>
          <w:rFonts w:ascii="Times New Roman" w:hAnsi="Times New Roman" w:cs="Times New Roman"/>
          <w:b w:val="0"/>
          <w:bCs w:val="0"/>
          <w:color w:val="auto"/>
          <w:lang w:val="es-ES"/>
        </w:rPr>
        <w:t>.</w:t>
      </w:r>
      <w:r w:rsidR="00377664">
        <w:rPr>
          <w:rFonts w:ascii="Times New Roman" w:hAnsi="Times New Roman" w:cs="Times New Roman"/>
          <w:b w:val="0"/>
          <w:bCs w:val="0"/>
          <w:color w:val="auto"/>
          <w:lang w:val="es-ES"/>
        </w:rPr>
        <w:t>599</w:t>
      </w:r>
      <w:r w:rsidR="004D3D05" w:rsidRPr="004D3D05">
        <w:rPr>
          <w:rFonts w:ascii="Times New Roman" w:hAnsi="Times New Roman" w:cs="Times New Roman"/>
          <w:b w:val="0"/>
          <w:bCs w:val="0"/>
          <w:color w:val="auto"/>
          <w:lang w:val="es-ES"/>
        </w:rPr>
        <w:t>.</w:t>
      </w:r>
      <w:r w:rsidR="00377664">
        <w:rPr>
          <w:rFonts w:ascii="Times New Roman" w:hAnsi="Times New Roman" w:cs="Times New Roman"/>
          <w:b w:val="0"/>
          <w:bCs w:val="0"/>
          <w:color w:val="auto"/>
          <w:lang w:val="es-ES"/>
        </w:rPr>
        <w:t>12</w:t>
      </w:r>
      <w:r w:rsidR="004D3D05" w:rsidRPr="004D3D05">
        <w:rPr>
          <w:rFonts w:ascii="Times New Roman" w:hAnsi="Times New Roman" w:cs="Times New Roman"/>
          <w:b w:val="0"/>
          <w:bCs w:val="0"/>
          <w:color w:val="auto"/>
          <w:lang w:val="es-ES"/>
        </w:rPr>
        <w:t>5</w:t>
      </w:r>
      <w:r w:rsidR="004D3D05">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al corte de</w:t>
      </w:r>
      <w:r w:rsidR="00377664">
        <w:rPr>
          <w:rFonts w:ascii="Times New Roman" w:hAnsi="Times New Roman" w:cs="Times New Roman"/>
          <w:b w:val="0"/>
          <w:bCs w:val="0"/>
          <w:color w:val="auto"/>
          <w:lang w:val="es-ES"/>
        </w:rPr>
        <w:t xml:space="preserve"> abril</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EA121B">
        <w:rPr>
          <w:rFonts w:ascii="Times New Roman" w:hAnsi="Times New Roman" w:cs="Times New Roman"/>
          <w:b w:val="0"/>
          <w:bCs w:val="0"/>
          <w:color w:val="auto"/>
          <w:lang w:val="es-ES"/>
        </w:rPr>
        <w:t>mayores pagos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xml:space="preserve">, al Consorcio </w:t>
      </w:r>
      <w:proofErr w:type="spellStart"/>
      <w:r w:rsidR="001F22CA">
        <w:rPr>
          <w:rFonts w:ascii="Times New Roman" w:hAnsi="Times New Roman" w:cs="Times New Roman"/>
          <w:b w:val="0"/>
          <w:bCs w:val="0"/>
          <w:color w:val="auto"/>
          <w:lang w:val="es-ES"/>
        </w:rPr>
        <w:t>Ibines</w:t>
      </w:r>
      <w:proofErr w:type="spellEnd"/>
      <w:r w:rsidR="00EA121B">
        <w:rPr>
          <w:rFonts w:ascii="Times New Roman" w:hAnsi="Times New Roman" w:cs="Times New Roman"/>
          <w:b w:val="0"/>
          <w:bCs w:val="0"/>
          <w:color w:val="auto"/>
          <w:lang w:val="es-ES"/>
        </w:rPr>
        <w:t>.</w:t>
      </w:r>
    </w:p>
    <w:p w14:paraId="784CB941" w14:textId="77777777" w:rsidR="00966246" w:rsidRDefault="00966246"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21E9D006" w14:textId="2C05112C" w:rsidR="00AC23E7" w:rsidRPr="00995A1F" w:rsidRDefault="00C317EF"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gastos</w:t>
      </w:r>
    </w:p>
    <w:p w14:paraId="79D9FA51" w14:textId="77777777" w:rsidR="00D5023B" w:rsidRPr="00995A1F"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1F91989" w14:textId="5F405373" w:rsidR="009F1554" w:rsidRDefault="00AC23E7" w:rsidP="00506F7D">
      <w:pPr>
        <w:jc w:val="both"/>
      </w:pPr>
      <w:r w:rsidRPr="008C5A1B">
        <w:t xml:space="preserve">El grupo </w:t>
      </w:r>
      <w:r w:rsidR="00D5023B" w:rsidRPr="008C5A1B">
        <w:t>5.</w:t>
      </w:r>
      <w:r w:rsidR="00C317EF">
        <w:t>8</w:t>
      </w:r>
      <w:r w:rsidR="00D5023B" w:rsidRPr="008C5A1B">
        <w:t xml:space="preserve"> </w:t>
      </w:r>
      <w:r w:rsidR="00C317EF">
        <w:rPr>
          <w:i/>
          <w:iCs/>
        </w:rPr>
        <w:t>Otros gastos</w:t>
      </w:r>
      <w:r w:rsidR="00D5023B" w:rsidRPr="008C5A1B">
        <w:t xml:space="preserve"> </w:t>
      </w:r>
      <w:r w:rsidRPr="008C5A1B">
        <w:t>presenta un</w:t>
      </w:r>
      <w:r w:rsidR="00E50F0D">
        <w:t xml:space="preserve"> </w:t>
      </w:r>
      <w:r w:rsidR="00DA34EF">
        <w:t>incremento</w:t>
      </w:r>
      <w:r w:rsidR="00506F7D" w:rsidRPr="008C5A1B">
        <w:t xml:space="preserve"> por valor </w:t>
      </w:r>
      <w:r w:rsidRPr="008C5A1B">
        <w:t>de</w:t>
      </w:r>
      <w:r w:rsidR="009F1554">
        <w:t xml:space="preserve">  </w:t>
      </w:r>
      <w:r w:rsidRPr="008C5A1B">
        <w:t xml:space="preserve"> </w:t>
      </w:r>
      <w:r w:rsidR="00DA34EF">
        <w:t>$</w:t>
      </w:r>
      <w:r w:rsidR="00707281" w:rsidRPr="00707281">
        <w:t>1.885.833</w:t>
      </w:r>
      <w:r w:rsidR="00CA63BD">
        <w:t xml:space="preserve"> </w:t>
      </w:r>
      <w:r w:rsidR="00A67C66" w:rsidRPr="008C5A1B">
        <w:t>miles</w:t>
      </w:r>
      <w:r w:rsidR="00164AB5" w:rsidRPr="008C5A1B">
        <w:t>,</w:t>
      </w:r>
      <w:r w:rsidRPr="008C5A1B">
        <w:t xml:space="preserve"> </w:t>
      </w:r>
      <w:r w:rsidR="00CA63BD">
        <w:t>a abril</w:t>
      </w:r>
      <w:r w:rsidRPr="008C5A1B">
        <w:t xml:space="preserve"> de 202</w:t>
      </w:r>
      <w:r w:rsidR="00506F7D" w:rsidRPr="008C5A1B">
        <w:t xml:space="preserve">1 comparado con </w:t>
      </w:r>
      <w:r w:rsidR="00CA63BD">
        <w:t>abril</w:t>
      </w:r>
      <w:r w:rsidR="00506F7D" w:rsidRPr="008C5A1B">
        <w:t xml:space="preserve"> de 2020</w:t>
      </w:r>
      <w:r w:rsidR="000B1040" w:rsidRPr="008C5A1B">
        <w:t>,</w:t>
      </w:r>
      <w:r w:rsidRPr="008C5A1B">
        <w:t xml:space="preserve"> </w:t>
      </w:r>
      <w:r w:rsidR="00D5023B" w:rsidRPr="008C5A1B">
        <w:t>principalmente</w:t>
      </w:r>
      <w:r w:rsidRPr="008C5A1B">
        <w:t xml:space="preserve"> por </w:t>
      </w:r>
      <w:r w:rsidR="00646650">
        <w:t xml:space="preserve">una variación </w:t>
      </w:r>
      <w:r w:rsidR="000813AA">
        <w:t xml:space="preserve">por valor </w:t>
      </w:r>
      <w:r w:rsidR="00646650">
        <w:t xml:space="preserve">de </w:t>
      </w:r>
      <w:r w:rsidR="00646650" w:rsidRPr="008C5A1B">
        <w:t>$</w:t>
      </w:r>
      <w:r w:rsidR="00DA34EF" w:rsidRPr="00DA34EF">
        <w:t>1.093.687</w:t>
      </w:r>
      <w:r w:rsidR="00B03025">
        <w:t xml:space="preserve"> </w:t>
      </w:r>
      <w:r w:rsidR="00646650" w:rsidRPr="008C5A1B">
        <w:t>miles</w:t>
      </w:r>
      <w:r w:rsidR="00646650">
        <w:t xml:space="preserve">, en </w:t>
      </w:r>
      <w:r w:rsidRPr="008C5A1B">
        <w:t xml:space="preserve">la </w:t>
      </w:r>
      <w:r w:rsidR="009F1554">
        <w:t>sub</w:t>
      </w:r>
      <w:r w:rsidRPr="008C5A1B">
        <w:t>cuenta</w:t>
      </w:r>
      <w:r w:rsidR="00C40BF0" w:rsidRPr="008C5A1B">
        <w:t xml:space="preserve"> </w:t>
      </w:r>
      <w:r w:rsidR="00DA34EF" w:rsidRPr="00DA34EF">
        <w:t>5.8.04.35</w:t>
      </w:r>
      <w:r w:rsidR="00B03025">
        <w:t xml:space="preserve"> </w:t>
      </w:r>
      <w:r w:rsidR="00DA34EF" w:rsidRPr="00DA34EF">
        <w:rPr>
          <w:i/>
          <w:iCs/>
        </w:rPr>
        <w:t>Costo efectivo de préstamos por pagar - financiamiento interno de largo plazo</w:t>
      </w:r>
      <w:r w:rsidR="00C40BF0" w:rsidRPr="008C5A1B">
        <w:t xml:space="preserve">, </w:t>
      </w:r>
      <w:r w:rsidR="009F1554">
        <w:t xml:space="preserve">por </w:t>
      </w:r>
      <w:r w:rsidR="005B7E5F">
        <w:t xml:space="preserve">actualización del IPC de la deuda reconocida por el saldo </w:t>
      </w:r>
      <w:r w:rsidR="005B7E5F" w:rsidRPr="005B7E5F">
        <w:t>del aporte estatal de la vigencia 2016, del proyecto Ruta del Sol Sector 1</w:t>
      </w:r>
      <w:r w:rsidR="009F1554">
        <w:t>.</w:t>
      </w:r>
    </w:p>
    <w:p w14:paraId="07CA1C73" w14:textId="78F7CD8A" w:rsidR="009F1554" w:rsidRDefault="009F1554" w:rsidP="00506F7D">
      <w:pPr>
        <w:jc w:val="both"/>
      </w:pPr>
    </w:p>
    <w:p w14:paraId="645C6557" w14:textId="77777777" w:rsidR="00264F95" w:rsidRPr="00264F95" w:rsidRDefault="00264F95" w:rsidP="00264F95">
      <w:pPr>
        <w:pStyle w:val="Prrafodelista"/>
        <w:numPr>
          <w:ilvl w:val="0"/>
          <w:numId w:val="6"/>
        </w:numPr>
        <w:rPr>
          <w:b/>
          <w:bCs/>
        </w:rPr>
      </w:pPr>
      <w:r w:rsidRPr="00264F95">
        <w:rPr>
          <w:b/>
          <w:bCs/>
        </w:rPr>
        <w:t>Deterioro, depreciaciones, amortizaciones y provisiones</w:t>
      </w:r>
    </w:p>
    <w:p w14:paraId="79E42ED0" w14:textId="12B8BAC5" w:rsidR="00264F95" w:rsidRPr="00264F95" w:rsidRDefault="00264F95" w:rsidP="00264F95">
      <w:pPr>
        <w:pStyle w:val="Prrafodelista"/>
        <w:jc w:val="both"/>
        <w:rPr>
          <w:b/>
          <w:bCs/>
        </w:rPr>
      </w:pPr>
    </w:p>
    <w:p w14:paraId="55952922" w14:textId="2B75DF26" w:rsidR="0040083B" w:rsidRDefault="00264F95" w:rsidP="00241D71">
      <w:pPr>
        <w:jc w:val="both"/>
      </w:pPr>
      <w:r w:rsidRPr="00264F95">
        <w:t xml:space="preserve">El grupo 5.3 </w:t>
      </w:r>
      <w:r w:rsidRPr="00264F95">
        <w:rPr>
          <w:i/>
          <w:iCs/>
        </w:rPr>
        <w:t>Deterioro, depreciaciones, amortizaciones y provisiones</w:t>
      </w:r>
      <w:r w:rsidRPr="00264F95">
        <w:t xml:space="preserve"> presenta un incremento por valor de $</w:t>
      </w:r>
      <w:r w:rsidR="00CA63BD" w:rsidRPr="00CA63BD">
        <w:t xml:space="preserve"> 1.246.396</w:t>
      </w:r>
      <w:r w:rsidR="00CA63BD">
        <w:t xml:space="preserve"> </w:t>
      </w:r>
      <w:r w:rsidRPr="00264F95">
        <w:t>miles</w:t>
      </w:r>
      <w:r w:rsidR="00A17360">
        <w:t>,</w:t>
      </w:r>
      <w:r w:rsidRPr="00264F95">
        <w:t xml:space="preserve"> en el mes de </w:t>
      </w:r>
      <w:r w:rsidR="00CA63BD">
        <w:t>abril</w:t>
      </w:r>
      <w:r w:rsidRPr="00264F95">
        <w:t xml:space="preserve"> de 202</w:t>
      </w:r>
      <w:r>
        <w:t>1</w:t>
      </w:r>
      <w:r w:rsidRPr="00264F95">
        <w:t xml:space="preserve"> con relación a </w:t>
      </w:r>
      <w:r w:rsidR="00CA63BD">
        <w:t>abril</w:t>
      </w:r>
      <w:r w:rsidRPr="00264F95">
        <w:t xml:space="preserve"> de 20</w:t>
      </w:r>
      <w:r>
        <w:t>20</w:t>
      </w:r>
      <w:r w:rsidRPr="00264F95">
        <w:t>, principalmente por la depreciación de bienes de uso público en servicio</w:t>
      </w:r>
      <w:r w:rsidR="00241D71">
        <w:t xml:space="preserve"> por valor de $</w:t>
      </w:r>
      <w:r w:rsidR="00CA63BD" w:rsidRPr="00CA63BD">
        <w:t>1.130.867</w:t>
      </w:r>
      <w:r w:rsidR="00CA63BD">
        <w:t xml:space="preserve"> </w:t>
      </w:r>
      <w:r w:rsidR="00241D71">
        <w:t>miles.</w:t>
      </w:r>
    </w:p>
    <w:p w14:paraId="45FBD416" w14:textId="0A2B193D" w:rsidR="00264F95" w:rsidRDefault="00264F95" w:rsidP="00506F7D">
      <w:pPr>
        <w:jc w:val="both"/>
      </w:pPr>
    </w:p>
    <w:p w14:paraId="3273EDD6" w14:textId="2477F8D2" w:rsidR="002416EC" w:rsidRDefault="002416EC" w:rsidP="00506F7D">
      <w:pPr>
        <w:jc w:val="both"/>
      </w:pPr>
    </w:p>
    <w:p w14:paraId="29914E1B" w14:textId="466E3607" w:rsidR="002416EC" w:rsidRDefault="002416EC" w:rsidP="00506F7D">
      <w:pPr>
        <w:jc w:val="both"/>
      </w:pPr>
    </w:p>
    <w:p w14:paraId="0D1B8AAE" w14:textId="74A3EA68" w:rsidR="002416EC" w:rsidRDefault="002416EC" w:rsidP="00506F7D">
      <w:pPr>
        <w:jc w:val="both"/>
      </w:pPr>
    </w:p>
    <w:p w14:paraId="4F6496A2" w14:textId="77777777" w:rsidR="002416EC" w:rsidRDefault="002416EC" w:rsidP="00506F7D">
      <w:pPr>
        <w:jc w:val="both"/>
      </w:pPr>
    </w:p>
    <w:p w14:paraId="61276742" w14:textId="1B2C500A"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EN </w:t>
      </w:r>
      <w:r w:rsidR="00AC0E8F">
        <w:rPr>
          <w:b/>
          <w:bCs/>
        </w:rPr>
        <w:t>ABRIL</w:t>
      </w:r>
      <w:r w:rsidR="0040083B" w:rsidRPr="00995A1F">
        <w:rPr>
          <w:b/>
          <w:bCs/>
        </w:rPr>
        <w:t xml:space="preserve"> DE 202</w:t>
      </w:r>
      <w:r w:rsidR="0040083B">
        <w:rPr>
          <w:b/>
          <w:bCs/>
        </w:rPr>
        <w:t>1</w:t>
      </w:r>
    </w:p>
    <w:p w14:paraId="6390D2B6" w14:textId="45F06B88" w:rsidR="00FC62CA" w:rsidRDefault="00FC62CA" w:rsidP="00FC62CA">
      <w:pPr>
        <w:rPr>
          <w:b/>
          <w:bCs/>
        </w:rPr>
      </w:pPr>
    </w:p>
    <w:p w14:paraId="3B84E25F" w14:textId="484FB0D1" w:rsidR="000D7F11" w:rsidRDefault="00CB10CB" w:rsidP="00F24AB1">
      <w:pPr>
        <w:jc w:val="both"/>
      </w:pPr>
      <w:r w:rsidRPr="00CB10CB">
        <w:t xml:space="preserve">En la cuenta 5.8.90 </w:t>
      </w:r>
      <w:r w:rsidRPr="00AC0E8F">
        <w:rPr>
          <w:i/>
          <w:iCs/>
        </w:rPr>
        <w:t>Gastos diversos</w:t>
      </w:r>
      <w:r w:rsidRPr="00CB10CB">
        <w:t xml:space="preserve">, subcuenta 5.8.90.36 </w:t>
      </w:r>
      <w:r w:rsidRPr="00AC0E8F">
        <w:rPr>
          <w:i/>
          <w:iCs/>
        </w:rPr>
        <w:t>Garantías contractuales – concesiones</w:t>
      </w:r>
      <w:r w:rsidRPr="00CB10CB">
        <w:t xml:space="preserve"> se registró en </w:t>
      </w:r>
      <w:r w:rsidR="00AC0E8F">
        <w:t>abril</w:t>
      </w:r>
      <w:r w:rsidRPr="00CB10CB">
        <w:t xml:space="preserve"> de 2021, un valor de $</w:t>
      </w:r>
      <w:r w:rsidR="00AC0E8F">
        <w:t>79.630</w:t>
      </w:r>
      <w:r w:rsidRPr="00CB10CB">
        <w:t xml:space="preserve"> miles,</w:t>
      </w:r>
      <w:r w:rsidR="00AC0E8F">
        <w:t xml:space="preserve"> </w:t>
      </w:r>
      <w:r w:rsidR="00F24AB1">
        <w:t xml:space="preserve">por intereses corrientes de la liquidación de la deuda </w:t>
      </w:r>
      <w:r w:rsidR="00F24AB1" w:rsidRPr="00F24AB1">
        <w:t>recono</w:t>
      </w:r>
      <w:r w:rsidR="00F24AB1">
        <w:t>cida</w:t>
      </w:r>
      <w:r w:rsidR="00A53B57">
        <w:t xml:space="preserve"> </w:t>
      </w:r>
      <w:r w:rsidR="00F24AB1" w:rsidRPr="00F24AB1">
        <w:t>por Garantía de Ingreso del año 2020, del proyecto Desarrollo Vial Armenia - Pereira -Manizales</w:t>
      </w:r>
      <w:r w:rsidR="00A53B57">
        <w:t>,</w:t>
      </w:r>
      <w:r w:rsidR="00F24AB1" w:rsidRPr="00F24AB1">
        <w:t xml:space="preserve"> Contrato No. 113 de 1997.</w:t>
      </w:r>
    </w:p>
    <w:p w14:paraId="0F51A67A" w14:textId="3ECFE7BD" w:rsidR="00796273" w:rsidRDefault="00796273" w:rsidP="00796273"/>
    <w:p w14:paraId="257ACD82" w14:textId="77777777" w:rsidR="00E11665" w:rsidRPr="006E522C" w:rsidRDefault="00E11665" w:rsidP="00E11665">
      <w:pPr>
        <w:jc w:val="both"/>
        <w:rPr>
          <w:rFonts w:eastAsiaTheme="minorHAnsi"/>
          <w:color w:val="000000"/>
          <w:lang w:eastAsia="en-US"/>
        </w:rPr>
      </w:pPr>
      <w:r>
        <w:rPr>
          <w:rFonts w:eastAsiaTheme="minorHAnsi"/>
          <w:color w:val="000000"/>
          <w:lang w:eastAsia="en-US"/>
        </w:rPr>
        <w:t xml:space="preserve">La actualización de la calificación de la deuda y su liquidación es </w:t>
      </w:r>
      <w:r w:rsidRPr="006E522C">
        <w:rPr>
          <w:rFonts w:eastAsiaTheme="minorHAnsi"/>
          <w:color w:val="000000"/>
          <w:lang w:eastAsia="en-US"/>
        </w:rPr>
        <w:t xml:space="preserve">reportada </w:t>
      </w:r>
      <w:r w:rsidRPr="006E522C">
        <w:rPr>
          <w:lang w:eastAsia="es-CO"/>
        </w:rPr>
        <w:t>por la Vicepresidencia Ejecutiva</w:t>
      </w:r>
      <w:r>
        <w:rPr>
          <w:lang w:eastAsia="es-CO"/>
        </w:rPr>
        <w:t>,</w:t>
      </w:r>
      <w:r w:rsidRPr="006E522C">
        <w:rPr>
          <w:rFonts w:eastAsiaTheme="minorHAnsi"/>
          <w:color w:val="000000"/>
          <w:lang w:eastAsia="en-US"/>
        </w:rPr>
        <w:t xml:space="preserve"> en el formato GCSP-F-006-</w:t>
      </w:r>
      <w:r w:rsidRPr="00972523">
        <w:rPr>
          <w:rFonts w:eastAsiaTheme="minorHAnsi"/>
          <w:i/>
          <w:iCs/>
          <w:color w:val="000000"/>
          <w:lang w:eastAsia="en-US"/>
        </w:rPr>
        <w:t>Liquidación de la deuda</w:t>
      </w:r>
      <w:r>
        <w:rPr>
          <w:rFonts w:eastAsiaTheme="minorHAnsi"/>
          <w:color w:val="000000"/>
          <w:lang w:eastAsia="en-US"/>
        </w:rPr>
        <w:t>.</w:t>
      </w:r>
    </w:p>
    <w:p w14:paraId="48FA0E0F" w14:textId="77777777" w:rsidR="00F24AB1" w:rsidRDefault="00F24AB1" w:rsidP="00796273"/>
    <w:p w14:paraId="2FD2A413" w14:textId="5EE3CFEA" w:rsidR="00D355DC" w:rsidRDefault="00796273" w:rsidP="00780AB1">
      <w:pPr>
        <w:rPr>
          <w:b/>
          <w:bCs/>
        </w:rPr>
      </w:pPr>
      <w:r w:rsidRPr="00796273">
        <w:t xml:space="preserve"> </w:t>
      </w:r>
    </w:p>
    <w:p w14:paraId="41DA7BC2" w14:textId="75CA9CD0" w:rsidR="002F7C28" w:rsidRDefault="002F7C28" w:rsidP="00D355DC">
      <w:pPr>
        <w:rPr>
          <w:b/>
          <w:bCs/>
        </w:rPr>
      </w:pPr>
    </w:p>
    <w:p w14:paraId="1153AC5D" w14:textId="77777777" w:rsidR="00A40D13" w:rsidRDefault="00A40D13" w:rsidP="00647597">
      <w:pPr>
        <w:jc w:val="both"/>
      </w:pPr>
    </w:p>
    <w:p w14:paraId="1B914A49" w14:textId="77777777" w:rsidR="00E11597" w:rsidRDefault="00E11597" w:rsidP="00D355DC"/>
    <w:p w14:paraId="55984724" w14:textId="3DC81C42" w:rsidR="00392ED0" w:rsidRDefault="00392ED0" w:rsidP="00AC23E7">
      <w:pPr>
        <w:jc w:val="center"/>
        <w:rPr>
          <w:color w:val="FF0000"/>
        </w:rPr>
      </w:pPr>
    </w:p>
    <w:p w14:paraId="2C650807" w14:textId="77777777" w:rsidR="00F511CA" w:rsidRPr="00995A1F" w:rsidRDefault="00F511CA"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15:restartNumberingAfterBreak="0">
    <w:nsid w:val="5464448D"/>
    <w:multiLevelType w:val="hybridMultilevel"/>
    <w:tmpl w:val="A72E2D9E"/>
    <w:lvl w:ilvl="0" w:tplc="0576E3BE">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13"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12"/>
  </w:num>
  <w:num w:numId="5">
    <w:abstractNumId w:val="7"/>
  </w:num>
  <w:num w:numId="6">
    <w:abstractNumId w:val="2"/>
  </w:num>
  <w:num w:numId="7">
    <w:abstractNumId w:val="0"/>
  </w:num>
  <w:num w:numId="8">
    <w:abstractNumId w:val="1"/>
  </w:num>
  <w:num w:numId="9">
    <w:abstractNumId w:val="11"/>
  </w:num>
  <w:num w:numId="10">
    <w:abstractNumId w:val="6"/>
  </w:num>
  <w:num w:numId="11">
    <w:abstractNumId w:val="15"/>
  </w:num>
  <w:num w:numId="12">
    <w:abstractNumId w:val="13"/>
  </w:num>
  <w:num w:numId="13">
    <w:abstractNumId w:val="8"/>
  </w:num>
  <w:num w:numId="14">
    <w:abstractNumId w:val="9"/>
  </w:num>
  <w:num w:numId="15">
    <w:abstractNumId w:val="4"/>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C78"/>
    <w:rsid w:val="000123DF"/>
    <w:rsid w:val="0001281C"/>
    <w:rsid w:val="00012EC4"/>
    <w:rsid w:val="00012FC6"/>
    <w:rsid w:val="00013ABB"/>
    <w:rsid w:val="0001416F"/>
    <w:rsid w:val="00014D6F"/>
    <w:rsid w:val="00014FAB"/>
    <w:rsid w:val="00015092"/>
    <w:rsid w:val="00015762"/>
    <w:rsid w:val="00015E59"/>
    <w:rsid w:val="00015F11"/>
    <w:rsid w:val="00016390"/>
    <w:rsid w:val="00016F8E"/>
    <w:rsid w:val="00017E4E"/>
    <w:rsid w:val="00021022"/>
    <w:rsid w:val="00021EEE"/>
    <w:rsid w:val="000222CE"/>
    <w:rsid w:val="00022B08"/>
    <w:rsid w:val="00023790"/>
    <w:rsid w:val="00024127"/>
    <w:rsid w:val="000243A8"/>
    <w:rsid w:val="000245C4"/>
    <w:rsid w:val="00024D1E"/>
    <w:rsid w:val="00024DFE"/>
    <w:rsid w:val="00025357"/>
    <w:rsid w:val="000257C0"/>
    <w:rsid w:val="00027C73"/>
    <w:rsid w:val="00027E90"/>
    <w:rsid w:val="00031465"/>
    <w:rsid w:val="00032B9C"/>
    <w:rsid w:val="00032B9F"/>
    <w:rsid w:val="00033583"/>
    <w:rsid w:val="00033BBF"/>
    <w:rsid w:val="00033E95"/>
    <w:rsid w:val="0003418B"/>
    <w:rsid w:val="00034698"/>
    <w:rsid w:val="000347CC"/>
    <w:rsid w:val="00035D51"/>
    <w:rsid w:val="00035F11"/>
    <w:rsid w:val="000367EF"/>
    <w:rsid w:val="0003709B"/>
    <w:rsid w:val="00037DF1"/>
    <w:rsid w:val="00040042"/>
    <w:rsid w:val="00041229"/>
    <w:rsid w:val="00042954"/>
    <w:rsid w:val="0004369E"/>
    <w:rsid w:val="0004400A"/>
    <w:rsid w:val="000452CA"/>
    <w:rsid w:val="0004553B"/>
    <w:rsid w:val="00046498"/>
    <w:rsid w:val="000465FD"/>
    <w:rsid w:val="00046A6B"/>
    <w:rsid w:val="00046D2C"/>
    <w:rsid w:val="00047789"/>
    <w:rsid w:val="000478DA"/>
    <w:rsid w:val="000509E9"/>
    <w:rsid w:val="0005195B"/>
    <w:rsid w:val="0005293F"/>
    <w:rsid w:val="00052A86"/>
    <w:rsid w:val="00052CF2"/>
    <w:rsid w:val="00052FA5"/>
    <w:rsid w:val="0005314A"/>
    <w:rsid w:val="0005349B"/>
    <w:rsid w:val="0005385E"/>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5B31"/>
    <w:rsid w:val="0006614B"/>
    <w:rsid w:val="00066B49"/>
    <w:rsid w:val="00066D34"/>
    <w:rsid w:val="00066F82"/>
    <w:rsid w:val="000670C3"/>
    <w:rsid w:val="0007021F"/>
    <w:rsid w:val="0007025E"/>
    <w:rsid w:val="00070793"/>
    <w:rsid w:val="00071025"/>
    <w:rsid w:val="0007120B"/>
    <w:rsid w:val="00071575"/>
    <w:rsid w:val="00072929"/>
    <w:rsid w:val="0007294E"/>
    <w:rsid w:val="00072E07"/>
    <w:rsid w:val="0007482B"/>
    <w:rsid w:val="00075DE3"/>
    <w:rsid w:val="00075DEC"/>
    <w:rsid w:val="00076BC5"/>
    <w:rsid w:val="000774CE"/>
    <w:rsid w:val="000800C8"/>
    <w:rsid w:val="000813AA"/>
    <w:rsid w:val="0008188D"/>
    <w:rsid w:val="00081A29"/>
    <w:rsid w:val="00081F1A"/>
    <w:rsid w:val="000823B4"/>
    <w:rsid w:val="00082BEA"/>
    <w:rsid w:val="00083E5C"/>
    <w:rsid w:val="00083F12"/>
    <w:rsid w:val="00084579"/>
    <w:rsid w:val="000846E6"/>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38BD"/>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556"/>
    <w:rsid w:val="000B3955"/>
    <w:rsid w:val="000B42C2"/>
    <w:rsid w:val="000B4B3A"/>
    <w:rsid w:val="000B5074"/>
    <w:rsid w:val="000B557F"/>
    <w:rsid w:val="000B5715"/>
    <w:rsid w:val="000B5C31"/>
    <w:rsid w:val="000B5DDF"/>
    <w:rsid w:val="000B6667"/>
    <w:rsid w:val="000B66C7"/>
    <w:rsid w:val="000B6C85"/>
    <w:rsid w:val="000B770B"/>
    <w:rsid w:val="000B7D6F"/>
    <w:rsid w:val="000B7E37"/>
    <w:rsid w:val="000C015F"/>
    <w:rsid w:val="000C01AA"/>
    <w:rsid w:val="000C0989"/>
    <w:rsid w:val="000C09DC"/>
    <w:rsid w:val="000C1D31"/>
    <w:rsid w:val="000C21AE"/>
    <w:rsid w:val="000C3070"/>
    <w:rsid w:val="000C315C"/>
    <w:rsid w:val="000C33F2"/>
    <w:rsid w:val="000C38A8"/>
    <w:rsid w:val="000C38BE"/>
    <w:rsid w:val="000C3DF7"/>
    <w:rsid w:val="000C47DA"/>
    <w:rsid w:val="000C48D8"/>
    <w:rsid w:val="000C4AC5"/>
    <w:rsid w:val="000C550D"/>
    <w:rsid w:val="000C5795"/>
    <w:rsid w:val="000C5806"/>
    <w:rsid w:val="000C5FBC"/>
    <w:rsid w:val="000C643C"/>
    <w:rsid w:val="000C68E9"/>
    <w:rsid w:val="000C732A"/>
    <w:rsid w:val="000C7BD4"/>
    <w:rsid w:val="000D00C7"/>
    <w:rsid w:val="000D0129"/>
    <w:rsid w:val="000D02EC"/>
    <w:rsid w:val="000D0988"/>
    <w:rsid w:val="000D09CB"/>
    <w:rsid w:val="000D0FBA"/>
    <w:rsid w:val="000D1079"/>
    <w:rsid w:val="000D10D5"/>
    <w:rsid w:val="000D136F"/>
    <w:rsid w:val="000D232B"/>
    <w:rsid w:val="000D26B4"/>
    <w:rsid w:val="000D2A0A"/>
    <w:rsid w:val="000D3CBE"/>
    <w:rsid w:val="000D3F00"/>
    <w:rsid w:val="000D484B"/>
    <w:rsid w:val="000D5456"/>
    <w:rsid w:val="000D6462"/>
    <w:rsid w:val="000D66CC"/>
    <w:rsid w:val="000D6E44"/>
    <w:rsid w:val="000D6E85"/>
    <w:rsid w:val="000D79A8"/>
    <w:rsid w:val="000D7F11"/>
    <w:rsid w:val="000E0672"/>
    <w:rsid w:val="000E14F4"/>
    <w:rsid w:val="000E21B5"/>
    <w:rsid w:val="000E2386"/>
    <w:rsid w:val="000E31A9"/>
    <w:rsid w:val="000E33CC"/>
    <w:rsid w:val="000E3FCE"/>
    <w:rsid w:val="000E518E"/>
    <w:rsid w:val="000E67E9"/>
    <w:rsid w:val="000E69E5"/>
    <w:rsid w:val="000E7520"/>
    <w:rsid w:val="000E76E3"/>
    <w:rsid w:val="000E76F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344D"/>
    <w:rsid w:val="001037C8"/>
    <w:rsid w:val="00103815"/>
    <w:rsid w:val="00103B6A"/>
    <w:rsid w:val="00103FBB"/>
    <w:rsid w:val="00104521"/>
    <w:rsid w:val="00104634"/>
    <w:rsid w:val="00104BDA"/>
    <w:rsid w:val="0010524F"/>
    <w:rsid w:val="001054DE"/>
    <w:rsid w:val="0010556E"/>
    <w:rsid w:val="00105635"/>
    <w:rsid w:val="00105BC3"/>
    <w:rsid w:val="00105C08"/>
    <w:rsid w:val="00105E85"/>
    <w:rsid w:val="00106F1A"/>
    <w:rsid w:val="001072AC"/>
    <w:rsid w:val="00110B23"/>
    <w:rsid w:val="0011163B"/>
    <w:rsid w:val="001125AD"/>
    <w:rsid w:val="00112759"/>
    <w:rsid w:val="001128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BD3"/>
    <w:rsid w:val="00126D9E"/>
    <w:rsid w:val="001273D8"/>
    <w:rsid w:val="00127DEB"/>
    <w:rsid w:val="00130163"/>
    <w:rsid w:val="00130258"/>
    <w:rsid w:val="0013126C"/>
    <w:rsid w:val="001324FE"/>
    <w:rsid w:val="00132F41"/>
    <w:rsid w:val="00133A5B"/>
    <w:rsid w:val="00135054"/>
    <w:rsid w:val="001356F8"/>
    <w:rsid w:val="001359D7"/>
    <w:rsid w:val="0013643F"/>
    <w:rsid w:val="00136EA9"/>
    <w:rsid w:val="00137183"/>
    <w:rsid w:val="00137BD8"/>
    <w:rsid w:val="00140559"/>
    <w:rsid w:val="00140E49"/>
    <w:rsid w:val="0014107D"/>
    <w:rsid w:val="00141BE1"/>
    <w:rsid w:val="00142033"/>
    <w:rsid w:val="00142B30"/>
    <w:rsid w:val="00143790"/>
    <w:rsid w:val="00143AD6"/>
    <w:rsid w:val="00143C37"/>
    <w:rsid w:val="001455F1"/>
    <w:rsid w:val="00146907"/>
    <w:rsid w:val="001471D5"/>
    <w:rsid w:val="00147465"/>
    <w:rsid w:val="00147E14"/>
    <w:rsid w:val="001506F2"/>
    <w:rsid w:val="00150F35"/>
    <w:rsid w:val="00151407"/>
    <w:rsid w:val="001520A7"/>
    <w:rsid w:val="001526FA"/>
    <w:rsid w:val="00152E8B"/>
    <w:rsid w:val="00152F9B"/>
    <w:rsid w:val="0015408B"/>
    <w:rsid w:val="00154F9C"/>
    <w:rsid w:val="00155DDB"/>
    <w:rsid w:val="001561FC"/>
    <w:rsid w:val="0015642C"/>
    <w:rsid w:val="00160A31"/>
    <w:rsid w:val="00161528"/>
    <w:rsid w:val="00161F95"/>
    <w:rsid w:val="001641FF"/>
    <w:rsid w:val="00164330"/>
    <w:rsid w:val="00164623"/>
    <w:rsid w:val="0016492C"/>
    <w:rsid w:val="00164AB5"/>
    <w:rsid w:val="00164D84"/>
    <w:rsid w:val="00166B40"/>
    <w:rsid w:val="00167149"/>
    <w:rsid w:val="0016737C"/>
    <w:rsid w:val="001703F1"/>
    <w:rsid w:val="0017057F"/>
    <w:rsid w:val="00171376"/>
    <w:rsid w:val="001718CA"/>
    <w:rsid w:val="0017197F"/>
    <w:rsid w:val="0017269A"/>
    <w:rsid w:val="001732E2"/>
    <w:rsid w:val="0017425E"/>
    <w:rsid w:val="00174DDC"/>
    <w:rsid w:val="00175450"/>
    <w:rsid w:val="00175E0A"/>
    <w:rsid w:val="00176CA1"/>
    <w:rsid w:val="00176D5F"/>
    <w:rsid w:val="0017714C"/>
    <w:rsid w:val="001774C3"/>
    <w:rsid w:val="00177F69"/>
    <w:rsid w:val="00180AAC"/>
    <w:rsid w:val="00181299"/>
    <w:rsid w:val="00181612"/>
    <w:rsid w:val="00181B1C"/>
    <w:rsid w:val="00181E02"/>
    <w:rsid w:val="0018203B"/>
    <w:rsid w:val="001821EB"/>
    <w:rsid w:val="00182D91"/>
    <w:rsid w:val="001835C8"/>
    <w:rsid w:val="001843B2"/>
    <w:rsid w:val="00184C3A"/>
    <w:rsid w:val="00185B6E"/>
    <w:rsid w:val="0018617A"/>
    <w:rsid w:val="0018737A"/>
    <w:rsid w:val="00187852"/>
    <w:rsid w:val="00187899"/>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3CD2"/>
    <w:rsid w:val="001A3EB3"/>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D046B"/>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1B21"/>
    <w:rsid w:val="001E2888"/>
    <w:rsid w:val="001E28A5"/>
    <w:rsid w:val="001E30A8"/>
    <w:rsid w:val="001E32F5"/>
    <w:rsid w:val="001E394B"/>
    <w:rsid w:val="001E588A"/>
    <w:rsid w:val="001E61B2"/>
    <w:rsid w:val="001E7941"/>
    <w:rsid w:val="001E79C7"/>
    <w:rsid w:val="001F08BE"/>
    <w:rsid w:val="001F0B69"/>
    <w:rsid w:val="001F22CA"/>
    <w:rsid w:val="001F3CC4"/>
    <w:rsid w:val="001F46A6"/>
    <w:rsid w:val="001F4869"/>
    <w:rsid w:val="001F4932"/>
    <w:rsid w:val="001F4F7B"/>
    <w:rsid w:val="001F550F"/>
    <w:rsid w:val="001F5AFA"/>
    <w:rsid w:val="001F5EAC"/>
    <w:rsid w:val="001F6061"/>
    <w:rsid w:val="001F60D4"/>
    <w:rsid w:val="001F6EA8"/>
    <w:rsid w:val="001F74FA"/>
    <w:rsid w:val="00200888"/>
    <w:rsid w:val="0020088F"/>
    <w:rsid w:val="00200E72"/>
    <w:rsid w:val="002010D8"/>
    <w:rsid w:val="00203768"/>
    <w:rsid w:val="002037A1"/>
    <w:rsid w:val="00204209"/>
    <w:rsid w:val="00204498"/>
    <w:rsid w:val="0020450D"/>
    <w:rsid w:val="0020547A"/>
    <w:rsid w:val="002055EF"/>
    <w:rsid w:val="00205B6C"/>
    <w:rsid w:val="00205E6C"/>
    <w:rsid w:val="00205FBB"/>
    <w:rsid w:val="0020677A"/>
    <w:rsid w:val="00206998"/>
    <w:rsid w:val="00206EE3"/>
    <w:rsid w:val="002076B5"/>
    <w:rsid w:val="00210C5A"/>
    <w:rsid w:val="00211157"/>
    <w:rsid w:val="0021193B"/>
    <w:rsid w:val="00211C1E"/>
    <w:rsid w:val="00212098"/>
    <w:rsid w:val="002121F0"/>
    <w:rsid w:val="00212790"/>
    <w:rsid w:val="00213BBC"/>
    <w:rsid w:val="00214291"/>
    <w:rsid w:val="00214C26"/>
    <w:rsid w:val="00215474"/>
    <w:rsid w:val="00215A9A"/>
    <w:rsid w:val="00215D89"/>
    <w:rsid w:val="002161A6"/>
    <w:rsid w:val="0021672B"/>
    <w:rsid w:val="002172CA"/>
    <w:rsid w:val="00217B94"/>
    <w:rsid w:val="0022038C"/>
    <w:rsid w:val="002204DC"/>
    <w:rsid w:val="002209E2"/>
    <w:rsid w:val="002219FD"/>
    <w:rsid w:val="002222CB"/>
    <w:rsid w:val="00222369"/>
    <w:rsid w:val="00222451"/>
    <w:rsid w:val="002235EE"/>
    <w:rsid w:val="00223AEC"/>
    <w:rsid w:val="0022433C"/>
    <w:rsid w:val="0022475F"/>
    <w:rsid w:val="00224782"/>
    <w:rsid w:val="002249F5"/>
    <w:rsid w:val="00224CF6"/>
    <w:rsid w:val="00225654"/>
    <w:rsid w:val="0022618E"/>
    <w:rsid w:val="00226D75"/>
    <w:rsid w:val="00227377"/>
    <w:rsid w:val="00227747"/>
    <w:rsid w:val="00230AA1"/>
    <w:rsid w:val="002321C9"/>
    <w:rsid w:val="00232A93"/>
    <w:rsid w:val="00233289"/>
    <w:rsid w:val="0023357A"/>
    <w:rsid w:val="0023492B"/>
    <w:rsid w:val="002356FE"/>
    <w:rsid w:val="00236494"/>
    <w:rsid w:val="002379A3"/>
    <w:rsid w:val="00237CE3"/>
    <w:rsid w:val="002400BC"/>
    <w:rsid w:val="0024042E"/>
    <w:rsid w:val="00241206"/>
    <w:rsid w:val="00241261"/>
    <w:rsid w:val="002416EC"/>
    <w:rsid w:val="00241D71"/>
    <w:rsid w:val="00241EC3"/>
    <w:rsid w:val="00242316"/>
    <w:rsid w:val="00242A7C"/>
    <w:rsid w:val="00242C09"/>
    <w:rsid w:val="002450B5"/>
    <w:rsid w:val="0024713D"/>
    <w:rsid w:val="00247DB4"/>
    <w:rsid w:val="0025067A"/>
    <w:rsid w:val="00251556"/>
    <w:rsid w:val="00252602"/>
    <w:rsid w:val="00252D0A"/>
    <w:rsid w:val="002543A6"/>
    <w:rsid w:val="00254B5B"/>
    <w:rsid w:val="00255A0E"/>
    <w:rsid w:val="00256758"/>
    <w:rsid w:val="0025690D"/>
    <w:rsid w:val="00256B5B"/>
    <w:rsid w:val="00256E2B"/>
    <w:rsid w:val="002571DA"/>
    <w:rsid w:val="002578CA"/>
    <w:rsid w:val="00257C0E"/>
    <w:rsid w:val="00257E0B"/>
    <w:rsid w:val="0026118B"/>
    <w:rsid w:val="00262105"/>
    <w:rsid w:val="00262378"/>
    <w:rsid w:val="00262965"/>
    <w:rsid w:val="00262DAF"/>
    <w:rsid w:val="002636D5"/>
    <w:rsid w:val="0026392C"/>
    <w:rsid w:val="00263C2D"/>
    <w:rsid w:val="00263F98"/>
    <w:rsid w:val="002642A1"/>
    <w:rsid w:val="00264E8F"/>
    <w:rsid w:val="00264F95"/>
    <w:rsid w:val="002658DC"/>
    <w:rsid w:val="00265AE1"/>
    <w:rsid w:val="0026738B"/>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326C"/>
    <w:rsid w:val="0028358A"/>
    <w:rsid w:val="00284252"/>
    <w:rsid w:val="002843D8"/>
    <w:rsid w:val="002852E6"/>
    <w:rsid w:val="0028539E"/>
    <w:rsid w:val="002858FC"/>
    <w:rsid w:val="00285A2E"/>
    <w:rsid w:val="00287AEC"/>
    <w:rsid w:val="002909EA"/>
    <w:rsid w:val="002910E4"/>
    <w:rsid w:val="0029158D"/>
    <w:rsid w:val="00291A44"/>
    <w:rsid w:val="00291C75"/>
    <w:rsid w:val="00292560"/>
    <w:rsid w:val="00293CE0"/>
    <w:rsid w:val="002947DD"/>
    <w:rsid w:val="00294B50"/>
    <w:rsid w:val="0029515B"/>
    <w:rsid w:val="00295A32"/>
    <w:rsid w:val="002965A3"/>
    <w:rsid w:val="002A028A"/>
    <w:rsid w:val="002A0365"/>
    <w:rsid w:val="002A048E"/>
    <w:rsid w:val="002A0767"/>
    <w:rsid w:val="002A0888"/>
    <w:rsid w:val="002A15C1"/>
    <w:rsid w:val="002A17AC"/>
    <w:rsid w:val="002A185A"/>
    <w:rsid w:val="002A188B"/>
    <w:rsid w:val="002A2945"/>
    <w:rsid w:val="002A2A88"/>
    <w:rsid w:val="002A34FB"/>
    <w:rsid w:val="002A4156"/>
    <w:rsid w:val="002A457B"/>
    <w:rsid w:val="002A6331"/>
    <w:rsid w:val="002A6732"/>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35EB"/>
    <w:rsid w:val="002C3756"/>
    <w:rsid w:val="002C3847"/>
    <w:rsid w:val="002C4189"/>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5ED"/>
    <w:rsid w:val="002D46EF"/>
    <w:rsid w:val="002D5C4D"/>
    <w:rsid w:val="002D6199"/>
    <w:rsid w:val="002D6A2A"/>
    <w:rsid w:val="002D6B69"/>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01A0"/>
    <w:rsid w:val="002F06CB"/>
    <w:rsid w:val="002F107D"/>
    <w:rsid w:val="002F1190"/>
    <w:rsid w:val="002F1F9E"/>
    <w:rsid w:val="002F2119"/>
    <w:rsid w:val="002F2756"/>
    <w:rsid w:val="002F2E4B"/>
    <w:rsid w:val="002F347C"/>
    <w:rsid w:val="002F4D1A"/>
    <w:rsid w:val="002F4F69"/>
    <w:rsid w:val="002F4FC0"/>
    <w:rsid w:val="002F5D4A"/>
    <w:rsid w:val="002F6D01"/>
    <w:rsid w:val="002F7C28"/>
    <w:rsid w:val="002F7E0C"/>
    <w:rsid w:val="00300002"/>
    <w:rsid w:val="003002E2"/>
    <w:rsid w:val="00301378"/>
    <w:rsid w:val="003015BC"/>
    <w:rsid w:val="00301EF6"/>
    <w:rsid w:val="00301FB1"/>
    <w:rsid w:val="003023DE"/>
    <w:rsid w:val="003025A3"/>
    <w:rsid w:val="00302F42"/>
    <w:rsid w:val="0030323D"/>
    <w:rsid w:val="00303518"/>
    <w:rsid w:val="003035F3"/>
    <w:rsid w:val="00304054"/>
    <w:rsid w:val="00304303"/>
    <w:rsid w:val="003043CD"/>
    <w:rsid w:val="00304581"/>
    <w:rsid w:val="003052EA"/>
    <w:rsid w:val="0030546E"/>
    <w:rsid w:val="00305590"/>
    <w:rsid w:val="00305987"/>
    <w:rsid w:val="00305C10"/>
    <w:rsid w:val="00307197"/>
    <w:rsid w:val="003101FB"/>
    <w:rsid w:val="0031045D"/>
    <w:rsid w:val="00310554"/>
    <w:rsid w:val="003108CE"/>
    <w:rsid w:val="00310D5E"/>
    <w:rsid w:val="00312566"/>
    <w:rsid w:val="0031262F"/>
    <w:rsid w:val="003136BE"/>
    <w:rsid w:val="0031412C"/>
    <w:rsid w:val="00315A9F"/>
    <w:rsid w:val="003165EB"/>
    <w:rsid w:val="00316FD9"/>
    <w:rsid w:val="003171F4"/>
    <w:rsid w:val="00317203"/>
    <w:rsid w:val="003202CB"/>
    <w:rsid w:val="00320F20"/>
    <w:rsid w:val="0032133D"/>
    <w:rsid w:val="003214C2"/>
    <w:rsid w:val="003215C6"/>
    <w:rsid w:val="00321833"/>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024"/>
    <w:rsid w:val="0033335B"/>
    <w:rsid w:val="0033444F"/>
    <w:rsid w:val="00334921"/>
    <w:rsid w:val="00334D6C"/>
    <w:rsid w:val="00335402"/>
    <w:rsid w:val="00335D96"/>
    <w:rsid w:val="00336FE2"/>
    <w:rsid w:val="003371F2"/>
    <w:rsid w:val="003372DB"/>
    <w:rsid w:val="003374A4"/>
    <w:rsid w:val="00337B8A"/>
    <w:rsid w:val="003409D1"/>
    <w:rsid w:val="0034165C"/>
    <w:rsid w:val="003427E1"/>
    <w:rsid w:val="00343B12"/>
    <w:rsid w:val="003448C7"/>
    <w:rsid w:val="00344D7C"/>
    <w:rsid w:val="00344F6C"/>
    <w:rsid w:val="003452CA"/>
    <w:rsid w:val="0034620A"/>
    <w:rsid w:val="00346AF6"/>
    <w:rsid w:val="00346CA0"/>
    <w:rsid w:val="00346D79"/>
    <w:rsid w:val="00347751"/>
    <w:rsid w:val="0034787E"/>
    <w:rsid w:val="00347A4B"/>
    <w:rsid w:val="00347BD5"/>
    <w:rsid w:val="003504F8"/>
    <w:rsid w:val="00350B8D"/>
    <w:rsid w:val="00350D1D"/>
    <w:rsid w:val="00352AD6"/>
    <w:rsid w:val="00352B06"/>
    <w:rsid w:val="00352CDB"/>
    <w:rsid w:val="00353147"/>
    <w:rsid w:val="003535C0"/>
    <w:rsid w:val="00354216"/>
    <w:rsid w:val="00355028"/>
    <w:rsid w:val="0035523E"/>
    <w:rsid w:val="00357633"/>
    <w:rsid w:val="00357949"/>
    <w:rsid w:val="00360078"/>
    <w:rsid w:val="003602FF"/>
    <w:rsid w:val="00360BD6"/>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147"/>
    <w:rsid w:val="00375457"/>
    <w:rsid w:val="00375C53"/>
    <w:rsid w:val="00376FCF"/>
    <w:rsid w:val="00377072"/>
    <w:rsid w:val="00377664"/>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A94"/>
    <w:rsid w:val="00386AD3"/>
    <w:rsid w:val="00387C02"/>
    <w:rsid w:val="00387C3A"/>
    <w:rsid w:val="00387C65"/>
    <w:rsid w:val="0039045B"/>
    <w:rsid w:val="00390CB1"/>
    <w:rsid w:val="00391081"/>
    <w:rsid w:val="003912E2"/>
    <w:rsid w:val="00391518"/>
    <w:rsid w:val="003917ED"/>
    <w:rsid w:val="00391865"/>
    <w:rsid w:val="00391A8B"/>
    <w:rsid w:val="00392336"/>
    <w:rsid w:val="003923C6"/>
    <w:rsid w:val="00392418"/>
    <w:rsid w:val="0039265E"/>
    <w:rsid w:val="00392721"/>
    <w:rsid w:val="00392823"/>
    <w:rsid w:val="00392ED0"/>
    <w:rsid w:val="00393ACA"/>
    <w:rsid w:val="003945B4"/>
    <w:rsid w:val="00396361"/>
    <w:rsid w:val="00396B13"/>
    <w:rsid w:val="00396F28"/>
    <w:rsid w:val="0039792C"/>
    <w:rsid w:val="00397FB1"/>
    <w:rsid w:val="003A0545"/>
    <w:rsid w:val="003A250B"/>
    <w:rsid w:val="003A26C7"/>
    <w:rsid w:val="003A2CE2"/>
    <w:rsid w:val="003A2D21"/>
    <w:rsid w:val="003A3415"/>
    <w:rsid w:val="003A39EF"/>
    <w:rsid w:val="003A5B1F"/>
    <w:rsid w:val="003A68C0"/>
    <w:rsid w:val="003A6E0E"/>
    <w:rsid w:val="003A6FEA"/>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D6CE3"/>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92"/>
    <w:rsid w:val="003F04BA"/>
    <w:rsid w:val="003F0898"/>
    <w:rsid w:val="003F1C00"/>
    <w:rsid w:val="003F22EB"/>
    <w:rsid w:val="003F23A3"/>
    <w:rsid w:val="003F2EA6"/>
    <w:rsid w:val="003F395E"/>
    <w:rsid w:val="003F3DF3"/>
    <w:rsid w:val="003F3FF8"/>
    <w:rsid w:val="003F4072"/>
    <w:rsid w:val="003F4493"/>
    <w:rsid w:val="003F45AB"/>
    <w:rsid w:val="003F49EC"/>
    <w:rsid w:val="003F4AEB"/>
    <w:rsid w:val="003F4E8C"/>
    <w:rsid w:val="003F59EF"/>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6F6"/>
    <w:rsid w:val="0040331F"/>
    <w:rsid w:val="004036A1"/>
    <w:rsid w:val="00404F4E"/>
    <w:rsid w:val="004050A2"/>
    <w:rsid w:val="00405FCB"/>
    <w:rsid w:val="00406379"/>
    <w:rsid w:val="00406B31"/>
    <w:rsid w:val="00406F13"/>
    <w:rsid w:val="00407BEC"/>
    <w:rsid w:val="00410642"/>
    <w:rsid w:val="004108FF"/>
    <w:rsid w:val="00410D47"/>
    <w:rsid w:val="00411576"/>
    <w:rsid w:val="00411C1E"/>
    <w:rsid w:val="0041259E"/>
    <w:rsid w:val="004137DD"/>
    <w:rsid w:val="00413984"/>
    <w:rsid w:val="004140F8"/>
    <w:rsid w:val="0041549E"/>
    <w:rsid w:val="004159F1"/>
    <w:rsid w:val="00416F36"/>
    <w:rsid w:val="004174A3"/>
    <w:rsid w:val="0042015F"/>
    <w:rsid w:val="00420F9D"/>
    <w:rsid w:val="004210FE"/>
    <w:rsid w:val="004214C2"/>
    <w:rsid w:val="00422266"/>
    <w:rsid w:val="00422564"/>
    <w:rsid w:val="00422FA7"/>
    <w:rsid w:val="00423F86"/>
    <w:rsid w:val="00424A82"/>
    <w:rsid w:val="00424D5C"/>
    <w:rsid w:val="00424FDC"/>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CAE"/>
    <w:rsid w:val="00442D78"/>
    <w:rsid w:val="00443842"/>
    <w:rsid w:val="004439AC"/>
    <w:rsid w:val="004448EF"/>
    <w:rsid w:val="00445E7B"/>
    <w:rsid w:val="004461B9"/>
    <w:rsid w:val="00447058"/>
    <w:rsid w:val="00447D9E"/>
    <w:rsid w:val="00450131"/>
    <w:rsid w:val="004505DA"/>
    <w:rsid w:val="004512E0"/>
    <w:rsid w:val="00452095"/>
    <w:rsid w:val="00452A9A"/>
    <w:rsid w:val="004535AB"/>
    <w:rsid w:val="00454219"/>
    <w:rsid w:val="0045451D"/>
    <w:rsid w:val="0045471E"/>
    <w:rsid w:val="00455231"/>
    <w:rsid w:val="00455642"/>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4A"/>
    <w:rsid w:val="00464A6D"/>
    <w:rsid w:val="0046751D"/>
    <w:rsid w:val="004700D6"/>
    <w:rsid w:val="00470BCD"/>
    <w:rsid w:val="004717B8"/>
    <w:rsid w:val="00471A69"/>
    <w:rsid w:val="00471ED1"/>
    <w:rsid w:val="00471F9F"/>
    <w:rsid w:val="00472C87"/>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4B16"/>
    <w:rsid w:val="0048502B"/>
    <w:rsid w:val="00486481"/>
    <w:rsid w:val="0048664B"/>
    <w:rsid w:val="00487DDF"/>
    <w:rsid w:val="00487F34"/>
    <w:rsid w:val="004907A8"/>
    <w:rsid w:val="00492466"/>
    <w:rsid w:val="004924FD"/>
    <w:rsid w:val="00492909"/>
    <w:rsid w:val="00492F59"/>
    <w:rsid w:val="00493305"/>
    <w:rsid w:val="00493761"/>
    <w:rsid w:val="004945D7"/>
    <w:rsid w:val="004949E6"/>
    <w:rsid w:val="00494A18"/>
    <w:rsid w:val="00494B3C"/>
    <w:rsid w:val="004956F5"/>
    <w:rsid w:val="0049616A"/>
    <w:rsid w:val="0049731F"/>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5ADB"/>
    <w:rsid w:val="004B6206"/>
    <w:rsid w:val="004B62B3"/>
    <w:rsid w:val="004B6533"/>
    <w:rsid w:val="004B663F"/>
    <w:rsid w:val="004B7186"/>
    <w:rsid w:val="004B79B9"/>
    <w:rsid w:val="004C079B"/>
    <w:rsid w:val="004C1465"/>
    <w:rsid w:val="004C2DDE"/>
    <w:rsid w:val="004C3106"/>
    <w:rsid w:val="004C39A6"/>
    <w:rsid w:val="004C3C25"/>
    <w:rsid w:val="004C4AE6"/>
    <w:rsid w:val="004C4BF2"/>
    <w:rsid w:val="004C522A"/>
    <w:rsid w:val="004C61CA"/>
    <w:rsid w:val="004C62F9"/>
    <w:rsid w:val="004C6C39"/>
    <w:rsid w:val="004D0DEA"/>
    <w:rsid w:val="004D1113"/>
    <w:rsid w:val="004D1AFE"/>
    <w:rsid w:val="004D200C"/>
    <w:rsid w:val="004D21A5"/>
    <w:rsid w:val="004D22AC"/>
    <w:rsid w:val="004D32A1"/>
    <w:rsid w:val="004D38FF"/>
    <w:rsid w:val="004D3D05"/>
    <w:rsid w:val="004D3F78"/>
    <w:rsid w:val="004D5B84"/>
    <w:rsid w:val="004D5EB8"/>
    <w:rsid w:val="004D7151"/>
    <w:rsid w:val="004E0779"/>
    <w:rsid w:val="004E1B43"/>
    <w:rsid w:val="004E1DA6"/>
    <w:rsid w:val="004E294B"/>
    <w:rsid w:val="004E2CCE"/>
    <w:rsid w:val="004E336F"/>
    <w:rsid w:val="004E650D"/>
    <w:rsid w:val="004E782E"/>
    <w:rsid w:val="004E7ECE"/>
    <w:rsid w:val="004F0011"/>
    <w:rsid w:val="004F0A67"/>
    <w:rsid w:val="004F1FC9"/>
    <w:rsid w:val="004F261B"/>
    <w:rsid w:val="004F2FE6"/>
    <w:rsid w:val="004F4BD6"/>
    <w:rsid w:val="004F56E6"/>
    <w:rsid w:val="004F5B3B"/>
    <w:rsid w:val="004F672B"/>
    <w:rsid w:val="004F6D43"/>
    <w:rsid w:val="004F7367"/>
    <w:rsid w:val="005000BF"/>
    <w:rsid w:val="00500393"/>
    <w:rsid w:val="00500902"/>
    <w:rsid w:val="00500A19"/>
    <w:rsid w:val="005013A0"/>
    <w:rsid w:val="005019BE"/>
    <w:rsid w:val="00501B9F"/>
    <w:rsid w:val="00501DB8"/>
    <w:rsid w:val="005020AA"/>
    <w:rsid w:val="00503187"/>
    <w:rsid w:val="005032BA"/>
    <w:rsid w:val="00505855"/>
    <w:rsid w:val="00505EE9"/>
    <w:rsid w:val="0050646E"/>
    <w:rsid w:val="00506628"/>
    <w:rsid w:val="00506F7D"/>
    <w:rsid w:val="0050731A"/>
    <w:rsid w:val="00510031"/>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302E1"/>
    <w:rsid w:val="00531143"/>
    <w:rsid w:val="00532522"/>
    <w:rsid w:val="005328EA"/>
    <w:rsid w:val="00532D15"/>
    <w:rsid w:val="005339F5"/>
    <w:rsid w:val="00533C8E"/>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57A9"/>
    <w:rsid w:val="00545957"/>
    <w:rsid w:val="00545B3F"/>
    <w:rsid w:val="00547834"/>
    <w:rsid w:val="00550D91"/>
    <w:rsid w:val="0055145A"/>
    <w:rsid w:val="00551F62"/>
    <w:rsid w:val="00552437"/>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7A5"/>
    <w:rsid w:val="00565D16"/>
    <w:rsid w:val="005664BE"/>
    <w:rsid w:val="00566B9E"/>
    <w:rsid w:val="00566EEC"/>
    <w:rsid w:val="005674A9"/>
    <w:rsid w:val="005675E0"/>
    <w:rsid w:val="0056785C"/>
    <w:rsid w:val="00567B01"/>
    <w:rsid w:val="00567BE7"/>
    <w:rsid w:val="00567CC3"/>
    <w:rsid w:val="005703A5"/>
    <w:rsid w:val="00570799"/>
    <w:rsid w:val="00571673"/>
    <w:rsid w:val="00571D46"/>
    <w:rsid w:val="00571DC2"/>
    <w:rsid w:val="00572688"/>
    <w:rsid w:val="005727B6"/>
    <w:rsid w:val="005736A6"/>
    <w:rsid w:val="005739C6"/>
    <w:rsid w:val="005740C8"/>
    <w:rsid w:val="005747E3"/>
    <w:rsid w:val="0057490C"/>
    <w:rsid w:val="00574FD0"/>
    <w:rsid w:val="0057553C"/>
    <w:rsid w:val="00575A6F"/>
    <w:rsid w:val="005769FF"/>
    <w:rsid w:val="00576F86"/>
    <w:rsid w:val="005773C3"/>
    <w:rsid w:val="00577487"/>
    <w:rsid w:val="00577D88"/>
    <w:rsid w:val="00580145"/>
    <w:rsid w:val="005801C4"/>
    <w:rsid w:val="00580477"/>
    <w:rsid w:val="00580BBF"/>
    <w:rsid w:val="00581F24"/>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121"/>
    <w:rsid w:val="00596B15"/>
    <w:rsid w:val="00597016"/>
    <w:rsid w:val="00597075"/>
    <w:rsid w:val="005976C9"/>
    <w:rsid w:val="0059792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70D"/>
    <w:rsid w:val="005B68FF"/>
    <w:rsid w:val="005B7E5F"/>
    <w:rsid w:val="005B7E6B"/>
    <w:rsid w:val="005C0409"/>
    <w:rsid w:val="005C3962"/>
    <w:rsid w:val="005C39F9"/>
    <w:rsid w:val="005C3FCD"/>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865"/>
    <w:rsid w:val="005D6222"/>
    <w:rsid w:val="005D6AFB"/>
    <w:rsid w:val="005D6D63"/>
    <w:rsid w:val="005D7B30"/>
    <w:rsid w:val="005D7F1C"/>
    <w:rsid w:val="005E0810"/>
    <w:rsid w:val="005E089B"/>
    <w:rsid w:val="005E0ACC"/>
    <w:rsid w:val="005E1F75"/>
    <w:rsid w:val="005E2AF9"/>
    <w:rsid w:val="005E2BEC"/>
    <w:rsid w:val="005E2F2E"/>
    <w:rsid w:val="005E387E"/>
    <w:rsid w:val="005E3CEA"/>
    <w:rsid w:val="005E3D08"/>
    <w:rsid w:val="005E492C"/>
    <w:rsid w:val="005E561B"/>
    <w:rsid w:val="005E5A5D"/>
    <w:rsid w:val="005E6F3D"/>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53E1"/>
    <w:rsid w:val="0060576C"/>
    <w:rsid w:val="00605DAD"/>
    <w:rsid w:val="00605F76"/>
    <w:rsid w:val="006061AA"/>
    <w:rsid w:val="006066E1"/>
    <w:rsid w:val="0061030C"/>
    <w:rsid w:val="00610751"/>
    <w:rsid w:val="006107A9"/>
    <w:rsid w:val="00610DA0"/>
    <w:rsid w:val="006113EF"/>
    <w:rsid w:val="00611C81"/>
    <w:rsid w:val="00611CF5"/>
    <w:rsid w:val="00611E72"/>
    <w:rsid w:val="00612824"/>
    <w:rsid w:val="00612925"/>
    <w:rsid w:val="006131F0"/>
    <w:rsid w:val="006133F9"/>
    <w:rsid w:val="00613CF1"/>
    <w:rsid w:val="006146A5"/>
    <w:rsid w:val="006147BE"/>
    <w:rsid w:val="00614991"/>
    <w:rsid w:val="0061512F"/>
    <w:rsid w:val="00616D24"/>
    <w:rsid w:val="00616D2E"/>
    <w:rsid w:val="00616D3D"/>
    <w:rsid w:val="00617FB3"/>
    <w:rsid w:val="006200A6"/>
    <w:rsid w:val="00620193"/>
    <w:rsid w:val="00621478"/>
    <w:rsid w:val="0062163A"/>
    <w:rsid w:val="0062190E"/>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24D"/>
    <w:rsid w:val="006363DE"/>
    <w:rsid w:val="006364DF"/>
    <w:rsid w:val="00637AD5"/>
    <w:rsid w:val="00641E64"/>
    <w:rsid w:val="0064223E"/>
    <w:rsid w:val="00642802"/>
    <w:rsid w:val="00643372"/>
    <w:rsid w:val="00643378"/>
    <w:rsid w:val="00643861"/>
    <w:rsid w:val="00643E92"/>
    <w:rsid w:val="006441A8"/>
    <w:rsid w:val="006443A9"/>
    <w:rsid w:val="0064463E"/>
    <w:rsid w:val="00645365"/>
    <w:rsid w:val="006454A3"/>
    <w:rsid w:val="00645B4E"/>
    <w:rsid w:val="00645DC1"/>
    <w:rsid w:val="00646650"/>
    <w:rsid w:val="006466CC"/>
    <w:rsid w:val="00647597"/>
    <w:rsid w:val="0065138B"/>
    <w:rsid w:val="006522EA"/>
    <w:rsid w:val="00652D92"/>
    <w:rsid w:val="00653ADA"/>
    <w:rsid w:val="00653D36"/>
    <w:rsid w:val="00653E3A"/>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0FF"/>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5032"/>
    <w:rsid w:val="00686E2E"/>
    <w:rsid w:val="00690347"/>
    <w:rsid w:val="006907A3"/>
    <w:rsid w:val="006908EA"/>
    <w:rsid w:val="00690E26"/>
    <w:rsid w:val="00692F63"/>
    <w:rsid w:val="00693029"/>
    <w:rsid w:val="006930D3"/>
    <w:rsid w:val="00694CA7"/>
    <w:rsid w:val="00694DE2"/>
    <w:rsid w:val="0069591F"/>
    <w:rsid w:val="00696682"/>
    <w:rsid w:val="0069671A"/>
    <w:rsid w:val="00697586"/>
    <w:rsid w:val="006976AD"/>
    <w:rsid w:val="006A0C1C"/>
    <w:rsid w:val="006A1983"/>
    <w:rsid w:val="006A2467"/>
    <w:rsid w:val="006A26DF"/>
    <w:rsid w:val="006A2E07"/>
    <w:rsid w:val="006A3E13"/>
    <w:rsid w:val="006A4E35"/>
    <w:rsid w:val="006A59EE"/>
    <w:rsid w:val="006A610A"/>
    <w:rsid w:val="006A66E2"/>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59C"/>
    <w:rsid w:val="006C1785"/>
    <w:rsid w:val="006C25BF"/>
    <w:rsid w:val="006C266E"/>
    <w:rsid w:val="006C45FB"/>
    <w:rsid w:val="006C4B00"/>
    <w:rsid w:val="006C591C"/>
    <w:rsid w:val="006C5DF1"/>
    <w:rsid w:val="006C7939"/>
    <w:rsid w:val="006D01AE"/>
    <w:rsid w:val="006D0B5D"/>
    <w:rsid w:val="006D1354"/>
    <w:rsid w:val="006D1DC3"/>
    <w:rsid w:val="006D1E38"/>
    <w:rsid w:val="006D21FA"/>
    <w:rsid w:val="006D3C72"/>
    <w:rsid w:val="006D44D1"/>
    <w:rsid w:val="006D4628"/>
    <w:rsid w:val="006D52B2"/>
    <w:rsid w:val="006D53D8"/>
    <w:rsid w:val="006D57FB"/>
    <w:rsid w:val="006D6917"/>
    <w:rsid w:val="006D746C"/>
    <w:rsid w:val="006E059F"/>
    <w:rsid w:val="006E0884"/>
    <w:rsid w:val="006E0E16"/>
    <w:rsid w:val="006E14ED"/>
    <w:rsid w:val="006E2396"/>
    <w:rsid w:val="006E2432"/>
    <w:rsid w:val="006E2BEF"/>
    <w:rsid w:val="006E2FF1"/>
    <w:rsid w:val="006E3393"/>
    <w:rsid w:val="006E3812"/>
    <w:rsid w:val="006E3A2B"/>
    <w:rsid w:val="006E5318"/>
    <w:rsid w:val="006E6CE4"/>
    <w:rsid w:val="006E7B24"/>
    <w:rsid w:val="006F092F"/>
    <w:rsid w:val="006F0F95"/>
    <w:rsid w:val="006F105B"/>
    <w:rsid w:val="006F21AA"/>
    <w:rsid w:val="006F322F"/>
    <w:rsid w:val="006F418E"/>
    <w:rsid w:val="006F425B"/>
    <w:rsid w:val="006F4303"/>
    <w:rsid w:val="006F5740"/>
    <w:rsid w:val="006F5770"/>
    <w:rsid w:val="006F5E2A"/>
    <w:rsid w:val="006F63DC"/>
    <w:rsid w:val="006F6BE2"/>
    <w:rsid w:val="006F7069"/>
    <w:rsid w:val="006F7101"/>
    <w:rsid w:val="006F75C7"/>
    <w:rsid w:val="006F7CD2"/>
    <w:rsid w:val="00700BF1"/>
    <w:rsid w:val="00701186"/>
    <w:rsid w:val="00701AEC"/>
    <w:rsid w:val="00702507"/>
    <w:rsid w:val="007025AE"/>
    <w:rsid w:val="007027C7"/>
    <w:rsid w:val="007030D1"/>
    <w:rsid w:val="00703155"/>
    <w:rsid w:val="007032E6"/>
    <w:rsid w:val="007038FB"/>
    <w:rsid w:val="007040B7"/>
    <w:rsid w:val="00704554"/>
    <w:rsid w:val="00705431"/>
    <w:rsid w:val="007067E9"/>
    <w:rsid w:val="00706F12"/>
    <w:rsid w:val="00707281"/>
    <w:rsid w:val="00707E6C"/>
    <w:rsid w:val="00710177"/>
    <w:rsid w:val="0071204C"/>
    <w:rsid w:val="007124A9"/>
    <w:rsid w:val="00714295"/>
    <w:rsid w:val="00715F08"/>
    <w:rsid w:val="0071663A"/>
    <w:rsid w:val="00716928"/>
    <w:rsid w:val="0071709F"/>
    <w:rsid w:val="007170D1"/>
    <w:rsid w:val="0072033D"/>
    <w:rsid w:val="00720BD7"/>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31F"/>
    <w:rsid w:val="00741E7B"/>
    <w:rsid w:val="00742553"/>
    <w:rsid w:val="007425E8"/>
    <w:rsid w:val="00743404"/>
    <w:rsid w:val="007446EE"/>
    <w:rsid w:val="007465FF"/>
    <w:rsid w:val="00746E0A"/>
    <w:rsid w:val="00746FB6"/>
    <w:rsid w:val="00747283"/>
    <w:rsid w:val="00747789"/>
    <w:rsid w:val="00750B23"/>
    <w:rsid w:val="00751875"/>
    <w:rsid w:val="007521C6"/>
    <w:rsid w:val="00754A48"/>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3F65"/>
    <w:rsid w:val="00774328"/>
    <w:rsid w:val="007750C0"/>
    <w:rsid w:val="0077539E"/>
    <w:rsid w:val="00776191"/>
    <w:rsid w:val="007761D8"/>
    <w:rsid w:val="00776422"/>
    <w:rsid w:val="00776D19"/>
    <w:rsid w:val="00780561"/>
    <w:rsid w:val="00780631"/>
    <w:rsid w:val="007808C5"/>
    <w:rsid w:val="00780AB1"/>
    <w:rsid w:val="00780CF3"/>
    <w:rsid w:val="007810B2"/>
    <w:rsid w:val="00781327"/>
    <w:rsid w:val="00781516"/>
    <w:rsid w:val="0078260F"/>
    <w:rsid w:val="00782800"/>
    <w:rsid w:val="007828AA"/>
    <w:rsid w:val="00782909"/>
    <w:rsid w:val="00782917"/>
    <w:rsid w:val="00783C58"/>
    <w:rsid w:val="00783D90"/>
    <w:rsid w:val="00784DA8"/>
    <w:rsid w:val="00785C1C"/>
    <w:rsid w:val="00785E07"/>
    <w:rsid w:val="00785F0E"/>
    <w:rsid w:val="00786D8E"/>
    <w:rsid w:val="00786D97"/>
    <w:rsid w:val="00786FCF"/>
    <w:rsid w:val="0078730C"/>
    <w:rsid w:val="00787D85"/>
    <w:rsid w:val="00794C2F"/>
    <w:rsid w:val="007950B9"/>
    <w:rsid w:val="00795616"/>
    <w:rsid w:val="00795776"/>
    <w:rsid w:val="007957CA"/>
    <w:rsid w:val="00795C78"/>
    <w:rsid w:val="00796273"/>
    <w:rsid w:val="00796A8B"/>
    <w:rsid w:val="00796CD4"/>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7C2E"/>
    <w:rsid w:val="007C08D2"/>
    <w:rsid w:val="007C0961"/>
    <w:rsid w:val="007C0FA1"/>
    <w:rsid w:val="007C19D7"/>
    <w:rsid w:val="007C1F47"/>
    <w:rsid w:val="007C206A"/>
    <w:rsid w:val="007C245C"/>
    <w:rsid w:val="007C4331"/>
    <w:rsid w:val="007C5269"/>
    <w:rsid w:val="007C59BC"/>
    <w:rsid w:val="007C696D"/>
    <w:rsid w:val="007C6D59"/>
    <w:rsid w:val="007C6E18"/>
    <w:rsid w:val="007C7572"/>
    <w:rsid w:val="007D0BB9"/>
    <w:rsid w:val="007D19B3"/>
    <w:rsid w:val="007D1D5B"/>
    <w:rsid w:val="007D2A96"/>
    <w:rsid w:val="007D585E"/>
    <w:rsid w:val="007D5E52"/>
    <w:rsid w:val="007D6A60"/>
    <w:rsid w:val="007D6C32"/>
    <w:rsid w:val="007D70E2"/>
    <w:rsid w:val="007D7C5C"/>
    <w:rsid w:val="007D7E4C"/>
    <w:rsid w:val="007E1F7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174E"/>
    <w:rsid w:val="007F18EF"/>
    <w:rsid w:val="007F2589"/>
    <w:rsid w:val="007F2DA3"/>
    <w:rsid w:val="007F3347"/>
    <w:rsid w:val="007F4CDF"/>
    <w:rsid w:val="007F4D23"/>
    <w:rsid w:val="007F5B2A"/>
    <w:rsid w:val="007F6A89"/>
    <w:rsid w:val="007F7724"/>
    <w:rsid w:val="007F7F95"/>
    <w:rsid w:val="008007E6"/>
    <w:rsid w:val="00800E72"/>
    <w:rsid w:val="00801366"/>
    <w:rsid w:val="00802A3F"/>
    <w:rsid w:val="00803323"/>
    <w:rsid w:val="00803A31"/>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DFD"/>
    <w:rsid w:val="00822F52"/>
    <w:rsid w:val="008232EF"/>
    <w:rsid w:val="00823A36"/>
    <w:rsid w:val="00823D9B"/>
    <w:rsid w:val="008243DA"/>
    <w:rsid w:val="00824CE2"/>
    <w:rsid w:val="0082506E"/>
    <w:rsid w:val="0082532F"/>
    <w:rsid w:val="00825CDB"/>
    <w:rsid w:val="00825F25"/>
    <w:rsid w:val="008261CD"/>
    <w:rsid w:val="008264C5"/>
    <w:rsid w:val="00826AF0"/>
    <w:rsid w:val="008272E6"/>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42E"/>
    <w:rsid w:val="00843DC0"/>
    <w:rsid w:val="00844531"/>
    <w:rsid w:val="00844767"/>
    <w:rsid w:val="0084497A"/>
    <w:rsid w:val="00844E60"/>
    <w:rsid w:val="00845409"/>
    <w:rsid w:val="00845C21"/>
    <w:rsid w:val="00845D23"/>
    <w:rsid w:val="00845D2B"/>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8AB"/>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1C67"/>
    <w:rsid w:val="0088293E"/>
    <w:rsid w:val="0088363D"/>
    <w:rsid w:val="00884640"/>
    <w:rsid w:val="0088522F"/>
    <w:rsid w:val="00885F4D"/>
    <w:rsid w:val="00886BA7"/>
    <w:rsid w:val="0088747B"/>
    <w:rsid w:val="0088752D"/>
    <w:rsid w:val="008876D0"/>
    <w:rsid w:val="00887A96"/>
    <w:rsid w:val="00887E7B"/>
    <w:rsid w:val="008901C8"/>
    <w:rsid w:val="0089023E"/>
    <w:rsid w:val="0089035E"/>
    <w:rsid w:val="0089094E"/>
    <w:rsid w:val="0089180C"/>
    <w:rsid w:val="00892674"/>
    <w:rsid w:val="00892786"/>
    <w:rsid w:val="00892A29"/>
    <w:rsid w:val="00893836"/>
    <w:rsid w:val="00893DD0"/>
    <w:rsid w:val="008944A5"/>
    <w:rsid w:val="00895F86"/>
    <w:rsid w:val="008963E8"/>
    <w:rsid w:val="00896493"/>
    <w:rsid w:val="008968DC"/>
    <w:rsid w:val="008A05D4"/>
    <w:rsid w:val="008A07FA"/>
    <w:rsid w:val="008A0EB8"/>
    <w:rsid w:val="008A150D"/>
    <w:rsid w:val="008A1E15"/>
    <w:rsid w:val="008A2B30"/>
    <w:rsid w:val="008A3B06"/>
    <w:rsid w:val="008A3DAB"/>
    <w:rsid w:val="008A4BAE"/>
    <w:rsid w:val="008A5261"/>
    <w:rsid w:val="008A526D"/>
    <w:rsid w:val="008A574F"/>
    <w:rsid w:val="008A5F3D"/>
    <w:rsid w:val="008A5F60"/>
    <w:rsid w:val="008A6652"/>
    <w:rsid w:val="008A6874"/>
    <w:rsid w:val="008B08FA"/>
    <w:rsid w:val="008B0B79"/>
    <w:rsid w:val="008B1178"/>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1E8C"/>
    <w:rsid w:val="008C25E7"/>
    <w:rsid w:val="008C2C3A"/>
    <w:rsid w:val="008C5A1B"/>
    <w:rsid w:val="008C61C2"/>
    <w:rsid w:val="008C62D9"/>
    <w:rsid w:val="008C65D0"/>
    <w:rsid w:val="008C732A"/>
    <w:rsid w:val="008C77FB"/>
    <w:rsid w:val="008D0658"/>
    <w:rsid w:val="008D0B2D"/>
    <w:rsid w:val="008D0E56"/>
    <w:rsid w:val="008D1089"/>
    <w:rsid w:val="008D12ED"/>
    <w:rsid w:val="008D28E9"/>
    <w:rsid w:val="008D37ED"/>
    <w:rsid w:val="008D4CFA"/>
    <w:rsid w:val="008D61D3"/>
    <w:rsid w:val="008E0BDA"/>
    <w:rsid w:val="008E0E14"/>
    <w:rsid w:val="008E1250"/>
    <w:rsid w:val="008E174D"/>
    <w:rsid w:val="008E17C7"/>
    <w:rsid w:val="008E26E5"/>
    <w:rsid w:val="008E2B82"/>
    <w:rsid w:val="008E2E88"/>
    <w:rsid w:val="008E3077"/>
    <w:rsid w:val="008E374B"/>
    <w:rsid w:val="008E4B4E"/>
    <w:rsid w:val="008E5940"/>
    <w:rsid w:val="008E6B62"/>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3D5"/>
    <w:rsid w:val="00900638"/>
    <w:rsid w:val="00900CFE"/>
    <w:rsid w:val="00900D6B"/>
    <w:rsid w:val="009016D1"/>
    <w:rsid w:val="00902C34"/>
    <w:rsid w:val="00903237"/>
    <w:rsid w:val="00903C97"/>
    <w:rsid w:val="0090519F"/>
    <w:rsid w:val="0090529E"/>
    <w:rsid w:val="0090622C"/>
    <w:rsid w:val="00906EE1"/>
    <w:rsid w:val="00907CB0"/>
    <w:rsid w:val="00910B6E"/>
    <w:rsid w:val="00910D93"/>
    <w:rsid w:val="00911089"/>
    <w:rsid w:val="00911EF1"/>
    <w:rsid w:val="009124A0"/>
    <w:rsid w:val="0091277B"/>
    <w:rsid w:val="00913692"/>
    <w:rsid w:val="009136C1"/>
    <w:rsid w:val="00914624"/>
    <w:rsid w:val="00914C21"/>
    <w:rsid w:val="0091647D"/>
    <w:rsid w:val="00916E90"/>
    <w:rsid w:val="00917BDE"/>
    <w:rsid w:val="0092188A"/>
    <w:rsid w:val="009219B3"/>
    <w:rsid w:val="00922971"/>
    <w:rsid w:val="0092313C"/>
    <w:rsid w:val="009237FC"/>
    <w:rsid w:val="00923959"/>
    <w:rsid w:val="00923C31"/>
    <w:rsid w:val="00924000"/>
    <w:rsid w:val="00924158"/>
    <w:rsid w:val="009254E9"/>
    <w:rsid w:val="00925D8F"/>
    <w:rsid w:val="0092626F"/>
    <w:rsid w:val="00926342"/>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056"/>
    <w:rsid w:val="00937B51"/>
    <w:rsid w:val="0094115F"/>
    <w:rsid w:val="0094165A"/>
    <w:rsid w:val="0094176F"/>
    <w:rsid w:val="00941F79"/>
    <w:rsid w:val="0094200C"/>
    <w:rsid w:val="00942371"/>
    <w:rsid w:val="00942687"/>
    <w:rsid w:val="00944862"/>
    <w:rsid w:val="0094522E"/>
    <w:rsid w:val="00945507"/>
    <w:rsid w:val="009457FD"/>
    <w:rsid w:val="00945E44"/>
    <w:rsid w:val="0094778E"/>
    <w:rsid w:val="009504D6"/>
    <w:rsid w:val="00950AD3"/>
    <w:rsid w:val="00950DDE"/>
    <w:rsid w:val="009524B7"/>
    <w:rsid w:val="009526BA"/>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5C02"/>
    <w:rsid w:val="00966246"/>
    <w:rsid w:val="009662F9"/>
    <w:rsid w:val="00966480"/>
    <w:rsid w:val="0096651D"/>
    <w:rsid w:val="00966605"/>
    <w:rsid w:val="00967171"/>
    <w:rsid w:val="009672F3"/>
    <w:rsid w:val="00967E93"/>
    <w:rsid w:val="0097030D"/>
    <w:rsid w:val="00970420"/>
    <w:rsid w:val="009704FC"/>
    <w:rsid w:val="009707A6"/>
    <w:rsid w:val="00971066"/>
    <w:rsid w:val="00971C57"/>
    <w:rsid w:val="009723A7"/>
    <w:rsid w:val="009729A3"/>
    <w:rsid w:val="009732DE"/>
    <w:rsid w:val="0097415C"/>
    <w:rsid w:val="00974619"/>
    <w:rsid w:val="0097463B"/>
    <w:rsid w:val="00974AB5"/>
    <w:rsid w:val="0097515E"/>
    <w:rsid w:val="00975A5D"/>
    <w:rsid w:val="00976180"/>
    <w:rsid w:val="009773D5"/>
    <w:rsid w:val="0097741A"/>
    <w:rsid w:val="00977860"/>
    <w:rsid w:val="00977A9B"/>
    <w:rsid w:val="009801AF"/>
    <w:rsid w:val="00980E75"/>
    <w:rsid w:val="00981987"/>
    <w:rsid w:val="00981F4F"/>
    <w:rsid w:val="00982AF1"/>
    <w:rsid w:val="0098334F"/>
    <w:rsid w:val="0098352A"/>
    <w:rsid w:val="00983CD1"/>
    <w:rsid w:val="00983D57"/>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7A"/>
    <w:rsid w:val="009953FA"/>
    <w:rsid w:val="009954D8"/>
    <w:rsid w:val="00995A1F"/>
    <w:rsid w:val="00996452"/>
    <w:rsid w:val="00996901"/>
    <w:rsid w:val="0099692A"/>
    <w:rsid w:val="00996972"/>
    <w:rsid w:val="009A200F"/>
    <w:rsid w:val="009A23BA"/>
    <w:rsid w:val="009A2D2C"/>
    <w:rsid w:val="009A33C7"/>
    <w:rsid w:val="009A4369"/>
    <w:rsid w:val="009A47AC"/>
    <w:rsid w:val="009A4855"/>
    <w:rsid w:val="009A4894"/>
    <w:rsid w:val="009A6368"/>
    <w:rsid w:val="009A68E0"/>
    <w:rsid w:val="009A68F4"/>
    <w:rsid w:val="009A6A92"/>
    <w:rsid w:val="009A6FC2"/>
    <w:rsid w:val="009A7D3A"/>
    <w:rsid w:val="009B024E"/>
    <w:rsid w:val="009B044A"/>
    <w:rsid w:val="009B1100"/>
    <w:rsid w:val="009B126E"/>
    <w:rsid w:val="009B206F"/>
    <w:rsid w:val="009B24F8"/>
    <w:rsid w:val="009B27B1"/>
    <w:rsid w:val="009B334F"/>
    <w:rsid w:val="009B4319"/>
    <w:rsid w:val="009B474C"/>
    <w:rsid w:val="009B492A"/>
    <w:rsid w:val="009B4A57"/>
    <w:rsid w:val="009B503D"/>
    <w:rsid w:val="009B5511"/>
    <w:rsid w:val="009B5819"/>
    <w:rsid w:val="009B5931"/>
    <w:rsid w:val="009B76F7"/>
    <w:rsid w:val="009C049A"/>
    <w:rsid w:val="009C0CF1"/>
    <w:rsid w:val="009C2B30"/>
    <w:rsid w:val="009C2D0C"/>
    <w:rsid w:val="009C3AFF"/>
    <w:rsid w:val="009C4246"/>
    <w:rsid w:val="009C4B71"/>
    <w:rsid w:val="009C4C1A"/>
    <w:rsid w:val="009C5757"/>
    <w:rsid w:val="009C6F98"/>
    <w:rsid w:val="009C76C4"/>
    <w:rsid w:val="009C7873"/>
    <w:rsid w:val="009C79AC"/>
    <w:rsid w:val="009C7ACA"/>
    <w:rsid w:val="009D0553"/>
    <w:rsid w:val="009D08AD"/>
    <w:rsid w:val="009D30AD"/>
    <w:rsid w:val="009D3558"/>
    <w:rsid w:val="009D41F0"/>
    <w:rsid w:val="009D47AE"/>
    <w:rsid w:val="009D48BC"/>
    <w:rsid w:val="009D4AF9"/>
    <w:rsid w:val="009D6587"/>
    <w:rsid w:val="009E043A"/>
    <w:rsid w:val="009E0462"/>
    <w:rsid w:val="009E167C"/>
    <w:rsid w:val="009E16C8"/>
    <w:rsid w:val="009E2BD1"/>
    <w:rsid w:val="009E3045"/>
    <w:rsid w:val="009E32F2"/>
    <w:rsid w:val="009E4B9A"/>
    <w:rsid w:val="009E50A2"/>
    <w:rsid w:val="009E58CA"/>
    <w:rsid w:val="009E5FE7"/>
    <w:rsid w:val="009E64C2"/>
    <w:rsid w:val="009E6E06"/>
    <w:rsid w:val="009E7A71"/>
    <w:rsid w:val="009E7B50"/>
    <w:rsid w:val="009F02EB"/>
    <w:rsid w:val="009F0692"/>
    <w:rsid w:val="009F07F4"/>
    <w:rsid w:val="009F1554"/>
    <w:rsid w:val="009F15E3"/>
    <w:rsid w:val="009F1657"/>
    <w:rsid w:val="009F16BD"/>
    <w:rsid w:val="009F2D44"/>
    <w:rsid w:val="009F3D7A"/>
    <w:rsid w:val="009F3F9E"/>
    <w:rsid w:val="009F4FDE"/>
    <w:rsid w:val="009F501A"/>
    <w:rsid w:val="009F511F"/>
    <w:rsid w:val="009F52E1"/>
    <w:rsid w:val="009F5416"/>
    <w:rsid w:val="009F5A72"/>
    <w:rsid w:val="009F64F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5E9D"/>
    <w:rsid w:val="00A06464"/>
    <w:rsid w:val="00A075B8"/>
    <w:rsid w:val="00A10929"/>
    <w:rsid w:val="00A10C4C"/>
    <w:rsid w:val="00A10F2B"/>
    <w:rsid w:val="00A12479"/>
    <w:rsid w:val="00A12D73"/>
    <w:rsid w:val="00A137FF"/>
    <w:rsid w:val="00A13B63"/>
    <w:rsid w:val="00A13F90"/>
    <w:rsid w:val="00A140F5"/>
    <w:rsid w:val="00A14C3D"/>
    <w:rsid w:val="00A15090"/>
    <w:rsid w:val="00A16978"/>
    <w:rsid w:val="00A16BD3"/>
    <w:rsid w:val="00A16D5B"/>
    <w:rsid w:val="00A16D82"/>
    <w:rsid w:val="00A170DE"/>
    <w:rsid w:val="00A17360"/>
    <w:rsid w:val="00A17520"/>
    <w:rsid w:val="00A177F2"/>
    <w:rsid w:val="00A178DD"/>
    <w:rsid w:val="00A20253"/>
    <w:rsid w:val="00A2081F"/>
    <w:rsid w:val="00A211F3"/>
    <w:rsid w:val="00A21646"/>
    <w:rsid w:val="00A21EB3"/>
    <w:rsid w:val="00A22C97"/>
    <w:rsid w:val="00A23592"/>
    <w:rsid w:val="00A23B20"/>
    <w:rsid w:val="00A23E3F"/>
    <w:rsid w:val="00A2444A"/>
    <w:rsid w:val="00A24F0C"/>
    <w:rsid w:val="00A25F04"/>
    <w:rsid w:val="00A26E54"/>
    <w:rsid w:val="00A273E8"/>
    <w:rsid w:val="00A27A23"/>
    <w:rsid w:val="00A30666"/>
    <w:rsid w:val="00A30F3B"/>
    <w:rsid w:val="00A31046"/>
    <w:rsid w:val="00A31158"/>
    <w:rsid w:val="00A3132A"/>
    <w:rsid w:val="00A3139F"/>
    <w:rsid w:val="00A320B9"/>
    <w:rsid w:val="00A32659"/>
    <w:rsid w:val="00A326F5"/>
    <w:rsid w:val="00A329F3"/>
    <w:rsid w:val="00A32B3C"/>
    <w:rsid w:val="00A333CA"/>
    <w:rsid w:val="00A33DE3"/>
    <w:rsid w:val="00A34896"/>
    <w:rsid w:val="00A35340"/>
    <w:rsid w:val="00A3534E"/>
    <w:rsid w:val="00A35358"/>
    <w:rsid w:val="00A36039"/>
    <w:rsid w:val="00A362CB"/>
    <w:rsid w:val="00A36A1C"/>
    <w:rsid w:val="00A36B2C"/>
    <w:rsid w:val="00A37414"/>
    <w:rsid w:val="00A40D13"/>
    <w:rsid w:val="00A410AA"/>
    <w:rsid w:val="00A41527"/>
    <w:rsid w:val="00A41980"/>
    <w:rsid w:val="00A43126"/>
    <w:rsid w:val="00A4336B"/>
    <w:rsid w:val="00A43D03"/>
    <w:rsid w:val="00A44030"/>
    <w:rsid w:val="00A446BD"/>
    <w:rsid w:val="00A44A26"/>
    <w:rsid w:val="00A46338"/>
    <w:rsid w:val="00A47301"/>
    <w:rsid w:val="00A47BAF"/>
    <w:rsid w:val="00A50C0E"/>
    <w:rsid w:val="00A50FEC"/>
    <w:rsid w:val="00A5204A"/>
    <w:rsid w:val="00A529F3"/>
    <w:rsid w:val="00A53B57"/>
    <w:rsid w:val="00A54838"/>
    <w:rsid w:val="00A5517E"/>
    <w:rsid w:val="00A57156"/>
    <w:rsid w:val="00A576C0"/>
    <w:rsid w:val="00A6059C"/>
    <w:rsid w:val="00A614CB"/>
    <w:rsid w:val="00A61662"/>
    <w:rsid w:val="00A61849"/>
    <w:rsid w:val="00A62006"/>
    <w:rsid w:val="00A6269E"/>
    <w:rsid w:val="00A62BCC"/>
    <w:rsid w:val="00A6344F"/>
    <w:rsid w:val="00A63619"/>
    <w:rsid w:val="00A641AF"/>
    <w:rsid w:val="00A64640"/>
    <w:rsid w:val="00A646E9"/>
    <w:rsid w:val="00A65D7F"/>
    <w:rsid w:val="00A66011"/>
    <w:rsid w:val="00A664C8"/>
    <w:rsid w:val="00A6797F"/>
    <w:rsid w:val="00A67B8E"/>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7782B"/>
    <w:rsid w:val="00A80B76"/>
    <w:rsid w:val="00A812A2"/>
    <w:rsid w:val="00A81CA5"/>
    <w:rsid w:val="00A81D31"/>
    <w:rsid w:val="00A81D8B"/>
    <w:rsid w:val="00A82403"/>
    <w:rsid w:val="00A83196"/>
    <w:rsid w:val="00A84DE0"/>
    <w:rsid w:val="00A85F45"/>
    <w:rsid w:val="00A868D4"/>
    <w:rsid w:val="00A86B15"/>
    <w:rsid w:val="00A870F2"/>
    <w:rsid w:val="00A875FE"/>
    <w:rsid w:val="00A87781"/>
    <w:rsid w:val="00A87C12"/>
    <w:rsid w:val="00A90F35"/>
    <w:rsid w:val="00A91356"/>
    <w:rsid w:val="00A918FD"/>
    <w:rsid w:val="00A91CFF"/>
    <w:rsid w:val="00A9203D"/>
    <w:rsid w:val="00A92F88"/>
    <w:rsid w:val="00A948E0"/>
    <w:rsid w:val="00A960A0"/>
    <w:rsid w:val="00A963DE"/>
    <w:rsid w:val="00A972F8"/>
    <w:rsid w:val="00A97A16"/>
    <w:rsid w:val="00AA0386"/>
    <w:rsid w:val="00AA0EE6"/>
    <w:rsid w:val="00AA131D"/>
    <w:rsid w:val="00AA1339"/>
    <w:rsid w:val="00AA1C81"/>
    <w:rsid w:val="00AA1EF4"/>
    <w:rsid w:val="00AA250A"/>
    <w:rsid w:val="00AA2B60"/>
    <w:rsid w:val="00AA3A1B"/>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E8F"/>
    <w:rsid w:val="00AC0F7B"/>
    <w:rsid w:val="00AC1A2D"/>
    <w:rsid w:val="00AC23E7"/>
    <w:rsid w:val="00AC2887"/>
    <w:rsid w:val="00AC2AC8"/>
    <w:rsid w:val="00AC41E9"/>
    <w:rsid w:val="00AC4A25"/>
    <w:rsid w:val="00AC554D"/>
    <w:rsid w:val="00AC5619"/>
    <w:rsid w:val="00AC66A0"/>
    <w:rsid w:val="00AC73B6"/>
    <w:rsid w:val="00AC73CD"/>
    <w:rsid w:val="00AC7E67"/>
    <w:rsid w:val="00AD02E6"/>
    <w:rsid w:val="00AD0402"/>
    <w:rsid w:val="00AD09D7"/>
    <w:rsid w:val="00AD1278"/>
    <w:rsid w:val="00AD1E2C"/>
    <w:rsid w:val="00AD2CAE"/>
    <w:rsid w:val="00AD3D05"/>
    <w:rsid w:val="00AD3EF3"/>
    <w:rsid w:val="00AD4BB7"/>
    <w:rsid w:val="00AD5D67"/>
    <w:rsid w:val="00AD6040"/>
    <w:rsid w:val="00AD681C"/>
    <w:rsid w:val="00AD7666"/>
    <w:rsid w:val="00AD79EC"/>
    <w:rsid w:val="00AE0C62"/>
    <w:rsid w:val="00AE18F5"/>
    <w:rsid w:val="00AE1D3D"/>
    <w:rsid w:val="00AE2566"/>
    <w:rsid w:val="00AE3497"/>
    <w:rsid w:val="00AE3AC5"/>
    <w:rsid w:val="00AE3E13"/>
    <w:rsid w:val="00AE427E"/>
    <w:rsid w:val="00AE5D89"/>
    <w:rsid w:val="00AE6741"/>
    <w:rsid w:val="00AE7B17"/>
    <w:rsid w:val="00AE7F00"/>
    <w:rsid w:val="00AF00E5"/>
    <w:rsid w:val="00AF04BE"/>
    <w:rsid w:val="00AF0C36"/>
    <w:rsid w:val="00AF0C8B"/>
    <w:rsid w:val="00AF1A6A"/>
    <w:rsid w:val="00AF207E"/>
    <w:rsid w:val="00AF4B38"/>
    <w:rsid w:val="00AF5B9B"/>
    <w:rsid w:val="00AF6C78"/>
    <w:rsid w:val="00AF7239"/>
    <w:rsid w:val="00AF729A"/>
    <w:rsid w:val="00AF7A83"/>
    <w:rsid w:val="00AF7AEF"/>
    <w:rsid w:val="00AF7BF3"/>
    <w:rsid w:val="00B0087B"/>
    <w:rsid w:val="00B00C00"/>
    <w:rsid w:val="00B01756"/>
    <w:rsid w:val="00B03025"/>
    <w:rsid w:val="00B03A1B"/>
    <w:rsid w:val="00B049BA"/>
    <w:rsid w:val="00B06279"/>
    <w:rsid w:val="00B06FEA"/>
    <w:rsid w:val="00B07223"/>
    <w:rsid w:val="00B074B8"/>
    <w:rsid w:val="00B079FF"/>
    <w:rsid w:val="00B07B8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350"/>
    <w:rsid w:val="00B27792"/>
    <w:rsid w:val="00B277D7"/>
    <w:rsid w:val="00B27D8D"/>
    <w:rsid w:val="00B301AB"/>
    <w:rsid w:val="00B312D5"/>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6E"/>
    <w:rsid w:val="00B47CE1"/>
    <w:rsid w:val="00B47F27"/>
    <w:rsid w:val="00B51573"/>
    <w:rsid w:val="00B51809"/>
    <w:rsid w:val="00B521DD"/>
    <w:rsid w:val="00B523CD"/>
    <w:rsid w:val="00B5265A"/>
    <w:rsid w:val="00B530E5"/>
    <w:rsid w:val="00B53714"/>
    <w:rsid w:val="00B5381D"/>
    <w:rsid w:val="00B544CF"/>
    <w:rsid w:val="00B5472E"/>
    <w:rsid w:val="00B54941"/>
    <w:rsid w:val="00B54A0E"/>
    <w:rsid w:val="00B54ADB"/>
    <w:rsid w:val="00B54BDC"/>
    <w:rsid w:val="00B54F1A"/>
    <w:rsid w:val="00B55506"/>
    <w:rsid w:val="00B6028D"/>
    <w:rsid w:val="00B60426"/>
    <w:rsid w:val="00B607C6"/>
    <w:rsid w:val="00B614B4"/>
    <w:rsid w:val="00B629A5"/>
    <w:rsid w:val="00B62D26"/>
    <w:rsid w:val="00B63D4B"/>
    <w:rsid w:val="00B6555C"/>
    <w:rsid w:val="00B65EF5"/>
    <w:rsid w:val="00B6600C"/>
    <w:rsid w:val="00B66DBE"/>
    <w:rsid w:val="00B670A2"/>
    <w:rsid w:val="00B67197"/>
    <w:rsid w:val="00B6721D"/>
    <w:rsid w:val="00B677C1"/>
    <w:rsid w:val="00B67CE4"/>
    <w:rsid w:val="00B7035C"/>
    <w:rsid w:val="00B71477"/>
    <w:rsid w:val="00B71698"/>
    <w:rsid w:val="00B71873"/>
    <w:rsid w:val="00B71A42"/>
    <w:rsid w:val="00B71BBF"/>
    <w:rsid w:val="00B71EEA"/>
    <w:rsid w:val="00B7221F"/>
    <w:rsid w:val="00B727F8"/>
    <w:rsid w:val="00B72D15"/>
    <w:rsid w:val="00B7305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78A"/>
    <w:rsid w:val="00B83DD4"/>
    <w:rsid w:val="00B8427F"/>
    <w:rsid w:val="00B8581D"/>
    <w:rsid w:val="00B87BBC"/>
    <w:rsid w:val="00B9005C"/>
    <w:rsid w:val="00B90201"/>
    <w:rsid w:val="00B92831"/>
    <w:rsid w:val="00B93641"/>
    <w:rsid w:val="00B93DDE"/>
    <w:rsid w:val="00B94A19"/>
    <w:rsid w:val="00B94B9A"/>
    <w:rsid w:val="00B96204"/>
    <w:rsid w:val="00B964F3"/>
    <w:rsid w:val="00B96A44"/>
    <w:rsid w:val="00B96EFC"/>
    <w:rsid w:val="00B97D7F"/>
    <w:rsid w:val="00BA012F"/>
    <w:rsid w:val="00BA0922"/>
    <w:rsid w:val="00BA1142"/>
    <w:rsid w:val="00BA1A76"/>
    <w:rsid w:val="00BA29A6"/>
    <w:rsid w:val="00BA2ED9"/>
    <w:rsid w:val="00BA3790"/>
    <w:rsid w:val="00BA3AC3"/>
    <w:rsid w:val="00BA3C84"/>
    <w:rsid w:val="00BA4AF3"/>
    <w:rsid w:val="00BA595F"/>
    <w:rsid w:val="00BA6010"/>
    <w:rsid w:val="00BA6D28"/>
    <w:rsid w:val="00BA6E0C"/>
    <w:rsid w:val="00BA754C"/>
    <w:rsid w:val="00BA77D3"/>
    <w:rsid w:val="00BB041F"/>
    <w:rsid w:val="00BB1BA9"/>
    <w:rsid w:val="00BB2EE8"/>
    <w:rsid w:val="00BB2F3D"/>
    <w:rsid w:val="00BB3ABB"/>
    <w:rsid w:val="00BB3CFF"/>
    <w:rsid w:val="00BB4084"/>
    <w:rsid w:val="00BB40C9"/>
    <w:rsid w:val="00BB4268"/>
    <w:rsid w:val="00BB4387"/>
    <w:rsid w:val="00BB4583"/>
    <w:rsid w:val="00BB45AE"/>
    <w:rsid w:val="00BB4769"/>
    <w:rsid w:val="00BB48B8"/>
    <w:rsid w:val="00BB53EB"/>
    <w:rsid w:val="00BB55AE"/>
    <w:rsid w:val="00BB6307"/>
    <w:rsid w:val="00BB6F6A"/>
    <w:rsid w:val="00BB7BBD"/>
    <w:rsid w:val="00BB7DED"/>
    <w:rsid w:val="00BB7E38"/>
    <w:rsid w:val="00BC1935"/>
    <w:rsid w:val="00BC1C83"/>
    <w:rsid w:val="00BC25C9"/>
    <w:rsid w:val="00BC555B"/>
    <w:rsid w:val="00BC584D"/>
    <w:rsid w:val="00BC5EF6"/>
    <w:rsid w:val="00BC6574"/>
    <w:rsid w:val="00BC6F53"/>
    <w:rsid w:val="00BD02D1"/>
    <w:rsid w:val="00BD0710"/>
    <w:rsid w:val="00BD0EA7"/>
    <w:rsid w:val="00BD1450"/>
    <w:rsid w:val="00BD1DBC"/>
    <w:rsid w:val="00BD1FBF"/>
    <w:rsid w:val="00BD2AF6"/>
    <w:rsid w:val="00BD2FC7"/>
    <w:rsid w:val="00BD3719"/>
    <w:rsid w:val="00BD3CD8"/>
    <w:rsid w:val="00BD3D82"/>
    <w:rsid w:val="00BD3E70"/>
    <w:rsid w:val="00BD4B56"/>
    <w:rsid w:val="00BD5432"/>
    <w:rsid w:val="00BD5478"/>
    <w:rsid w:val="00BD55F1"/>
    <w:rsid w:val="00BD573B"/>
    <w:rsid w:val="00BD5953"/>
    <w:rsid w:val="00BD5FD5"/>
    <w:rsid w:val="00BD735C"/>
    <w:rsid w:val="00BE000C"/>
    <w:rsid w:val="00BE0676"/>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F0674"/>
    <w:rsid w:val="00BF0F9B"/>
    <w:rsid w:val="00BF166A"/>
    <w:rsid w:val="00BF1A4D"/>
    <w:rsid w:val="00BF1CCB"/>
    <w:rsid w:val="00BF2C6C"/>
    <w:rsid w:val="00BF33E8"/>
    <w:rsid w:val="00BF3544"/>
    <w:rsid w:val="00BF44AE"/>
    <w:rsid w:val="00BF5A08"/>
    <w:rsid w:val="00BF6AB1"/>
    <w:rsid w:val="00BF7910"/>
    <w:rsid w:val="00BF7BCA"/>
    <w:rsid w:val="00BF7D89"/>
    <w:rsid w:val="00C0032C"/>
    <w:rsid w:val="00C00D40"/>
    <w:rsid w:val="00C03315"/>
    <w:rsid w:val="00C0405E"/>
    <w:rsid w:val="00C04EC8"/>
    <w:rsid w:val="00C06C69"/>
    <w:rsid w:val="00C06FDB"/>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26C99"/>
    <w:rsid w:val="00C27F83"/>
    <w:rsid w:val="00C30065"/>
    <w:rsid w:val="00C301D2"/>
    <w:rsid w:val="00C30683"/>
    <w:rsid w:val="00C317EF"/>
    <w:rsid w:val="00C319E2"/>
    <w:rsid w:val="00C31E86"/>
    <w:rsid w:val="00C31EFE"/>
    <w:rsid w:val="00C320EA"/>
    <w:rsid w:val="00C328FA"/>
    <w:rsid w:val="00C32E4E"/>
    <w:rsid w:val="00C33C16"/>
    <w:rsid w:val="00C35C9B"/>
    <w:rsid w:val="00C368C5"/>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C4C"/>
    <w:rsid w:val="00C55ECD"/>
    <w:rsid w:val="00C561D5"/>
    <w:rsid w:val="00C56D56"/>
    <w:rsid w:val="00C56F0F"/>
    <w:rsid w:val="00C56FD7"/>
    <w:rsid w:val="00C60194"/>
    <w:rsid w:val="00C60FBB"/>
    <w:rsid w:val="00C61128"/>
    <w:rsid w:val="00C619EC"/>
    <w:rsid w:val="00C62207"/>
    <w:rsid w:val="00C6261B"/>
    <w:rsid w:val="00C62A49"/>
    <w:rsid w:val="00C6323E"/>
    <w:rsid w:val="00C635D2"/>
    <w:rsid w:val="00C64F05"/>
    <w:rsid w:val="00C6547F"/>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78C8"/>
    <w:rsid w:val="00C87A8C"/>
    <w:rsid w:val="00C90306"/>
    <w:rsid w:val="00C917B7"/>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97D71"/>
    <w:rsid w:val="00CA0436"/>
    <w:rsid w:val="00CA09D5"/>
    <w:rsid w:val="00CA1B38"/>
    <w:rsid w:val="00CA1D9A"/>
    <w:rsid w:val="00CA2C05"/>
    <w:rsid w:val="00CA3F57"/>
    <w:rsid w:val="00CA3FB8"/>
    <w:rsid w:val="00CA41A9"/>
    <w:rsid w:val="00CA41AB"/>
    <w:rsid w:val="00CA4516"/>
    <w:rsid w:val="00CA4653"/>
    <w:rsid w:val="00CA4BFC"/>
    <w:rsid w:val="00CA551A"/>
    <w:rsid w:val="00CA5A59"/>
    <w:rsid w:val="00CA63BD"/>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5A57"/>
    <w:rsid w:val="00CB69D4"/>
    <w:rsid w:val="00CB7E23"/>
    <w:rsid w:val="00CB7F4A"/>
    <w:rsid w:val="00CC0401"/>
    <w:rsid w:val="00CC0660"/>
    <w:rsid w:val="00CC0682"/>
    <w:rsid w:val="00CC0768"/>
    <w:rsid w:val="00CC091B"/>
    <w:rsid w:val="00CC0A38"/>
    <w:rsid w:val="00CC1975"/>
    <w:rsid w:val="00CC1AD2"/>
    <w:rsid w:val="00CC2FCD"/>
    <w:rsid w:val="00CC3A1D"/>
    <w:rsid w:val="00CC3FA4"/>
    <w:rsid w:val="00CC403C"/>
    <w:rsid w:val="00CC40A5"/>
    <w:rsid w:val="00CC5D7D"/>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4F51"/>
    <w:rsid w:val="00CF5006"/>
    <w:rsid w:val="00CF5019"/>
    <w:rsid w:val="00CF58A1"/>
    <w:rsid w:val="00CF595E"/>
    <w:rsid w:val="00CF5964"/>
    <w:rsid w:val="00CF5F9E"/>
    <w:rsid w:val="00CF676B"/>
    <w:rsid w:val="00CF6AB3"/>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5C0D"/>
    <w:rsid w:val="00D260AC"/>
    <w:rsid w:val="00D26AD9"/>
    <w:rsid w:val="00D26CF4"/>
    <w:rsid w:val="00D27207"/>
    <w:rsid w:val="00D2769C"/>
    <w:rsid w:val="00D30AAB"/>
    <w:rsid w:val="00D30E8E"/>
    <w:rsid w:val="00D30E98"/>
    <w:rsid w:val="00D328FE"/>
    <w:rsid w:val="00D32D1A"/>
    <w:rsid w:val="00D32E06"/>
    <w:rsid w:val="00D33750"/>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281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E5C"/>
    <w:rsid w:val="00D568D7"/>
    <w:rsid w:val="00D5719A"/>
    <w:rsid w:val="00D5760A"/>
    <w:rsid w:val="00D57C64"/>
    <w:rsid w:val="00D57D9B"/>
    <w:rsid w:val="00D600A9"/>
    <w:rsid w:val="00D6077C"/>
    <w:rsid w:val="00D6122A"/>
    <w:rsid w:val="00D61280"/>
    <w:rsid w:val="00D61C0A"/>
    <w:rsid w:val="00D61DE9"/>
    <w:rsid w:val="00D61F58"/>
    <w:rsid w:val="00D62346"/>
    <w:rsid w:val="00D62677"/>
    <w:rsid w:val="00D6365E"/>
    <w:rsid w:val="00D64AD5"/>
    <w:rsid w:val="00D66D3D"/>
    <w:rsid w:val="00D67326"/>
    <w:rsid w:val="00D676CE"/>
    <w:rsid w:val="00D715AE"/>
    <w:rsid w:val="00D724F3"/>
    <w:rsid w:val="00D72D93"/>
    <w:rsid w:val="00D72EE1"/>
    <w:rsid w:val="00D7431E"/>
    <w:rsid w:val="00D746A7"/>
    <w:rsid w:val="00D750E9"/>
    <w:rsid w:val="00D75120"/>
    <w:rsid w:val="00D75D55"/>
    <w:rsid w:val="00D75F2A"/>
    <w:rsid w:val="00D7637F"/>
    <w:rsid w:val="00D76EA8"/>
    <w:rsid w:val="00D7755C"/>
    <w:rsid w:val="00D77E44"/>
    <w:rsid w:val="00D806F6"/>
    <w:rsid w:val="00D807D1"/>
    <w:rsid w:val="00D80943"/>
    <w:rsid w:val="00D80AB6"/>
    <w:rsid w:val="00D80F25"/>
    <w:rsid w:val="00D81547"/>
    <w:rsid w:val="00D81D5F"/>
    <w:rsid w:val="00D81F96"/>
    <w:rsid w:val="00D82053"/>
    <w:rsid w:val="00D82D90"/>
    <w:rsid w:val="00D838D1"/>
    <w:rsid w:val="00D83B5C"/>
    <w:rsid w:val="00D83C07"/>
    <w:rsid w:val="00D83C97"/>
    <w:rsid w:val="00D84A13"/>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6E1F"/>
    <w:rsid w:val="00D9711B"/>
    <w:rsid w:val="00D97C39"/>
    <w:rsid w:val="00DA0CA3"/>
    <w:rsid w:val="00DA0F9E"/>
    <w:rsid w:val="00DA14D7"/>
    <w:rsid w:val="00DA2186"/>
    <w:rsid w:val="00DA22B0"/>
    <w:rsid w:val="00DA30EB"/>
    <w:rsid w:val="00DA34EF"/>
    <w:rsid w:val="00DA36B8"/>
    <w:rsid w:val="00DA3C5B"/>
    <w:rsid w:val="00DA52F5"/>
    <w:rsid w:val="00DA555B"/>
    <w:rsid w:val="00DA59E1"/>
    <w:rsid w:val="00DA5F72"/>
    <w:rsid w:val="00DA5FF9"/>
    <w:rsid w:val="00DA6137"/>
    <w:rsid w:val="00DA66A0"/>
    <w:rsid w:val="00DA6A21"/>
    <w:rsid w:val="00DA6AB5"/>
    <w:rsid w:val="00DA6BDB"/>
    <w:rsid w:val="00DA7089"/>
    <w:rsid w:val="00DA7232"/>
    <w:rsid w:val="00DA7DC1"/>
    <w:rsid w:val="00DB082E"/>
    <w:rsid w:val="00DB0E15"/>
    <w:rsid w:val="00DB2277"/>
    <w:rsid w:val="00DB22B0"/>
    <w:rsid w:val="00DB24CD"/>
    <w:rsid w:val="00DB33F3"/>
    <w:rsid w:val="00DB4079"/>
    <w:rsid w:val="00DB4810"/>
    <w:rsid w:val="00DB4893"/>
    <w:rsid w:val="00DB493D"/>
    <w:rsid w:val="00DB4E93"/>
    <w:rsid w:val="00DB5ADC"/>
    <w:rsid w:val="00DB5FAD"/>
    <w:rsid w:val="00DB6FC2"/>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20AD"/>
    <w:rsid w:val="00DE27BC"/>
    <w:rsid w:val="00DE2EDE"/>
    <w:rsid w:val="00DE34FC"/>
    <w:rsid w:val="00DE38FF"/>
    <w:rsid w:val="00DE424D"/>
    <w:rsid w:val="00DE4FD3"/>
    <w:rsid w:val="00DE5E68"/>
    <w:rsid w:val="00DE78ED"/>
    <w:rsid w:val="00DF005C"/>
    <w:rsid w:val="00DF0375"/>
    <w:rsid w:val="00DF049D"/>
    <w:rsid w:val="00DF07EC"/>
    <w:rsid w:val="00DF0974"/>
    <w:rsid w:val="00DF0BE5"/>
    <w:rsid w:val="00DF131E"/>
    <w:rsid w:val="00DF1C68"/>
    <w:rsid w:val="00DF1CA0"/>
    <w:rsid w:val="00DF1E83"/>
    <w:rsid w:val="00DF22EE"/>
    <w:rsid w:val="00DF2D3B"/>
    <w:rsid w:val="00DF39C6"/>
    <w:rsid w:val="00DF3A42"/>
    <w:rsid w:val="00DF3D95"/>
    <w:rsid w:val="00DF3DC9"/>
    <w:rsid w:val="00DF42F2"/>
    <w:rsid w:val="00DF4D2C"/>
    <w:rsid w:val="00DF5A8C"/>
    <w:rsid w:val="00DF685E"/>
    <w:rsid w:val="00DF71E7"/>
    <w:rsid w:val="00DF7642"/>
    <w:rsid w:val="00DF7666"/>
    <w:rsid w:val="00E00093"/>
    <w:rsid w:val="00E01297"/>
    <w:rsid w:val="00E020DC"/>
    <w:rsid w:val="00E02306"/>
    <w:rsid w:val="00E03224"/>
    <w:rsid w:val="00E03B58"/>
    <w:rsid w:val="00E03F01"/>
    <w:rsid w:val="00E04165"/>
    <w:rsid w:val="00E0509F"/>
    <w:rsid w:val="00E05DD6"/>
    <w:rsid w:val="00E05DEA"/>
    <w:rsid w:val="00E06649"/>
    <w:rsid w:val="00E066A0"/>
    <w:rsid w:val="00E06D14"/>
    <w:rsid w:val="00E07983"/>
    <w:rsid w:val="00E104C1"/>
    <w:rsid w:val="00E10631"/>
    <w:rsid w:val="00E10807"/>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375"/>
    <w:rsid w:val="00E17EC4"/>
    <w:rsid w:val="00E20F0C"/>
    <w:rsid w:val="00E2140C"/>
    <w:rsid w:val="00E215A0"/>
    <w:rsid w:val="00E216DA"/>
    <w:rsid w:val="00E21819"/>
    <w:rsid w:val="00E21859"/>
    <w:rsid w:val="00E21926"/>
    <w:rsid w:val="00E23B70"/>
    <w:rsid w:val="00E23DCB"/>
    <w:rsid w:val="00E244FE"/>
    <w:rsid w:val="00E247F3"/>
    <w:rsid w:val="00E2533A"/>
    <w:rsid w:val="00E255E3"/>
    <w:rsid w:val="00E26FF1"/>
    <w:rsid w:val="00E30464"/>
    <w:rsid w:val="00E304AF"/>
    <w:rsid w:val="00E306E4"/>
    <w:rsid w:val="00E30B4A"/>
    <w:rsid w:val="00E319A5"/>
    <w:rsid w:val="00E3269D"/>
    <w:rsid w:val="00E32904"/>
    <w:rsid w:val="00E3325C"/>
    <w:rsid w:val="00E33B0C"/>
    <w:rsid w:val="00E353DB"/>
    <w:rsid w:val="00E35985"/>
    <w:rsid w:val="00E3668A"/>
    <w:rsid w:val="00E36DA5"/>
    <w:rsid w:val="00E376E7"/>
    <w:rsid w:val="00E420AD"/>
    <w:rsid w:val="00E42ACE"/>
    <w:rsid w:val="00E432D1"/>
    <w:rsid w:val="00E44911"/>
    <w:rsid w:val="00E4560F"/>
    <w:rsid w:val="00E45A53"/>
    <w:rsid w:val="00E45DE9"/>
    <w:rsid w:val="00E463ED"/>
    <w:rsid w:val="00E478DE"/>
    <w:rsid w:val="00E47AD4"/>
    <w:rsid w:val="00E503FC"/>
    <w:rsid w:val="00E50F0D"/>
    <w:rsid w:val="00E52063"/>
    <w:rsid w:val="00E52ECE"/>
    <w:rsid w:val="00E53E6F"/>
    <w:rsid w:val="00E540E9"/>
    <w:rsid w:val="00E552A4"/>
    <w:rsid w:val="00E55620"/>
    <w:rsid w:val="00E55D11"/>
    <w:rsid w:val="00E55FF3"/>
    <w:rsid w:val="00E566FC"/>
    <w:rsid w:val="00E569D4"/>
    <w:rsid w:val="00E57852"/>
    <w:rsid w:val="00E60F0E"/>
    <w:rsid w:val="00E61846"/>
    <w:rsid w:val="00E61892"/>
    <w:rsid w:val="00E622FD"/>
    <w:rsid w:val="00E62967"/>
    <w:rsid w:val="00E62AB0"/>
    <w:rsid w:val="00E632E3"/>
    <w:rsid w:val="00E63BFC"/>
    <w:rsid w:val="00E643D2"/>
    <w:rsid w:val="00E650BB"/>
    <w:rsid w:val="00E651F8"/>
    <w:rsid w:val="00E65947"/>
    <w:rsid w:val="00E663EA"/>
    <w:rsid w:val="00E673C8"/>
    <w:rsid w:val="00E675F6"/>
    <w:rsid w:val="00E703E4"/>
    <w:rsid w:val="00E709A1"/>
    <w:rsid w:val="00E73BBC"/>
    <w:rsid w:val="00E740CF"/>
    <w:rsid w:val="00E75303"/>
    <w:rsid w:val="00E75D8C"/>
    <w:rsid w:val="00E76B44"/>
    <w:rsid w:val="00E776A8"/>
    <w:rsid w:val="00E77AF6"/>
    <w:rsid w:val="00E77E0E"/>
    <w:rsid w:val="00E77E6D"/>
    <w:rsid w:val="00E80C95"/>
    <w:rsid w:val="00E81632"/>
    <w:rsid w:val="00E81FE1"/>
    <w:rsid w:val="00E822FA"/>
    <w:rsid w:val="00E82315"/>
    <w:rsid w:val="00E82D05"/>
    <w:rsid w:val="00E82E3D"/>
    <w:rsid w:val="00E84ACE"/>
    <w:rsid w:val="00E85882"/>
    <w:rsid w:val="00E85FD7"/>
    <w:rsid w:val="00E86B90"/>
    <w:rsid w:val="00E876E2"/>
    <w:rsid w:val="00E87880"/>
    <w:rsid w:val="00E879F0"/>
    <w:rsid w:val="00E917DF"/>
    <w:rsid w:val="00E919AA"/>
    <w:rsid w:val="00E92729"/>
    <w:rsid w:val="00E92D2E"/>
    <w:rsid w:val="00E92DE1"/>
    <w:rsid w:val="00E94433"/>
    <w:rsid w:val="00E95147"/>
    <w:rsid w:val="00E9533D"/>
    <w:rsid w:val="00E95349"/>
    <w:rsid w:val="00E962A2"/>
    <w:rsid w:val="00E965FF"/>
    <w:rsid w:val="00E975AB"/>
    <w:rsid w:val="00E97FA5"/>
    <w:rsid w:val="00EA121B"/>
    <w:rsid w:val="00EA23BA"/>
    <w:rsid w:val="00EA2B39"/>
    <w:rsid w:val="00EA3554"/>
    <w:rsid w:val="00EA39A5"/>
    <w:rsid w:val="00EA3DDB"/>
    <w:rsid w:val="00EA46DF"/>
    <w:rsid w:val="00EA4A14"/>
    <w:rsid w:val="00EA501B"/>
    <w:rsid w:val="00EA5126"/>
    <w:rsid w:val="00EA60FC"/>
    <w:rsid w:val="00EA6374"/>
    <w:rsid w:val="00EA7216"/>
    <w:rsid w:val="00EA7B85"/>
    <w:rsid w:val="00EB02C6"/>
    <w:rsid w:val="00EB0983"/>
    <w:rsid w:val="00EB15AA"/>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84A"/>
    <w:rsid w:val="00EB7E1D"/>
    <w:rsid w:val="00EC015E"/>
    <w:rsid w:val="00EC0244"/>
    <w:rsid w:val="00EC0720"/>
    <w:rsid w:val="00EC102A"/>
    <w:rsid w:val="00EC17E4"/>
    <w:rsid w:val="00EC1E34"/>
    <w:rsid w:val="00EC3657"/>
    <w:rsid w:val="00EC3FB1"/>
    <w:rsid w:val="00EC44D1"/>
    <w:rsid w:val="00EC55B7"/>
    <w:rsid w:val="00EC5894"/>
    <w:rsid w:val="00EC5D77"/>
    <w:rsid w:val="00EC63C8"/>
    <w:rsid w:val="00EC67CD"/>
    <w:rsid w:val="00EC684E"/>
    <w:rsid w:val="00EC75FD"/>
    <w:rsid w:val="00ED005C"/>
    <w:rsid w:val="00ED05EC"/>
    <w:rsid w:val="00ED05F1"/>
    <w:rsid w:val="00ED1A03"/>
    <w:rsid w:val="00ED2D37"/>
    <w:rsid w:val="00ED36B6"/>
    <w:rsid w:val="00ED3F02"/>
    <w:rsid w:val="00ED4AFC"/>
    <w:rsid w:val="00ED4BDD"/>
    <w:rsid w:val="00ED4E12"/>
    <w:rsid w:val="00ED57CC"/>
    <w:rsid w:val="00ED619A"/>
    <w:rsid w:val="00ED625A"/>
    <w:rsid w:val="00ED6D23"/>
    <w:rsid w:val="00ED71D4"/>
    <w:rsid w:val="00ED7CA8"/>
    <w:rsid w:val="00EE03AA"/>
    <w:rsid w:val="00EE065C"/>
    <w:rsid w:val="00EE177D"/>
    <w:rsid w:val="00EE1B7E"/>
    <w:rsid w:val="00EE213E"/>
    <w:rsid w:val="00EE213F"/>
    <w:rsid w:val="00EE242D"/>
    <w:rsid w:val="00EE2523"/>
    <w:rsid w:val="00EE2B4C"/>
    <w:rsid w:val="00EE3373"/>
    <w:rsid w:val="00EE33D5"/>
    <w:rsid w:val="00EE4C9B"/>
    <w:rsid w:val="00EE5488"/>
    <w:rsid w:val="00EE54F2"/>
    <w:rsid w:val="00EE582A"/>
    <w:rsid w:val="00EE624F"/>
    <w:rsid w:val="00EE64E1"/>
    <w:rsid w:val="00EE663C"/>
    <w:rsid w:val="00EE75BE"/>
    <w:rsid w:val="00EE7D10"/>
    <w:rsid w:val="00EF0E84"/>
    <w:rsid w:val="00EF1A3D"/>
    <w:rsid w:val="00EF2ABF"/>
    <w:rsid w:val="00EF3005"/>
    <w:rsid w:val="00EF4107"/>
    <w:rsid w:val="00EF427D"/>
    <w:rsid w:val="00EF4E57"/>
    <w:rsid w:val="00EF53A3"/>
    <w:rsid w:val="00EF66E8"/>
    <w:rsid w:val="00EF7CF3"/>
    <w:rsid w:val="00F004CD"/>
    <w:rsid w:val="00F0114B"/>
    <w:rsid w:val="00F01B7E"/>
    <w:rsid w:val="00F01D22"/>
    <w:rsid w:val="00F0240C"/>
    <w:rsid w:val="00F0301B"/>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AB1"/>
    <w:rsid w:val="00F24E0B"/>
    <w:rsid w:val="00F2597B"/>
    <w:rsid w:val="00F26028"/>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1CA"/>
    <w:rsid w:val="00F51C6B"/>
    <w:rsid w:val="00F523BB"/>
    <w:rsid w:val="00F526D1"/>
    <w:rsid w:val="00F52EAF"/>
    <w:rsid w:val="00F53004"/>
    <w:rsid w:val="00F5312C"/>
    <w:rsid w:val="00F53779"/>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207"/>
    <w:rsid w:val="00F6153D"/>
    <w:rsid w:val="00F6172D"/>
    <w:rsid w:val="00F62FF5"/>
    <w:rsid w:val="00F632B0"/>
    <w:rsid w:val="00F64D86"/>
    <w:rsid w:val="00F65B76"/>
    <w:rsid w:val="00F70434"/>
    <w:rsid w:val="00F7080D"/>
    <w:rsid w:val="00F70CA7"/>
    <w:rsid w:val="00F73190"/>
    <w:rsid w:val="00F73FF3"/>
    <w:rsid w:val="00F74734"/>
    <w:rsid w:val="00F75286"/>
    <w:rsid w:val="00F75CC1"/>
    <w:rsid w:val="00F765F7"/>
    <w:rsid w:val="00F77E2E"/>
    <w:rsid w:val="00F80428"/>
    <w:rsid w:val="00F80C92"/>
    <w:rsid w:val="00F81795"/>
    <w:rsid w:val="00F8224B"/>
    <w:rsid w:val="00F822F7"/>
    <w:rsid w:val="00F82949"/>
    <w:rsid w:val="00F833B9"/>
    <w:rsid w:val="00F83D02"/>
    <w:rsid w:val="00F84988"/>
    <w:rsid w:val="00F86873"/>
    <w:rsid w:val="00F868BF"/>
    <w:rsid w:val="00F869D6"/>
    <w:rsid w:val="00F878EA"/>
    <w:rsid w:val="00F911F6"/>
    <w:rsid w:val="00F921F6"/>
    <w:rsid w:val="00F9227C"/>
    <w:rsid w:val="00F92D81"/>
    <w:rsid w:val="00F955B7"/>
    <w:rsid w:val="00F96169"/>
    <w:rsid w:val="00F96C35"/>
    <w:rsid w:val="00F97EDA"/>
    <w:rsid w:val="00FA0E1B"/>
    <w:rsid w:val="00FA1D0B"/>
    <w:rsid w:val="00FA1E71"/>
    <w:rsid w:val="00FA2062"/>
    <w:rsid w:val="00FA22AA"/>
    <w:rsid w:val="00FA3163"/>
    <w:rsid w:val="00FA39F9"/>
    <w:rsid w:val="00FA3A41"/>
    <w:rsid w:val="00FA4282"/>
    <w:rsid w:val="00FA4A75"/>
    <w:rsid w:val="00FA4B5C"/>
    <w:rsid w:val="00FA5062"/>
    <w:rsid w:val="00FA5500"/>
    <w:rsid w:val="00FA6992"/>
    <w:rsid w:val="00FA6D60"/>
    <w:rsid w:val="00FA759F"/>
    <w:rsid w:val="00FA7E4B"/>
    <w:rsid w:val="00FA7EB0"/>
    <w:rsid w:val="00FB02BB"/>
    <w:rsid w:val="00FB0C6E"/>
    <w:rsid w:val="00FB2108"/>
    <w:rsid w:val="00FB232D"/>
    <w:rsid w:val="00FB25C5"/>
    <w:rsid w:val="00FB2B53"/>
    <w:rsid w:val="00FB3B40"/>
    <w:rsid w:val="00FB490A"/>
    <w:rsid w:val="00FB49EE"/>
    <w:rsid w:val="00FB4BE1"/>
    <w:rsid w:val="00FB551C"/>
    <w:rsid w:val="00FB5826"/>
    <w:rsid w:val="00FB5BA2"/>
    <w:rsid w:val="00FB5BE4"/>
    <w:rsid w:val="00FB6AE0"/>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A35"/>
    <w:rsid w:val="00FC4BF9"/>
    <w:rsid w:val="00FC4F6B"/>
    <w:rsid w:val="00FC567C"/>
    <w:rsid w:val="00FC5D89"/>
    <w:rsid w:val="00FC62CA"/>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3AA8"/>
    <w:rsid w:val="00FE448D"/>
    <w:rsid w:val="00FE4967"/>
    <w:rsid w:val="00FE4D95"/>
    <w:rsid w:val="00FE4E9A"/>
    <w:rsid w:val="00FE5C06"/>
    <w:rsid w:val="00FE6479"/>
    <w:rsid w:val="00FE6A3C"/>
    <w:rsid w:val="00FE753D"/>
    <w:rsid w:val="00FE76B3"/>
    <w:rsid w:val="00FE7EA9"/>
    <w:rsid w:val="00FF056A"/>
    <w:rsid w:val="00FF08E8"/>
    <w:rsid w:val="00FF0DC1"/>
    <w:rsid w:val="00FF0F48"/>
    <w:rsid w:val="00FF1B2C"/>
    <w:rsid w:val="00FF233F"/>
    <w:rsid w:val="00FF2719"/>
    <w:rsid w:val="00FF3129"/>
    <w:rsid w:val="00FF48F5"/>
    <w:rsid w:val="00FF4A3F"/>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4.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vleon_ani_gov_co/Documents/ANI/RFA/1.%20PENDIENTES%20ANZ%20Y%20OHM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Movilización de carbón</a:t>
            </a:r>
            <a:r>
              <a:rPr lang="es-CO" b="1" baseline="0"/>
              <a:t> 2019 - 2020 - 2021 </a:t>
            </a:r>
          </a:p>
          <a:p>
            <a:pPr>
              <a:defRPr b="1"/>
            </a:pPr>
            <a:r>
              <a:rPr lang="es-CO" b="1"/>
              <a:t>Chiriguaná - Santa Marta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2019</c:v>
          </c:tx>
          <c:spPr>
            <a:solidFill>
              <a:schemeClr val="accent1">
                <a:lumMod val="50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Hoja2!$B$2:$B$13</c:f>
              <c:numCache>
                <c:formatCode>#,##0.00</c:formatCode>
                <c:ptCount val="12"/>
                <c:pt idx="0">
                  <c:v>3586371.2</c:v>
                </c:pt>
                <c:pt idx="1">
                  <c:v>3972748.8</c:v>
                </c:pt>
                <c:pt idx="2">
                  <c:v>4632590.9000000004</c:v>
                </c:pt>
                <c:pt idx="3">
                  <c:v>3934652.2</c:v>
                </c:pt>
                <c:pt idx="4">
                  <c:v>3735053.2</c:v>
                </c:pt>
                <c:pt idx="5">
                  <c:v>4599095.2</c:v>
                </c:pt>
                <c:pt idx="6">
                  <c:v>4273106.2</c:v>
                </c:pt>
                <c:pt idx="7">
                  <c:v>4323991.7</c:v>
                </c:pt>
                <c:pt idx="8">
                  <c:v>4397882.03</c:v>
                </c:pt>
                <c:pt idx="9">
                  <c:v>3981027.7</c:v>
                </c:pt>
                <c:pt idx="10">
                  <c:v>4592452.34</c:v>
                </c:pt>
                <c:pt idx="11">
                  <c:v>4240692.5999999996</c:v>
                </c:pt>
              </c:numCache>
            </c:numRef>
          </c:val>
          <c:extLst>
            <c:ext xmlns:c16="http://schemas.microsoft.com/office/drawing/2014/chart" uri="{C3380CC4-5D6E-409C-BE32-E72D297353CC}">
              <c16:uniqueId val="{00000000-B11A-4576-A319-1D2EBC26B42B}"/>
            </c:ext>
          </c:extLst>
        </c:ser>
        <c:ser>
          <c:idx val="1"/>
          <c:order val="1"/>
          <c:tx>
            <c:v>2020</c:v>
          </c:tx>
          <c:spPr>
            <a:solidFill>
              <a:schemeClr val="accent2"/>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Hoja2!$C$2:$C$13</c:f>
              <c:numCache>
                <c:formatCode>#,##0.00</c:formatCode>
                <c:ptCount val="12"/>
                <c:pt idx="0">
                  <c:v>4270091</c:v>
                </c:pt>
                <c:pt idx="1">
                  <c:v>4485664.7</c:v>
                </c:pt>
                <c:pt idx="2">
                  <c:v>4405756.5999999996</c:v>
                </c:pt>
                <c:pt idx="3">
                  <c:v>2848771.7</c:v>
                </c:pt>
                <c:pt idx="4">
                  <c:v>2637420.4</c:v>
                </c:pt>
                <c:pt idx="5">
                  <c:v>1951964.7</c:v>
                </c:pt>
                <c:pt idx="6">
                  <c:v>2776320.5</c:v>
                </c:pt>
                <c:pt idx="7">
                  <c:v>2479120.4</c:v>
                </c:pt>
                <c:pt idx="8">
                  <c:v>2065871.6</c:v>
                </c:pt>
                <c:pt idx="9">
                  <c:v>2359243.4</c:v>
                </c:pt>
                <c:pt idx="10">
                  <c:v>2610029.1</c:v>
                </c:pt>
                <c:pt idx="11">
                  <c:v>2691569</c:v>
                </c:pt>
              </c:numCache>
            </c:numRef>
          </c:val>
          <c:extLst>
            <c:ext xmlns:c16="http://schemas.microsoft.com/office/drawing/2014/chart" uri="{C3380CC4-5D6E-409C-BE32-E72D297353CC}">
              <c16:uniqueId val="{00000001-B11A-4576-A319-1D2EBC26B42B}"/>
            </c:ext>
          </c:extLst>
        </c:ser>
        <c:ser>
          <c:idx val="2"/>
          <c:order val="2"/>
          <c:tx>
            <c:strRef>
              <c:f>Hoja2!$D$1</c:f>
              <c:strCache>
                <c:ptCount val="1"/>
                <c:pt idx="0">
                  <c:v>2021</c:v>
                </c:pt>
              </c:strCache>
            </c:strRef>
          </c:tx>
          <c:spPr>
            <a:solidFill>
              <a:schemeClr val="accent6">
                <a:lumMod val="75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Hoja2!$D$2:$D$5</c:f>
              <c:numCache>
                <c:formatCode>#,##0.00</c:formatCode>
                <c:ptCount val="4"/>
                <c:pt idx="0">
                  <c:v>3070789.6</c:v>
                </c:pt>
                <c:pt idx="1">
                  <c:v>2595322.4300000002</c:v>
                </c:pt>
                <c:pt idx="2">
                  <c:v>3006560.28</c:v>
                </c:pt>
                <c:pt idx="3">
                  <c:v>2841219.21</c:v>
                </c:pt>
              </c:numCache>
            </c:numRef>
          </c:val>
          <c:extLst>
            <c:ext xmlns:c16="http://schemas.microsoft.com/office/drawing/2014/chart" uri="{C3380CC4-5D6E-409C-BE32-E72D297353CC}">
              <c16:uniqueId val="{00000002-B11A-4576-A319-1D2EBC26B42B}"/>
            </c:ext>
          </c:extLst>
        </c:ser>
        <c:dLbls>
          <c:showLegendKey val="0"/>
          <c:showVal val="0"/>
          <c:showCatName val="0"/>
          <c:showSerName val="0"/>
          <c:showPercent val="0"/>
          <c:showBubbleSize val="0"/>
        </c:dLbls>
        <c:gapWidth val="150"/>
        <c:shape val="box"/>
        <c:axId val="1606076576"/>
        <c:axId val="993151808"/>
        <c:axId val="0"/>
      </c:bar3DChart>
      <c:catAx>
        <c:axId val="1606076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93151808"/>
        <c:crosses val="autoZero"/>
        <c:auto val="1"/>
        <c:lblAlgn val="ctr"/>
        <c:lblOffset val="100"/>
        <c:noMultiLvlLbl val="0"/>
      </c:catAx>
      <c:valAx>
        <c:axId val="99315180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607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2225" cap="flat" cmpd="sng" algn="ctr">
      <a:solidFill>
        <a:schemeClr val="accent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baseline="0">
                <a:effectLst/>
              </a:rPr>
              <a:t>Histórico de carga Bogotá - Belencito</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DC2-4B3F-81E5-DA03AA5049CD}"/>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BDC2-4B3F-81E5-DA03AA5049C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C2-4B3F-81E5-DA03AA5049C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C2-4B3F-81E5-DA03AA5049C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BDC2-4B3F-81E5-DA03AA5049CD}"/>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baseline="0">
                <a:effectLst/>
              </a:rPr>
              <a:t>Histórico de carga Dorada - CHiriguaná</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BC51-4438-ADDE-BE522E05B776}"/>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BC51-4438-ADDE-BE522E05B77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51-4438-ADDE-BE522E05B77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51-4438-ADDE-BE522E05B776}"/>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C51-4438-ADDE-BE522E05B77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BC51-4438-ADDE-BE522E05B776}"/>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7991</Words>
  <Characters>43954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3</cp:revision>
  <cp:lastPrinted>2020-12-29T13:35:00Z</cp:lastPrinted>
  <dcterms:created xsi:type="dcterms:W3CDTF">2021-05-29T12:49:00Z</dcterms:created>
  <dcterms:modified xsi:type="dcterms:W3CDTF">2021-05-31T12:54:00Z</dcterms:modified>
</cp:coreProperties>
</file>