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0B15" w:rsidRPr="00DC59A8" w:rsidRDefault="00A4386E" w:rsidP="00426576">
      <w:pPr>
        <w:jc w:val="center"/>
        <w:rPr>
          <w:rFonts w:ascii="Futura Bk BT" w:hAnsi="Futura Bk BT" w:hint="eastAsia"/>
          <w:sz w:val="22"/>
          <w:szCs w:val="22"/>
        </w:rPr>
      </w:pPr>
      <w:r>
        <w:rPr>
          <w:rFonts w:ascii="Futura Bk BT" w:hAnsi="Futura Bk BT"/>
          <w:noProof/>
          <w:sz w:val="22"/>
          <w:szCs w:val="22"/>
          <w:lang w:val="es-MX" w:eastAsia="es-MX"/>
        </w:rPr>
        <w:drawing>
          <wp:anchor distT="0" distB="0" distL="114300" distR="114300" simplePos="0" relativeHeight="251658752" behindDoc="0" locked="0" layoutInCell="1" allowOverlap="1" wp14:anchorId="16F6E8E5" wp14:editId="19516698">
            <wp:simplePos x="0" y="0"/>
            <wp:positionH relativeFrom="column">
              <wp:posOffset>3967480</wp:posOffset>
            </wp:positionH>
            <wp:positionV relativeFrom="paragraph">
              <wp:posOffset>-358140</wp:posOffset>
            </wp:positionV>
            <wp:extent cx="1257300" cy="426085"/>
            <wp:effectExtent l="1905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srcRect/>
                    <a:stretch>
                      <a:fillRect/>
                    </a:stretch>
                  </pic:blipFill>
                  <pic:spPr bwMode="auto">
                    <a:xfrm>
                      <a:off x="0" y="0"/>
                      <a:ext cx="1257300" cy="426085"/>
                    </a:xfrm>
                    <a:prstGeom prst="rect">
                      <a:avLst/>
                    </a:prstGeom>
                    <a:noFill/>
                    <a:ln w="9525">
                      <a:noFill/>
                      <a:miter lim="800000"/>
                      <a:headEnd/>
                      <a:tailEnd/>
                    </a:ln>
                  </pic:spPr>
                </pic:pic>
              </a:graphicData>
            </a:graphic>
          </wp:anchor>
        </w:drawing>
      </w:r>
      <w:r>
        <w:rPr>
          <w:rFonts w:ascii="Futura Bk BT" w:hAnsi="Futura Bk BT"/>
          <w:noProof/>
          <w:sz w:val="22"/>
          <w:szCs w:val="22"/>
          <w:lang w:val="es-MX" w:eastAsia="es-MX"/>
        </w:rPr>
        <w:drawing>
          <wp:anchor distT="0" distB="0" distL="114300" distR="114300" simplePos="0" relativeHeight="251657728" behindDoc="0" locked="0" layoutInCell="1" allowOverlap="1" wp14:anchorId="62D9A10B" wp14:editId="52041C4E">
            <wp:simplePos x="0" y="0"/>
            <wp:positionH relativeFrom="column">
              <wp:posOffset>1381125</wp:posOffset>
            </wp:positionH>
            <wp:positionV relativeFrom="paragraph">
              <wp:posOffset>-424815</wp:posOffset>
            </wp:positionV>
            <wp:extent cx="2051685" cy="561975"/>
            <wp:effectExtent l="19050" t="0" r="571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051685" cy="561975"/>
                    </a:xfrm>
                    <a:prstGeom prst="rect">
                      <a:avLst/>
                    </a:prstGeom>
                    <a:noFill/>
                    <a:ln w="9525">
                      <a:noFill/>
                      <a:miter lim="800000"/>
                      <a:headEnd/>
                      <a:tailEnd/>
                    </a:ln>
                  </pic:spPr>
                </pic:pic>
              </a:graphicData>
            </a:graphic>
          </wp:anchor>
        </w:drawing>
      </w:r>
      <w:r>
        <w:rPr>
          <w:rFonts w:ascii="Futura Bk BT" w:hAnsi="Futura Bk BT"/>
          <w:noProof/>
          <w:sz w:val="22"/>
          <w:szCs w:val="22"/>
          <w:lang w:val="es-MX" w:eastAsia="es-MX"/>
        </w:rPr>
        <w:drawing>
          <wp:anchor distT="0" distB="0" distL="114300" distR="114300" simplePos="0" relativeHeight="251656704" behindDoc="0" locked="0" layoutInCell="1" allowOverlap="1" wp14:anchorId="02BEB91A" wp14:editId="69CFC8F9">
            <wp:simplePos x="0" y="0"/>
            <wp:positionH relativeFrom="column">
              <wp:posOffset>-90170</wp:posOffset>
            </wp:positionH>
            <wp:positionV relativeFrom="paragraph">
              <wp:posOffset>-748665</wp:posOffset>
            </wp:positionV>
            <wp:extent cx="990600" cy="885825"/>
            <wp:effectExtent l="19050" t="0" r="0" b="0"/>
            <wp:wrapNone/>
            <wp:docPr id="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0" cstate="print">
                      <a:lum bright="20000" contrast="-20000"/>
                      <a:grayscl/>
                    </a:blip>
                    <a:srcRect/>
                    <a:stretch>
                      <a:fillRect/>
                    </a:stretch>
                  </pic:blipFill>
                  <pic:spPr bwMode="auto">
                    <a:xfrm>
                      <a:off x="0" y="0"/>
                      <a:ext cx="990600" cy="885825"/>
                    </a:xfrm>
                    <a:prstGeom prst="rect">
                      <a:avLst/>
                    </a:prstGeom>
                    <a:noFill/>
                    <a:ln w="9525">
                      <a:noFill/>
                      <a:miter lim="800000"/>
                      <a:headEnd/>
                      <a:tailEnd/>
                    </a:ln>
                  </pic:spPr>
                </pic:pic>
              </a:graphicData>
            </a:graphic>
          </wp:anchor>
        </w:drawing>
      </w:r>
    </w:p>
    <w:p w:rsidR="007C547A" w:rsidRDefault="007C547A" w:rsidP="007C547A">
      <w:pPr>
        <w:pStyle w:val="Standard"/>
        <w:jc w:val="both"/>
      </w:pPr>
    </w:p>
    <w:p w:rsidR="007C547A" w:rsidRDefault="007C547A" w:rsidP="007C547A">
      <w:pPr>
        <w:pStyle w:val="Standard"/>
        <w:jc w:val="both"/>
        <w:rPr>
          <w:rFonts w:ascii="Futura Bk BT" w:hAnsi="Futura Bk BT" w:cs="Futura Bk BT" w:hint="eastAsia"/>
          <w:sz w:val="22"/>
          <w:szCs w:val="22"/>
        </w:rPr>
      </w:pPr>
    </w:p>
    <w:p w:rsidR="007C547A" w:rsidRDefault="007C547A" w:rsidP="007C547A">
      <w:pPr>
        <w:pStyle w:val="Ttulo2"/>
        <w:tabs>
          <w:tab w:val="left" w:pos="4253"/>
        </w:tabs>
      </w:pPr>
      <w:r>
        <w:rPr>
          <w:rFonts w:ascii="Futura Bk BT" w:hAnsi="Futura Bk BT" w:cs="Futura Bk BT"/>
          <w:sz w:val="22"/>
          <w:szCs w:val="22"/>
        </w:rPr>
        <w:t>RESOLUCIÓN</w:t>
      </w:r>
      <w:r>
        <w:rPr>
          <w:rFonts w:ascii="Futura Bk BT" w:eastAsia="Futura Bk BT" w:hAnsi="Futura Bk BT" w:cs="Futura Bk BT"/>
          <w:sz w:val="22"/>
          <w:szCs w:val="22"/>
        </w:rPr>
        <w:t xml:space="preserve"> </w:t>
      </w:r>
      <w:r>
        <w:rPr>
          <w:rFonts w:ascii="Futura Bk BT" w:hAnsi="Futura Bk BT" w:cs="Futura Bk BT"/>
          <w:sz w:val="22"/>
          <w:szCs w:val="22"/>
        </w:rPr>
        <w:t>NÚMERO</w:t>
      </w:r>
      <w:r>
        <w:rPr>
          <w:rFonts w:ascii="Futura Bk BT" w:eastAsia="Futura Bk BT" w:hAnsi="Futura Bk BT" w:cs="Futura Bk BT"/>
          <w:sz w:val="22"/>
          <w:szCs w:val="22"/>
        </w:rPr>
        <w:t xml:space="preserve">                                          </w:t>
      </w:r>
      <w:r>
        <w:rPr>
          <w:rFonts w:ascii="Futura Bk BT" w:hAnsi="Futura Bk BT" w:cs="Futura Bk BT"/>
          <w:sz w:val="22"/>
          <w:szCs w:val="22"/>
        </w:rPr>
        <w:t>DE</w:t>
      </w:r>
      <w:r>
        <w:rPr>
          <w:rFonts w:ascii="Futura Bk BT" w:eastAsia="Futura Bk BT" w:hAnsi="Futura Bk BT" w:cs="Futura Bk BT"/>
          <w:sz w:val="22"/>
          <w:szCs w:val="22"/>
        </w:rPr>
        <w:t xml:space="preserve"> </w:t>
      </w:r>
      <w:r>
        <w:rPr>
          <w:rFonts w:ascii="Futura Bk BT" w:hAnsi="Futura Bk BT" w:cs="Futura Bk BT"/>
          <w:sz w:val="22"/>
          <w:szCs w:val="22"/>
        </w:rPr>
        <w:t>2015</w:t>
      </w:r>
    </w:p>
    <w:p w:rsidR="007C547A" w:rsidRDefault="007C547A" w:rsidP="007C547A">
      <w:pPr>
        <w:pStyle w:val="toa"/>
        <w:tabs>
          <w:tab w:val="clear" w:pos="9000"/>
          <w:tab w:val="clear" w:pos="9360"/>
        </w:tabs>
        <w:suppressAutoHyphens w:val="0"/>
        <w:jc w:val="center"/>
        <w:rPr>
          <w:rFonts w:ascii="Futura Bk BT" w:hAnsi="Futura Bk BT" w:cs="Futura Bk BT" w:hint="eastAsia"/>
          <w:sz w:val="22"/>
          <w:szCs w:val="22"/>
          <w:lang w:val="es-ES"/>
        </w:rPr>
      </w:pPr>
    </w:p>
    <w:p w:rsidR="007C547A" w:rsidRDefault="007C547A" w:rsidP="007C547A">
      <w:pPr>
        <w:pStyle w:val="toa"/>
        <w:tabs>
          <w:tab w:val="clear" w:pos="9000"/>
          <w:tab w:val="clear" w:pos="9360"/>
        </w:tabs>
        <w:suppressAutoHyphens w:val="0"/>
        <w:jc w:val="center"/>
        <w:rPr>
          <w:rFonts w:ascii="Futura Bk BT" w:hAnsi="Futura Bk BT" w:cs="Futura Bk BT" w:hint="eastAsia"/>
          <w:b/>
          <w:sz w:val="22"/>
          <w:szCs w:val="22"/>
          <w:lang w:val="es-ES"/>
        </w:rPr>
      </w:pPr>
    </w:p>
    <w:p w:rsidR="007C547A" w:rsidRDefault="007C547A" w:rsidP="007C547A">
      <w:pPr>
        <w:pStyle w:val="toa"/>
        <w:tabs>
          <w:tab w:val="clear" w:pos="9000"/>
          <w:tab w:val="clear" w:pos="9360"/>
        </w:tabs>
        <w:suppressAutoHyphens w:val="0"/>
        <w:jc w:val="center"/>
        <w:rPr>
          <w:rFonts w:ascii="Futura Bk BT" w:hAnsi="Futura Bk BT" w:cs="Futura Bk BT" w:hint="eastAsia"/>
          <w:b/>
          <w:sz w:val="22"/>
          <w:szCs w:val="22"/>
          <w:lang w:val="es-ES"/>
        </w:rPr>
      </w:pPr>
    </w:p>
    <w:p w:rsidR="007C547A" w:rsidRDefault="007C547A" w:rsidP="007C547A">
      <w:pPr>
        <w:pStyle w:val="toa"/>
        <w:tabs>
          <w:tab w:val="clear" w:pos="9000"/>
          <w:tab w:val="clear" w:pos="9360"/>
        </w:tabs>
        <w:suppressAutoHyphens w:val="0"/>
        <w:jc w:val="center"/>
        <w:rPr>
          <w:rFonts w:ascii="Futura Bk BT" w:hAnsi="Futura Bk BT" w:cs="Futura Bk BT" w:hint="eastAsia"/>
          <w:b/>
          <w:sz w:val="22"/>
          <w:szCs w:val="22"/>
          <w:lang w:val="es-ES"/>
        </w:rPr>
      </w:pPr>
      <w:r>
        <w:rPr>
          <w:rFonts w:ascii="Futura Bk BT" w:hAnsi="Futura Bk BT" w:cs="Futura Bk BT"/>
          <w:b/>
          <w:sz w:val="22"/>
          <w:szCs w:val="22"/>
          <w:lang w:val="es-ES"/>
        </w:rPr>
        <w:t>(                                             )</w:t>
      </w:r>
    </w:p>
    <w:p w:rsidR="007C547A" w:rsidRDefault="007C547A" w:rsidP="007C547A">
      <w:pPr>
        <w:pStyle w:val="Standard"/>
        <w:jc w:val="both"/>
        <w:rPr>
          <w:rFonts w:ascii="Futura Bk BT" w:hAnsi="Futura Bk BT" w:cs="Futura Bk BT" w:hint="eastAsia"/>
          <w:sz w:val="22"/>
          <w:szCs w:val="22"/>
        </w:rPr>
      </w:pPr>
    </w:p>
    <w:p w:rsidR="007C547A" w:rsidRDefault="007C547A" w:rsidP="007C547A">
      <w:pPr>
        <w:pStyle w:val="Standard"/>
        <w:autoSpaceDE w:val="0"/>
        <w:jc w:val="both"/>
        <w:rPr>
          <w:rFonts w:ascii="Futura Bk BT" w:hAnsi="Futura Bk BT" w:cs="Arial" w:hint="eastAsia"/>
          <w:sz w:val="22"/>
          <w:szCs w:val="22"/>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center"/>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"Por la cual se modifica el artículo 2, 3, 4 y 7 de la Resolución 1130 de 2015 por medio de la cual se emitió Concepto vinculante previo al establecimiento de una estación de peaje denominada El Cairo y sus puntos de control de acceso, y se establecen  tarifas especiales diferenciales para las estaciones denominadas Iracá, Ocoa, Casetabla y Yucao que forman parte del Proyecto vial de Iniciativa Privada Malla Vial del Meta “I.P. Malla Vial del Meta” y se dictan otras disposiciones”.</w:t>
      </w:r>
    </w:p>
    <w:p w:rsidR="007C547A" w:rsidRPr="00BF17FF" w:rsidRDefault="007C547A" w:rsidP="007C547A">
      <w:pPr>
        <w:pStyle w:val="Standard"/>
        <w:autoSpaceDE w:val="0"/>
        <w:jc w:val="center"/>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center"/>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LA MINISTRA DE TRANSPORTE</w:t>
      </w:r>
    </w:p>
    <w:p w:rsidR="007C547A" w:rsidRPr="00BF17FF" w:rsidRDefault="007C547A" w:rsidP="007C547A">
      <w:pPr>
        <w:pStyle w:val="Standard"/>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En ejercicio de las facultades legales y en especial las conferidas por el artículo 21 de la Ley número 105 de 1993 modificado parcialmente por el Artículo 1 de la Ley 787 de 2002 y los numerales 6.14 y 6.15 del artículo 6° del Decreto número 087 de 2011,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center"/>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CONSIDERANDO</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la Ley 105 de 1993, por la cual se dictan disposiciones básicas sobre el transporte, se redistribuyen competencias y recursos entre la Nación y las Entidades Territoriales, se reglamenta la planeación en el sector transporte y se dictan otras disposiciones, en su artículo 21 (modificado parcialmente por el artículo 1° de la Ley 787 de 2002) establece:</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“Artículo 21. Tasas, tarifas y peajes en la infraestructura de transporte a cargo de la Nación. Para la construcción y conservación de la infraestructura de transporte a cargo de la Nación, esta contará con los recursos que se apropien en el Presupuesto Nacional y además cobrará el uso de las obras de infraestructura de transporte a los usuarios, buscando garantizar su adecuado mantenimiento, operación y desarrollo.</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Para estos efectos, la Nación establecerá peajes, tarifas y tasas sobre el uso de la infraestructura nacional de transporte y los recursos provenientes de su cobro se usarán exclusivamente para ese modo de transporte”.</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el Decreto número 087 de 2011, por el cual se modifica la estructura del Ministerio de Transporte, y se determinan las funciones de sus dependencias, Estableció en los numerales 6.14 y 6.15 del artículo 6°:</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“6.14. Emitir, en su calidad de suprema autoridad del Sector Transporte y del Sistema Nacional de Transporte, concepto vinculante previo al establecimiento de los peajes que deban cobrarse por el uso de las vías a cargo de la Nación, los departamentos, distritos y municipios.</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BF17FF" w:rsidP="007C547A">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6.</w:t>
      </w:r>
      <w:r w:rsidR="007C547A" w:rsidRPr="00BF17FF">
        <w:rPr>
          <w:rFonts w:ascii="Futura Bk BT" w:eastAsia="DejaVu Sans" w:hAnsi="Futura Bk BT" w:cs="Times New Roman"/>
          <w:sz w:val="22"/>
          <w:szCs w:val="22"/>
          <w:lang w:bidi="hi-IN"/>
        </w:rPr>
        <w:t>15. Establecer los peajes, tarifas, tasas y derechos a cobrar por el uso de la infraestructura de los modos de transporte, excepto el aéreo”.</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los numerales 1 y 5 del artículo 4° del Decreto número 4165 de 2011, establecen que le corresponde a la Agencia Nacional de Infraestructura (ANI) identificar, evaluar la viabilidad y proponer iniciativas de concesión u otras formas de Asociación Público Privada para el desarrollo de la infraestructura de transporte y de los servicios conexos y relacionados así como elaborar los estudios para definir los peajes, tasas, tarifas, contribución de valorización y otras modalidades de retribución por el diseño, construcción, operación, explotación, mantenimiento o rehabilitación de la infraestructura relacionada con los proyectos de concesión u otras formas de Asociación Público Privada a su cargo.</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igualmente el numeral 15 del artículo 11 ibídem, dispone que la Agencia Nacional de Infraestructura (ANI), debe solicitar al Ministerio de Transporte, concepto vinculante previo para la instalación de las casetas de peaje y otros puntos de cobro de acuerdo con las normas vigentes y las políticas del Ministerio para los proyectos a cargo de la misma.</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de conformidad con los artículos 1° y 5° de la Ley 1508 de 2012, las Asociaciones Público Privadas son un instrumento de vinculación de capital privado, que se materializa en un contrato entre una entidad estatal y una persona natural o jurídica, en el cual se involucran mecanismos de pago relacionados con la disponibilidad, el nivel de servicio de la infraestructura y/o servicio; igualmente se contempla el derecho al recaudo de recursos de explotación económica del proyecto.</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344A49" w:rsidRPr="00BF17FF" w:rsidRDefault="00344A49" w:rsidP="00344A49">
      <w:pPr>
        <w:autoSpaceDE w:val="0"/>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Que la Agencia Nacional de Infraestructura – ANI, a través del proceso No. VJ-VE-APP-IPV-001-2015 anunció la intención de adjudicar un Contrato de Asociación Público Privada de Iniciativa Privada al Originador GRUPO ODINSA S.A, bajo las condiciones acordadas entre este y la Entidad, cuyo objeto es: "Estudios, diseños, financiación, construcción, operación, mantenimiento, gestión social, predial y ambiental respecto de los siguientes ítems a saber: i). Corredor Granada – Villavicencio – Puerto López – Puerto Gaitán – Puente Arimena ii). Anillo Vial de Villavicencio y Accesos a la Ciudad”</w:t>
      </w:r>
    </w:p>
    <w:p w:rsidR="004361FE" w:rsidRPr="00BF17FF" w:rsidRDefault="004361FE"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el proyecto de Iniciativa Privada para la Malla Vial del Meta “I.P. Malla Vial del Meta”,</w:t>
      </w:r>
      <w:r w:rsidR="00AB3E81" w:rsidRPr="00BF17FF">
        <w:rPr>
          <w:rFonts w:ascii="Futura Bk BT" w:eastAsia="DejaVu Sans" w:hAnsi="Futura Bk BT" w:cs="Times New Roman"/>
          <w:sz w:val="22"/>
          <w:szCs w:val="22"/>
          <w:lang w:bidi="hi-IN"/>
        </w:rPr>
        <w:t xml:space="preserve"> presentado por el Grupo Odinsa S.A  posteriormente Estructura Plural AUTOPISTAS DEL META, como Originador, ante la Agencia Nacional de Infraestructura (ANI) cuenta con 12 Unidades Funcionales</w:t>
      </w:r>
      <w:r w:rsidRPr="00BF17FF">
        <w:rPr>
          <w:rFonts w:ascii="Futura Bk BT" w:eastAsia="DejaVu Sans" w:hAnsi="Futura Bk BT" w:cs="Times New Roman"/>
          <w:sz w:val="22"/>
          <w:szCs w:val="22"/>
          <w:lang w:bidi="hi-IN"/>
        </w:rPr>
        <w:t>, comprendidas entre los tramos Granada-Villavicencio, Villavicencio - Puerto López - Puerto Gaitán - Puente Arimena, y el Anillo Vial de Villavicencio y sus accesos, y tiene como fin mejorar las condiciones de operatividad del tráfico pesado durante su tránsito por la ciudad de Villavicencio y a lo largo de las vías mencionadas.</w:t>
      </w:r>
    </w:p>
    <w:p w:rsidR="00AB3E81"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3D20E6" w:rsidRPr="00BF17FF" w:rsidRDefault="003D20E6" w:rsidP="003D20E6">
      <w:pPr>
        <w:tabs>
          <w:tab w:val="left" w:pos="0"/>
        </w:tabs>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 xml:space="preserve">Que las tarifas son el resultado de un estudio de tráfico específico realizado para el proyecto, para determinar los ingresos dentro del modelo financiero de estructuración de la concesión sin recursos del Estado, constituyéndose en el parámetro principal para la obtención de la viabilidad financiera del mismo. </w:t>
      </w:r>
    </w:p>
    <w:p w:rsidR="007A060F" w:rsidRPr="00BF17FF" w:rsidRDefault="007A060F" w:rsidP="00735B39">
      <w:pPr>
        <w:pStyle w:val="Standard"/>
        <w:autoSpaceDE w:val="0"/>
        <w:jc w:val="both"/>
        <w:rPr>
          <w:rFonts w:ascii="Futura Bk BT" w:eastAsia="DejaVu Sans" w:hAnsi="Futura Bk BT" w:cs="Times New Roman"/>
          <w:sz w:val="22"/>
          <w:szCs w:val="22"/>
          <w:lang w:bidi="hi-IN"/>
        </w:rPr>
      </w:pPr>
    </w:p>
    <w:p w:rsidR="00A56974" w:rsidRDefault="00A56974" w:rsidP="00E1063D">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 xml:space="preserve">Que el Contrato de Concesión 446 de 1994 tenía tarifas diferenciales para veintisiete (27) </w:t>
      </w:r>
      <w:r w:rsidRPr="00BF17FF">
        <w:rPr>
          <w:rFonts w:ascii="Futura Bk BT" w:eastAsia="DejaVu Sans" w:hAnsi="Futura Bk BT" w:cs="Times New Roman"/>
          <w:sz w:val="22"/>
          <w:szCs w:val="22"/>
          <w:lang w:bidi="hi-IN"/>
        </w:rPr>
        <w:t>vehículos categoría I de servicio público taxi</w:t>
      </w:r>
      <w:r>
        <w:rPr>
          <w:rFonts w:ascii="Futura Bk BT" w:eastAsia="DejaVu Sans" w:hAnsi="Futura Bk BT" w:cs="Times New Roman"/>
          <w:sz w:val="22"/>
          <w:szCs w:val="22"/>
          <w:lang w:bidi="hi-IN"/>
        </w:rPr>
        <w:t xml:space="preserve">, </w:t>
      </w:r>
      <w:r w:rsidRPr="00BF17FF">
        <w:rPr>
          <w:rFonts w:ascii="Futura Bk BT" w:eastAsia="DejaVu Sans" w:hAnsi="Futura Bk BT" w:cs="Times New Roman"/>
          <w:sz w:val="22"/>
          <w:szCs w:val="22"/>
          <w:lang w:bidi="hi-IN"/>
        </w:rPr>
        <w:t xml:space="preserve">para el paso por el Peaje </w:t>
      </w:r>
      <w:r>
        <w:rPr>
          <w:rFonts w:ascii="Futura Bk BT" w:eastAsia="DejaVu Sans" w:hAnsi="Futura Bk BT" w:cs="Times New Roman"/>
          <w:sz w:val="22"/>
          <w:szCs w:val="22"/>
          <w:lang w:bidi="hi-IN"/>
        </w:rPr>
        <w:t xml:space="preserve">de </w:t>
      </w:r>
      <w:r w:rsidRPr="00BF17FF">
        <w:rPr>
          <w:rFonts w:ascii="Futura Bk BT" w:eastAsia="DejaVu Sans" w:hAnsi="Futura Bk BT" w:cs="Times New Roman"/>
          <w:sz w:val="22"/>
          <w:szCs w:val="22"/>
          <w:lang w:bidi="hi-IN"/>
        </w:rPr>
        <w:t>Iraca</w:t>
      </w:r>
      <w:r>
        <w:rPr>
          <w:rFonts w:ascii="Futura Bk BT" w:eastAsia="DejaVu Sans" w:hAnsi="Futura Bk BT" w:cs="Times New Roman"/>
          <w:sz w:val="22"/>
          <w:szCs w:val="22"/>
          <w:lang w:bidi="hi-IN"/>
        </w:rPr>
        <w:t xml:space="preserve">, </w:t>
      </w:r>
      <w:r w:rsidRPr="00BF17FF">
        <w:rPr>
          <w:rFonts w:ascii="Futura Bk BT" w:eastAsia="DejaVu Sans" w:hAnsi="Futura Bk BT" w:cs="Times New Roman"/>
          <w:sz w:val="22"/>
          <w:szCs w:val="22"/>
          <w:lang w:bidi="hi-IN"/>
        </w:rPr>
        <w:t>dieciocho (18) vehículos de servicio público “buseta” de la categoría II y diecinueve (19) vehículos categoría I de servicio público colectivo, pero estas tarifas no quedaron incluidas en la Resolución No 1130 de abril de 2015, y se hace necesario incluirlas</w:t>
      </w:r>
      <w:r w:rsidR="00252745">
        <w:rPr>
          <w:rFonts w:ascii="Futura Bk BT" w:eastAsia="DejaVu Sans" w:hAnsi="Futura Bk BT" w:cs="Times New Roman"/>
          <w:sz w:val="22"/>
          <w:szCs w:val="22"/>
          <w:lang w:bidi="hi-IN"/>
        </w:rPr>
        <w:t xml:space="preserve"> en la resolución 1130 de 2015</w:t>
      </w:r>
      <w:r w:rsidRPr="00BF17FF">
        <w:rPr>
          <w:rFonts w:ascii="Futura Bk BT" w:eastAsia="DejaVu Sans" w:hAnsi="Futura Bk BT" w:cs="Times New Roman"/>
          <w:sz w:val="22"/>
          <w:szCs w:val="22"/>
          <w:lang w:bidi="hi-IN"/>
        </w:rPr>
        <w:t xml:space="preserve"> para dar continuidad </w:t>
      </w:r>
      <w:r w:rsidR="00252745">
        <w:rPr>
          <w:rFonts w:ascii="Futura Bk BT" w:eastAsia="DejaVu Sans" w:hAnsi="Futura Bk BT" w:cs="Times New Roman"/>
          <w:sz w:val="22"/>
          <w:szCs w:val="22"/>
          <w:lang w:bidi="hi-IN"/>
        </w:rPr>
        <w:t>a este beneficio a la comunidad.</w:t>
      </w:r>
    </w:p>
    <w:p w:rsidR="00A56974" w:rsidRDefault="00A56974" w:rsidP="00E1063D">
      <w:pPr>
        <w:pStyle w:val="Standard"/>
        <w:autoSpaceDE w:val="0"/>
        <w:jc w:val="both"/>
        <w:rPr>
          <w:rFonts w:ascii="Futura Bk BT" w:eastAsia="DejaVu Sans" w:hAnsi="Futura Bk BT" w:cs="Times New Roman"/>
          <w:sz w:val="22"/>
          <w:szCs w:val="22"/>
          <w:lang w:bidi="hi-IN"/>
        </w:rPr>
      </w:pPr>
    </w:p>
    <w:p w:rsidR="00E1063D" w:rsidRDefault="00E1063D" w:rsidP="00E1063D">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las empresas Rápido Centauros y Asociación de Transportadores del Meta presentaron derechos de petición ante el Ministerio de Transporte y la ANI, solicitando que se les otorgue el beneficio de Tarifa diferencial y que se mantenga el beneficio otorgado desde el proyecto anterior en esos peajes a los vehículos de Transporte Público pertenecientes a esas empresas</w:t>
      </w:r>
      <w:r>
        <w:rPr>
          <w:rFonts w:ascii="Futura Bk BT" w:eastAsia="DejaVu Sans" w:hAnsi="Futura Bk BT" w:cs="Times New Roman"/>
          <w:sz w:val="22"/>
          <w:szCs w:val="22"/>
          <w:lang w:bidi="hi-IN"/>
        </w:rPr>
        <w:t>.</w:t>
      </w:r>
    </w:p>
    <w:p w:rsidR="00E1063D" w:rsidRDefault="00E1063D" w:rsidP="00A70FDC">
      <w:pPr>
        <w:pStyle w:val="Standard"/>
        <w:autoSpaceDE w:val="0"/>
        <w:jc w:val="both"/>
        <w:rPr>
          <w:rFonts w:ascii="Futura Bk BT" w:eastAsia="DejaVu Sans" w:hAnsi="Futura Bk BT" w:cs="Times New Roman"/>
          <w:sz w:val="22"/>
          <w:szCs w:val="22"/>
          <w:lang w:bidi="hi-IN"/>
        </w:rPr>
      </w:pPr>
    </w:p>
    <w:p w:rsidR="00252745" w:rsidRDefault="007A060F" w:rsidP="00A70FDC">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antes de la suscripción del Contrato</w:t>
      </w:r>
      <w:r w:rsidR="007923F2">
        <w:rPr>
          <w:rFonts w:ascii="Futura Bk BT" w:eastAsia="DejaVu Sans" w:hAnsi="Futura Bk BT" w:cs="Times New Roman"/>
          <w:sz w:val="22"/>
          <w:szCs w:val="22"/>
          <w:lang w:bidi="hi-IN"/>
        </w:rPr>
        <w:t xml:space="preserve"> de Concesión</w:t>
      </w:r>
      <w:r w:rsidRPr="00BF17FF">
        <w:rPr>
          <w:rFonts w:ascii="Futura Bk BT" w:eastAsia="DejaVu Sans" w:hAnsi="Futura Bk BT" w:cs="Times New Roman"/>
          <w:sz w:val="22"/>
          <w:szCs w:val="22"/>
          <w:lang w:bidi="hi-IN"/>
        </w:rPr>
        <w:t xml:space="preserve"> No.</w:t>
      </w:r>
      <w:r w:rsidR="007923F2">
        <w:rPr>
          <w:rFonts w:ascii="Futura Bk BT" w:eastAsia="DejaVu Sans" w:hAnsi="Futura Bk BT" w:cs="Times New Roman"/>
          <w:sz w:val="22"/>
          <w:szCs w:val="22"/>
          <w:lang w:bidi="hi-IN"/>
        </w:rPr>
        <w:t xml:space="preserve"> </w:t>
      </w:r>
      <w:r w:rsidRPr="00BF17FF">
        <w:rPr>
          <w:rFonts w:ascii="Futura Bk BT" w:eastAsia="DejaVu Sans" w:hAnsi="Futura Bk BT" w:cs="Times New Roman"/>
          <w:sz w:val="22"/>
          <w:szCs w:val="22"/>
          <w:lang w:bidi="hi-IN"/>
        </w:rPr>
        <w:t xml:space="preserve">004 de 2015, en </w:t>
      </w:r>
      <w:r w:rsidR="00252745">
        <w:rPr>
          <w:rFonts w:ascii="Futura Bk BT" w:eastAsia="DejaVu Sans" w:hAnsi="Futura Bk BT" w:cs="Times New Roman"/>
          <w:sz w:val="22"/>
          <w:szCs w:val="22"/>
          <w:lang w:bidi="hi-IN"/>
        </w:rPr>
        <w:t>su estructuración, el Originador del proyecto consideró las tarifas diferenciales especiales para las estaciones de peaje de Iracá y Ocoa.</w:t>
      </w:r>
    </w:p>
    <w:p w:rsidR="00252745" w:rsidRDefault="00252745" w:rsidP="00A70FDC">
      <w:pPr>
        <w:pStyle w:val="Standard"/>
        <w:autoSpaceDE w:val="0"/>
        <w:jc w:val="both"/>
        <w:rPr>
          <w:rFonts w:ascii="Futura Bk BT" w:eastAsia="DejaVu Sans" w:hAnsi="Futura Bk BT" w:cs="Times New Roman"/>
          <w:sz w:val="22"/>
          <w:szCs w:val="22"/>
          <w:lang w:bidi="hi-IN"/>
        </w:rPr>
      </w:pPr>
    </w:p>
    <w:p w:rsidR="00252745" w:rsidRDefault="00252745" w:rsidP="00252745">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 xml:space="preserve">Que la cantidad de beneficios de tarifa especial diferencial considerada es la siguiente: para el paso por el peaje de Iracá cincuenta y nueve </w:t>
      </w:r>
      <w:r w:rsidRPr="00BF17FF">
        <w:rPr>
          <w:rFonts w:ascii="Futura Bk BT" w:eastAsia="DejaVu Sans" w:hAnsi="Futura Bk BT" w:cs="Times New Roman"/>
          <w:sz w:val="22"/>
          <w:szCs w:val="22"/>
          <w:lang w:bidi="hi-IN"/>
        </w:rPr>
        <w:t>(</w:t>
      </w:r>
      <w:r>
        <w:rPr>
          <w:rFonts w:ascii="Futura Bk BT" w:eastAsia="DejaVu Sans" w:hAnsi="Futura Bk BT" w:cs="Times New Roman"/>
          <w:sz w:val="22"/>
          <w:szCs w:val="22"/>
          <w:lang w:bidi="hi-IN"/>
        </w:rPr>
        <w:t>59</w:t>
      </w:r>
      <w:r w:rsidRPr="00BF17FF">
        <w:rPr>
          <w:rFonts w:ascii="Futura Bk BT" w:eastAsia="DejaVu Sans" w:hAnsi="Futura Bk BT" w:cs="Times New Roman"/>
          <w:sz w:val="22"/>
          <w:szCs w:val="22"/>
          <w:lang w:bidi="hi-IN"/>
        </w:rPr>
        <w:t>) vehículos categoría I de servicio público taxi</w:t>
      </w:r>
      <w:r>
        <w:rPr>
          <w:rFonts w:ascii="Futura Bk BT" w:eastAsia="DejaVu Sans" w:hAnsi="Futura Bk BT" w:cs="Times New Roman"/>
          <w:sz w:val="22"/>
          <w:szCs w:val="22"/>
          <w:lang w:bidi="hi-IN"/>
        </w:rPr>
        <w:t xml:space="preserve">, </w:t>
      </w:r>
      <w:r w:rsidRPr="00BF17FF">
        <w:rPr>
          <w:rFonts w:ascii="Futura Bk BT" w:eastAsia="DejaVu Sans" w:hAnsi="Futura Bk BT" w:cs="Times New Roman"/>
          <w:sz w:val="22"/>
          <w:szCs w:val="22"/>
          <w:lang w:bidi="hi-IN"/>
        </w:rPr>
        <w:t xml:space="preserve">para el paso por </w:t>
      </w:r>
      <w:r>
        <w:rPr>
          <w:rFonts w:ascii="Futura Bk BT" w:eastAsia="DejaVu Sans" w:hAnsi="Futura Bk BT" w:cs="Times New Roman"/>
          <w:sz w:val="22"/>
          <w:szCs w:val="22"/>
          <w:lang w:bidi="hi-IN"/>
        </w:rPr>
        <w:t xml:space="preserve">los </w:t>
      </w:r>
      <w:r w:rsidRPr="00BF17FF">
        <w:rPr>
          <w:rFonts w:ascii="Futura Bk BT" w:eastAsia="DejaVu Sans" w:hAnsi="Futura Bk BT" w:cs="Times New Roman"/>
          <w:sz w:val="22"/>
          <w:szCs w:val="22"/>
          <w:lang w:bidi="hi-IN"/>
        </w:rPr>
        <w:t>Peaje</w:t>
      </w:r>
      <w:r>
        <w:rPr>
          <w:rFonts w:ascii="Futura Bk BT" w:eastAsia="DejaVu Sans" w:hAnsi="Futura Bk BT" w:cs="Times New Roman"/>
          <w:sz w:val="22"/>
          <w:szCs w:val="22"/>
          <w:lang w:bidi="hi-IN"/>
        </w:rPr>
        <w:t>s</w:t>
      </w:r>
      <w:r w:rsidRPr="00BF17FF">
        <w:rPr>
          <w:rFonts w:ascii="Futura Bk BT" w:eastAsia="DejaVu Sans" w:hAnsi="Futura Bk BT" w:cs="Times New Roman"/>
          <w:sz w:val="22"/>
          <w:szCs w:val="22"/>
          <w:lang w:bidi="hi-IN"/>
        </w:rPr>
        <w:t xml:space="preserve"> </w:t>
      </w:r>
      <w:r>
        <w:rPr>
          <w:rFonts w:ascii="Futura Bk BT" w:eastAsia="DejaVu Sans" w:hAnsi="Futura Bk BT" w:cs="Times New Roman"/>
          <w:sz w:val="22"/>
          <w:szCs w:val="22"/>
          <w:lang w:bidi="hi-IN"/>
        </w:rPr>
        <w:t xml:space="preserve">de </w:t>
      </w:r>
      <w:r w:rsidRPr="00BF17FF">
        <w:rPr>
          <w:rFonts w:ascii="Futura Bk BT" w:eastAsia="DejaVu Sans" w:hAnsi="Futura Bk BT" w:cs="Times New Roman"/>
          <w:sz w:val="22"/>
          <w:szCs w:val="22"/>
          <w:lang w:bidi="hi-IN"/>
        </w:rPr>
        <w:t>Iraca</w:t>
      </w:r>
      <w:r>
        <w:rPr>
          <w:rFonts w:ascii="Futura Bk BT" w:eastAsia="DejaVu Sans" w:hAnsi="Futura Bk BT" w:cs="Times New Roman"/>
          <w:sz w:val="22"/>
          <w:szCs w:val="22"/>
          <w:lang w:bidi="hi-IN"/>
        </w:rPr>
        <w:t xml:space="preserve"> y Ocoa</w:t>
      </w:r>
      <w:r w:rsidRPr="00BF17FF">
        <w:rPr>
          <w:rFonts w:ascii="Futura Bk BT" w:eastAsia="DejaVu Sans" w:hAnsi="Futura Bk BT" w:cs="Times New Roman"/>
          <w:sz w:val="22"/>
          <w:szCs w:val="22"/>
          <w:lang w:bidi="hi-IN"/>
        </w:rPr>
        <w:t xml:space="preserve"> dieciocho (18) vehículos de servicio público “buseta” de la categoría II y diecinueve (19) vehículos categoría I de servicio público colectivo, </w:t>
      </w:r>
      <w:r w:rsidR="006A7327">
        <w:rPr>
          <w:rFonts w:ascii="Futura Bk BT" w:eastAsia="DejaVu Sans" w:hAnsi="Futura Bk BT" w:cs="Times New Roman"/>
          <w:sz w:val="22"/>
          <w:szCs w:val="22"/>
          <w:lang w:bidi="hi-IN"/>
        </w:rPr>
        <w:t>y pa</w:t>
      </w:r>
      <w:r>
        <w:rPr>
          <w:rFonts w:ascii="Futura Bk BT" w:eastAsia="DejaVu Sans" w:hAnsi="Futura Bk BT" w:cs="Times New Roman"/>
          <w:sz w:val="22"/>
          <w:szCs w:val="22"/>
          <w:lang w:bidi="hi-IN"/>
        </w:rPr>
        <w:t>ra el paso por el peaje de Ocoa ocho (8) vehículos de transporte público colectivo</w:t>
      </w:r>
      <w:r w:rsidR="006A7327">
        <w:rPr>
          <w:rFonts w:ascii="Futura Bk BT" w:eastAsia="DejaVu Sans" w:hAnsi="Futura Bk BT" w:cs="Times New Roman"/>
          <w:sz w:val="22"/>
          <w:szCs w:val="22"/>
          <w:lang w:bidi="hi-IN"/>
        </w:rPr>
        <w:t xml:space="preserve"> de la</w:t>
      </w:r>
      <w:r>
        <w:rPr>
          <w:rFonts w:ascii="Futura Bk BT" w:eastAsia="DejaVu Sans" w:hAnsi="Futura Bk BT" w:cs="Times New Roman"/>
          <w:sz w:val="22"/>
          <w:szCs w:val="22"/>
          <w:lang w:bidi="hi-IN"/>
        </w:rPr>
        <w:t xml:space="preserve"> categor</w:t>
      </w:r>
      <w:r w:rsidR="006A7327">
        <w:rPr>
          <w:rFonts w:ascii="Futura Bk BT" w:eastAsia="DejaVu Sans" w:hAnsi="Futura Bk BT" w:cs="Times New Roman"/>
          <w:sz w:val="22"/>
          <w:szCs w:val="22"/>
          <w:lang w:bidi="hi-IN"/>
        </w:rPr>
        <w:t>ía I.</w:t>
      </w:r>
    </w:p>
    <w:p w:rsidR="006A7327" w:rsidRDefault="006A7327" w:rsidP="00252745">
      <w:pPr>
        <w:pStyle w:val="Standard"/>
        <w:autoSpaceDE w:val="0"/>
        <w:jc w:val="both"/>
        <w:rPr>
          <w:rFonts w:ascii="Futura Bk BT" w:eastAsia="DejaVu Sans" w:hAnsi="Futura Bk BT" w:cs="Times New Roman"/>
          <w:sz w:val="22"/>
          <w:szCs w:val="22"/>
          <w:lang w:bidi="hi-IN"/>
        </w:rPr>
      </w:pPr>
    </w:p>
    <w:p w:rsidR="006A7327" w:rsidRDefault="006A7327" w:rsidP="00252745">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Que los vehículos que tendrán beneficio de tarifa especial diferencial se presentan a continuación:</w:t>
      </w:r>
    </w:p>
    <w:p w:rsidR="006A7327" w:rsidRPr="00BF17FF" w:rsidRDefault="006A7327" w:rsidP="00252745">
      <w:pPr>
        <w:pStyle w:val="Standard"/>
        <w:autoSpaceDE w:val="0"/>
        <w:jc w:val="both"/>
        <w:rPr>
          <w:rFonts w:ascii="Futura Bk BT" w:eastAsia="DejaVu Sans" w:hAnsi="Futura Bk BT" w:cs="Times New Roman"/>
          <w:sz w:val="22"/>
          <w:szCs w:val="22"/>
          <w:lang w:bidi="hi-IN"/>
        </w:rPr>
      </w:pPr>
    </w:p>
    <w:p w:rsidR="006A7327" w:rsidRPr="00BF17FF" w:rsidRDefault="006A7327" w:rsidP="006A7327">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En el peaje de IracáT</w:t>
      </w:r>
      <w:r w:rsidRPr="00BF17FF">
        <w:rPr>
          <w:rFonts w:ascii="Futura Bk BT" w:eastAsia="DejaVu Sans" w:hAnsi="Futura Bk BT" w:cs="Times New Roman"/>
          <w:sz w:val="22"/>
          <w:szCs w:val="22"/>
          <w:lang w:bidi="hi-IN"/>
        </w:rPr>
        <w:t xml:space="preserve">arifa especial diferencial para </w:t>
      </w:r>
      <w:r>
        <w:rPr>
          <w:rFonts w:ascii="Futura Bk BT" w:eastAsia="DejaVu Sans" w:hAnsi="Futura Bk BT" w:cs="Times New Roman"/>
          <w:sz w:val="22"/>
          <w:szCs w:val="22"/>
          <w:lang w:bidi="hi-IN"/>
        </w:rPr>
        <w:t xml:space="preserve">cincuenta y nueve (59) </w:t>
      </w:r>
      <w:r w:rsidRPr="00BF17FF">
        <w:rPr>
          <w:rFonts w:ascii="Futura Bk BT" w:eastAsia="DejaVu Sans" w:hAnsi="Futura Bk BT" w:cs="Times New Roman"/>
          <w:sz w:val="22"/>
          <w:szCs w:val="22"/>
          <w:lang w:bidi="hi-IN"/>
        </w:rPr>
        <w:t xml:space="preserve">vehículos categoría I de servicio público colectivo.  </w:t>
      </w:r>
    </w:p>
    <w:p w:rsidR="006A7327" w:rsidRPr="00BF17FF" w:rsidRDefault="006A7327" w:rsidP="00A70FDC">
      <w:pPr>
        <w:pStyle w:val="Standard"/>
        <w:autoSpaceDE w:val="0"/>
        <w:jc w:val="both"/>
        <w:rPr>
          <w:rFonts w:ascii="Futura Bk BT" w:eastAsia="DejaVu Sans" w:hAnsi="Futura Bk BT" w:cs="Times New Roman"/>
          <w:sz w:val="22"/>
          <w:szCs w:val="22"/>
          <w:lang w:bidi="hi-IN"/>
        </w:rPr>
      </w:pPr>
    </w:p>
    <w:p w:rsidR="007E5DAB" w:rsidRPr="00BF17FF" w:rsidRDefault="007E5DAB" w:rsidP="00A70FDC">
      <w:pPr>
        <w:pStyle w:val="Standard"/>
        <w:autoSpaceDE w:val="0"/>
        <w:jc w:val="both"/>
        <w:rPr>
          <w:rFonts w:ascii="Futura Bk BT" w:eastAsia="DejaVu Sans" w:hAnsi="Futura Bk BT" w:cs="Times New Roman"/>
          <w:sz w:val="22"/>
          <w:szCs w:val="22"/>
          <w:lang w:bidi="hi-IN"/>
        </w:rPr>
      </w:pPr>
    </w:p>
    <w:p w:rsidR="00A70FDC" w:rsidRPr="00BF17FF" w:rsidRDefault="00A70FDC" w:rsidP="00A70FDC">
      <w:pPr>
        <w:pStyle w:val="Standard"/>
        <w:autoSpaceDE w:val="0"/>
        <w:jc w:val="both"/>
        <w:rPr>
          <w:rFonts w:ascii="Futura Bk BT" w:eastAsia="DejaVu Sans" w:hAnsi="Futura Bk BT" w:cs="Times New Roman"/>
          <w:sz w:val="22"/>
          <w:szCs w:val="22"/>
          <w:lang w:bidi="hi-IN"/>
        </w:rPr>
      </w:pPr>
    </w:p>
    <w:tbl>
      <w:tblPr>
        <w:tblW w:w="5180" w:type="dxa"/>
        <w:jc w:val="center"/>
        <w:tblCellMar>
          <w:left w:w="70" w:type="dxa"/>
          <w:right w:w="70" w:type="dxa"/>
        </w:tblCellMar>
        <w:tblLook w:val="04A0" w:firstRow="1" w:lastRow="0" w:firstColumn="1" w:lastColumn="0" w:noHBand="0" w:noVBand="1"/>
      </w:tblPr>
      <w:tblGrid>
        <w:gridCol w:w="1240"/>
        <w:gridCol w:w="1240"/>
        <w:gridCol w:w="1240"/>
        <w:gridCol w:w="1460"/>
      </w:tblGrid>
      <w:tr w:rsidR="00A70FDC" w:rsidRPr="00BF17FF" w:rsidTr="004F7270">
        <w:trPr>
          <w:trHeight w:val="300"/>
          <w:jc w:val="center"/>
        </w:trPr>
        <w:tc>
          <w:tcPr>
            <w:tcW w:w="1240" w:type="dxa"/>
            <w:vMerge w:val="restart"/>
            <w:tcBorders>
              <w:top w:val="single" w:sz="8" w:space="0" w:color="000000"/>
              <w:left w:val="single" w:sz="8" w:space="0" w:color="000000"/>
              <w:bottom w:val="nil"/>
              <w:right w:val="single" w:sz="8" w:space="0" w:color="000000"/>
            </w:tcBorders>
            <w:shd w:val="clear" w:color="000000" w:fill="FFFFFF"/>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Placa</w:t>
            </w:r>
          </w:p>
        </w:tc>
        <w:tc>
          <w:tcPr>
            <w:tcW w:w="1240" w:type="dxa"/>
            <w:vMerge w:val="restart"/>
            <w:tcBorders>
              <w:top w:val="single" w:sz="8" w:space="0" w:color="000000"/>
              <w:left w:val="single" w:sz="8" w:space="0" w:color="000000"/>
              <w:bottom w:val="nil"/>
              <w:right w:val="single" w:sz="8" w:space="0" w:color="000000"/>
            </w:tcBorders>
            <w:shd w:val="clear" w:color="000000" w:fill="FFFFFF"/>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Placa</w:t>
            </w:r>
          </w:p>
        </w:tc>
        <w:tc>
          <w:tcPr>
            <w:tcW w:w="1240" w:type="dxa"/>
            <w:vMerge w:val="restart"/>
            <w:tcBorders>
              <w:top w:val="single" w:sz="8" w:space="0" w:color="000000"/>
              <w:left w:val="single" w:sz="8" w:space="0" w:color="000000"/>
              <w:bottom w:val="nil"/>
              <w:right w:val="single" w:sz="8" w:space="0" w:color="000000"/>
            </w:tcBorders>
            <w:shd w:val="clear" w:color="000000" w:fill="FFFFFF"/>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Placa</w:t>
            </w:r>
          </w:p>
        </w:tc>
        <w:tc>
          <w:tcPr>
            <w:tcW w:w="146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Tarifa Especial Diferencial *</w:t>
            </w:r>
          </w:p>
        </w:tc>
      </w:tr>
      <w:tr w:rsidR="00A70FDC" w:rsidRPr="00BF17FF" w:rsidTr="004F7270">
        <w:trPr>
          <w:trHeight w:val="300"/>
          <w:jc w:val="center"/>
        </w:trPr>
        <w:tc>
          <w:tcPr>
            <w:tcW w:w="1240" w:type="dxa"/>
            <w:vMerge/>
            <w:tcBorders>
              <w:top w:val="single" w:sz="8" w:space="0" w:color="000000"/>
              <w:left w:val="single" w:sz="8" w:space="0" w:color="000000"/>
              <w:bottom w:val="nil"/>
              <w:right w:val="single" w:sz="8" w:space="0" w:color="000000"/>
            </w:tcBorders>
            <w:vAlign w:val="center"/>
            <w:hideMark/>
          </w:tcPr>
          <w:p w:rsidR="00A70FDC" w:rsidRPr="00BF17FF" w:rsidRDefault="00A70FDC" w:rsidP="004F7270">
            <w:pPr>
              <w:rPr>
                <w:rFonts w:ascii="Futura Bk BT" w:eastAsia="DejaVu Sans" w:hAnsi="Futura Bk BT"/>
                <w:kern w:val="3"/>
                <w:sz w:val="22"/>
                <w:szCs w:val="22"/>
                <w:lang w:val="es-ES" w:eastAsia="zh-CN" w:bidi="hi-IN"/>
              </w:rPr>
            </w:pPr>
          </w:p>
        </w:tc>
        <w:tc>
          <w:tcPr>
            <w:tcW w:w="1240" w:type="dxa"/>
            <w:vMerge/>
            <w:tcBorders>
              <w:top w:val="single" w:sz="8" w:space="0" w:color="000000"/>
              <w:left w:val="single" w:sz="8" w:space="0" w:color="000000"/>
              <w:bottom w:val="nil"/>
              <w:right w:val="single" w:sz="8" w:space="0" w:color="000000"/>
            </w:tcBorders>
            <w:vAlign w:val="center"/>
            <w:hideMark/>
          </w:tcPr>
          <w:p w:rsidR="00A70FDC" w:rsidRPr="00BF17FF" w:rsidRDefault="00A70FDC" w:rsidP="004F7270">
            <w:pPr>
              <w:rPr>
                <w:rFonts w:ascii="Futura Bk BT" w:eastAsia="DejaVu Sans" w:hAnsi="Futura Bk BT"/>
                <w:kern w:val="3"/>
                <w:sz w:val="22"/>
                <w:szCs w:val="22"/>
                <w:lang w:val="es-ES" w:eastAsia="zh-CN" w:bidi="hi-IN"/>
              </w:rPr>
            </w:pPr>
          </w:p>
        </w:tc>
        <w:tc>
          <w:tcPr>
            <w:tcW w:w="1240" w:type="dxa"/>
            <w:vMerge/>
            <w:tcBorders>
              <w:top w:val="single" w:sz="8" w:space="0" w:color="000000"/>
              <w:left w:val="single" w:sz="8" w:space="0" w:color="000000"/>
              <w:bottom w:val="nil"/>
              <w:right w:val="single" w:sz="8" w:space="0" w:color="000000"/>
            </w:tcBorders>
            <w:vAlign w:val="center"/>
            <w:hideMark/>
          </w:tcPr>
          <w:p w:rsidR="00A70FDC" w:rsidRPr="00BF17FF" w:rsidRDefault="00A70FDC" w:rsidP="004F7270">
            <w:pPr>
              <w:rPr>
                <w:rFonts w:ascii="Futura Bk BT" w:eastAsia="DejaVu Sans" w:hAnsi="Futura Bk BT"/>
                <w:kern w:val="3"/>
                <w:sz w:val="22"/>
                <w:szCs w:val="22"/>
                <w:lang w:val="es-ES" w:eastAsia="zh-CN" w:bidi="hi-IN"/>
              </w:rPr>
            </w:pPr>
          </w:p>
        </w:tc>
        <w:tc>
          <w:tcPr>
            <w:tcW w:w="1460" w:type="dxa"/>
            <w:vMerge/>
            <w:tcBorders>
              <w:top w:val="single" w:sz="8" w:space="0" w:color="000000"/>
              <w:left w:val="single" w:sz="8" w:space="0" w:color="000000"/>
              <w:bottom w:val="single" w:sz="8" w:space="0" w:color="000000"/>
              <w:right w:val="single" w:sz="8" w:space="0" w:color="000000"/>
            </w:tcBorders>
            <w:vAlign w:val="center"/>
            <w:hideMark/>
          </w:tcPr>
          <w:p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rsidTr="004F7270">
        <w:trPr>
          <w:trHeight w:val="300"/>
          <w:jc w:val="center"/>
        </w:trPr>
        <w:tc>
          <w:tcPr>
            <w:tcW w:w="1240" w:type="dxa"/>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UTX-731</w:t>
            </w:r>
          </w:p>
        </w:tc>
        <w:tc>
          <w:tcPr>
            <w:tcW w:w="1240" w:type="dxa"/>
            <w:tcBorders>
              <w:top w:val="single" w:sz="8" w:space="0" w:color="auto"/>
              <w:left w:val="nil"/>
              <w:bottom w:val="single" w:sz="8" w:space="0" w:color="000000"/>
              <w:right w:val="single" w:sz="8" w:space="0" w:color="000000"/>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UPP-477</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TFV-934</w:t>
            </w:r>
          </w:p>
        </w:tc>
        <w:tc>
          <w:tcPr>
            <w:tcW w:w="1460" w:type="dxa"/>
            <w:tcBorders>
              <w:top w:val="nil"/>
              <w:left w:val="nil"/>
              <w:bottom w:val="single" w:sz="8" w:space="0" w:color="000000"/>
              <w:right w:val="single" w:sz="8" w:space="0" w:color="000000"/>
            </w:tcBorders>
            <w:shd w:val="clear" w:color="000000" w:fill="FFFFFF"/>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WLP-425</w:t>
            </w:r>
          </w:p>
        </w:tc>
        <w:tc>
          <w:tcPr>
            <w:tcW w:w="1240" w:type="dxa"/>
            <w:tcBorders>
              <w:top w:val="nil"/>
              <w:left w:val="nil"/>
              <w:bottom w:val="nil"/>
              <w:right w:val="single" w:sz="8" w:space="0" w:color="000000"/>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SLE-825</w:t>
            </w:r>
          </w:p>
        </w:tc>
        <w:tc>
          <w:tcPr>
            <w:tcW w:w="1240" w:type="dxa"/>
            <w:tcBorders>
              <w:top w:val="nil"/>
              <w:left w:val="nil"/>
              <w:bottom w:val="single" w:sz="8" w:space="0" w:color="000000"/>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UTY-700</w:t>
            </w:r>
          </w:p>
        </w:tc>
        <w:tc>
          <w:tcPr>
            <w:tcW w:w="1460" w:type="dxa"/>
            <w:tcBorders>
              <w:top w:val="nil"/>
              <w:left w:val="nil"/>
              <w:bottom w:val="single" w:sz="8" w:space="0" w:color="000000"/>
              <w:right w:val="single" w:sz="8" w:space="0" w:color="000000"/>
            </w:tcBorders>
            <w:shd w:val="clear" w:color="000000" w:fill="FFFFFF"/>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THK-540</w:t>
            </w:r>
          </w:p>
        </w:tc>
        <w:tc>
          <w:tcPr>
            <w:tcW w:w="1240" w:type="dxa"/>
            <w:tcBorders>
              <w:top w:val="single" w:sz="8" w:space="0" w:color="000000"/>
              <w:left w:val="nil"/>
              <w:bottom w:val="single" w:sz="8" w:space="0" w:color="000000"/>
              <w:right w:val="single" w:sz="8" w:space="0" w:color="000000"/>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TFK-231</w:t>
            </w:r>
          </w:p>
        </w:tc>
        <w:tc>
          <w:tcPr>
            <w:tcW w:w="1240" w:type="dxa"/>
            <w:tcBorders>
              <w:top w:val="nil"/>
              <w:left w:val="nil"/>
              <w:bottom w:val="single" w:sz="8" w:space="0" w:color="000000"/>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WDQ-800</w:t>
            </w:r>
          </w:p>
        </w:tc>
        <w:tc>
          <w:tcPr>
            <w:tcW w:w="1460" w:type="dxa"/>
            <w:tcBorders>
              <w:top w:val="nil"/>
              <w:left w:val="nil"/>
              <w:bottom w:val="single" w:sz="8" w:space="0" w:color="000000"/>
              <w:right w:val="single" w:sz="8" w:space="0" w:color="000000"/>
            </w:tcBorders>
            <w:shd w:val="clear" w:color="000000" w:fill="FFFFFF"/>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THK-877</w:t>
            </w:r>
          </w:p>
        </w:tc>
        <w:tc>
          <w:tcPr>
            <w:tcW w:w="1240" w:type="dxa"/>
            <w:tcBorders>
              <w:top w:val="nil"/>
              <w:left w:val="nil"/>
              <w:bottom w:val="single" w:sz="8" w:space="0" w:color="000000"/>
              <w:right w:val="single" w:sz="8" w:space="0" w:color="000000"/>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SXD-047</w:t>
            </w:r>
          </w:p>
        </w:tc>
        <w:tc>
          <w:tcPr>
            <w:tcW w:w="1240" w:type="dxa"/>
            <w:tcBorders>
              <w:top w:val="nil"/>
              <w:left w:val="nil"/>
              <w:bottom w:val="single" w:sz="8" w:space="0" w:color="000000"/>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UPQ-862</w:t>
            </w:r>
          </w:p>
        </w:tc>
        <w:tc>
          <w:tcPr>
            <w:tcW w:w="1460" w:type="dxa"/>
            <w:tcBorders>
              <w:top w:val="nil"/>
              <w:left w:val="nil"/>
              <w:bottom w:val="single" w:sz="8" w:space="0" w:color="000000"/>
              <w:right w:val="single" w:sz="8" w:space="0" w:color="000000"/>
            </w:tcBorders>
            <w:shd w:val="clear" w:color="000000" w:fill="FFFFFF"/>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UTY-684</w:t>
            </w:r>
          </w:p>
        </w:tc>
        <w:tc>
          <w:tcPr>
            <w:tcW w:w="1240" w:type="dxa"/>
            <w:tcBorders>
              <w:top w:val="nil"/>
              <w:left w:val="nil"/>
              <w:bottom w:val="single" w:sz="8" w:space="0" w:color="000000"/>
              <w:right w:val="single" w:sz="8" w:space="0" w:color="000000"/>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SJQ-637</w:t>
            </w:r>
          </w:p>
        </w:tc>
        <w:tc>
          <w:tcPr>
            <w:tcW w:w="1240" w:type="dxa"/>
            <w:tcBorders>
              <w:top w:val="nil"/>
              <w:left w:val="nil"/>
              <w:bottom w:val="single" w:sz="8" w:space="0" w:color="000000"/>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SYU-553</w:t>
            </w:r>
          </w:p>
        </w:tc>
        <w:tc>
          <w:tcPr>
            <w:tcW w:w="1460" w:type="dxa"/>
            <w:tcBorders>
              <w:top w:val="nil"/>
              <w:left w:val="nil"/>
              <w:bottom w:val="single" w:sz="8" w:space="0" w:color="000000"/>
              <w:right w:val="single" w:sz="8" w:space="0" w:color="000000"/>
            </w:tcBorders>
            <w:shd w:val="clear" w:color="000000" w:fill="FFFFFF"/>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SJQ-674</w:t>
            </w:r>
          </w:p>
        </w:tc>
        <w:tc>
          <w:tcPr>
            <w:tcW w:w="1240" w:type="dxa"/>
            <w:tcBorders>
              <w:top w:val="nil"/>
              <w:left w:val="nil"/>
              <w:bottom w:val="nil"/>
              <w:right w:val="single" w:sz="8" w:space="0" w:color="000000"/>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TFV-812</w:t>
            </w:r>
          </w:p>
        </w:tc>
        <w:tc>
          <w:tcPr>
            <w:tcW w:w="1240" w:type="dxa"/>
            <w:tcBorders>
              <w:top w:val="nil"/>
              <w:left w:val="nil"/>
              <w:bottom w:val="single" w:sz="8" w:space="0" w:color="000000"/>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SKK-589</w:t>
            </w:r>
          </w:p>
        </w:tc>
        <w:tc>
          <w:tcPr>
            <w:tcW w:w="1460" w:type="dxa"/>
            <w:tcBorders>
              <w:top w:val="nil"/>
              <w:left w:val="nil"/>
              <w:bottom w:val="single" w:sz="8" w:space="0" w:color="000000"/>
              <w:right w:val="single" w:sz="8" w:space="0" w:color="000000"/>
            </w:tcBorders>
            <w:shd w:val="clear" w:color="000000" w:fill="FFFFFF"/>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TFV-861</w:t>
            </w:r>
          </w:p>
        </w:tc>
        <w:tc>
          <w:tcPr>
            <w:tcW w:w="1240" w:type="dxa"/>
            <w:tcBorders>
              <w:top w:val="single" w:sz="8" w:space="0" w:color="auto"/>
              <w:left w:val="nil"/>
              <w:bottom w:val="single" w:sz="8" w:space="0" w:color="000000"/>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SKO-371</w:t>
            </w:r>
          </w:p>
        </w:tc>
        <w:tc>
          <w:tcPr>
            <w:tcW w:w="1240" w:type="dxa"/>
            <w:tcBorders>
              <w:top w:val="nil"/>
              <w:left w:val="nil"/>
              <w:bottom w:val="single" w:sz="8" w:space="0" w:color="000000"/>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TFK-997</w:t>
            </w:r>
          </w:p>
        </w:tc>
        <w:tc>
          <w:tcPr>
            <w:tcW w:w="1460" w:type="dxa"/>
            <w:tcBorders>
              <w:top w:val="nil"/>
              <w:left w:val="nil"/>
              <w:bottom w:val="single" w:sz="8" w:space="0" w:color="000000"/>
              <w:right w:val="single" w:sz="8" w:space="0" w:color="000000"/>
            </w:tcBorders>
            <w:shd w:val="clear" w:color="000000" w:fill="FFFFFF"/>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SJQ-824</w:t>
            </w:r>
          </w:p>
        </w:tc>
        <w:tc>
          <w:tcPr>
            <w:tcW w:w="1240" w:type="dxa"/>
            <w:tcBorders>
              <w:top w:val="nil"/>
              <w:left w:val="nil"/>
              <w:bottom w:val="single" w:sz="8" w:space="0" w:color="000000"/>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TFW-131</w:t>
            </w:r>
          </w:p>
        </w:tc>
        <w:tc>
          <w:tcPr>
            <w:tcW w:w="1240" w:type="dxa"/>
            <w:tcBorders>
              <w:top w:val="nil"/>
              <w:left w:val="nil"/>
              <w:bottom w:val="single" w:sz="8" w:space="0" w:color="000000"/>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THK-360</w:t>
            </w:r>
          </w:p>
        </w:tc>
        <w:tc>
          <w:tcPr>
            <w:tcW w:w="1460" w:type="dxa"/>
            <w:tcBorders>
              <w:top w:val="nil"/>
              <w:left w:val="nil"/>
              <w:bottom w:val="single" w:sz="8" w:space="0" w:color="000000"/>
              <w:right w:val="single" w:sz="8" w:space="0" w:color="000000"/>
            </w:tcBorders>
            <w:shd w:val="clear" w:color="000000" w:fill="FFFFFF"/>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SJQ-827</w:t>
            </w:r>
          </w:p>
        </w:tc>
        <w:tc>
          <w:tcPr>
            <w:tcW w:w="1240" w:type="dxa"/>
            <w:tcBorders>
              <w:top w:val="nil"/>
              <w:left w:val="nil"/>
              <w:bottom w:val="single" w:sz="8" w:space="0" w:color="000000"/>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TFV-576</w:t>
            </w:r>
          </w:p>
        </w:tc>
        <w:tc>
          <w:tcPr>
            <w:tcW w:w="1240" w:type="dxa"/>
            <w:tcBorders>
              <w:top w:val="nil"/>
              <w:left w:val="nil"/>
              <w:bottom w:val="single" w:sz="8" w:space="0" w:color="000000"/>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TFV-833</w:t>
            </w:r>
          </w:p>
        </w:tc>
        <w:tc>
          <w:tcPr>
            <w:tcW w:w="1460" w:type="dxa"/>
            <w:tcBorders>
              <w:top w:val="nil"/>
              <w:left w:val="nil"/>
              <w:bottom w:val="single" w:sz="8" w:space="0" w:color="000000"/>
              <w:right w:val="single" w:sz="8" w:space="0" w:color="000000"/>
            </w:tcBorders>
            <w:shd w:val="clear" w:color="000000" w:fill="FFFFFF"/>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WDQ-238</w:t>
            </w:r>
          </w:p>
        </w:tc>
        <w:tc>
          <w:tcPr>
            <w:tcW w:w="1240" w:type="dxa"/>
            <w:tcBorders>
              <w:top w:val="nil"/>
              <w:left w:val="nil"/>
              <w:bottom w:val="single" w:sz="8" w:space="0" w:color="000000"/>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UTY-768</w:t>
            </w:r>
          </w:p>
        </w:tc>
        <w:tc>
          <w:tcPr>
            <w:tcW w:w="1240" w:type="dxa"/>
            <w:tcBorders>
              <w:top w:val="nil"/>
              <w:left w:val="nil"/>
              <w:bottom w:val="single" w:sz="8" w:space="0" w:color="000000"/>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SJQ-665</w:t>
            </w:r>
          </w:p>
        </w:tc>
        <w:tc>
          <w:tcPr>
            <w:tcW w:w="1460" w:type="dxa"/>
            <w:tcBorders>
              <w:top w:val="nil"/>
              <w:left w:val="nil"/>
              <w:bottom w:val="single" w:sz="8" w:space="0" w:color="000000"/>
              <w:right w:val="single" w:sz="8" w:space="0" w:color="000000"/>
            </w:tcBorders>
            <w:shd w:val="clear" w:color="000000" w:fill="FFFFFF"/>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WLM-634</w:t>
            </w:r>
          </w:p>
        </w:tc>
        <w:tc>
          <w:tcPr>
            <w:tcW w:w="1240" w:type="dxa"/>
            <w:tcBorders>
              <w:top w:val="nil"/>
              <w:left w:val="nil"/>
              <w:bottom w:val="single" w:sz="8" w:space="0" w:color="000000"/>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XFA-635</w:t>
            </w:r>
          </w:p>
        </w:tc>
        <w:tc>
          <w:tcPr>
            <w:tcW w:w="1240" w:type="dxa"/>
            <w:tcBorders>
              <w:top w:val="nil"/>
              <w:left w:val="nil"/>
              <w:bottom w:val="single" w:sz="8" w:space="0" w:color="000000"/>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UTY-809</w:t>
            </w:r>
          </w:p>
        </w:tc>
        <w:tc>
          <w:tcPr>
            <w:tcW w:w="1460" w:type="dxa"/>
            <w:tcBorders>
              <w:top w:val="nil"/>
              <w:left w:val="nil"/>
              <w:bottom w:val="single" w:sz="8" w:space="0" w:color="000000"/>
              <w:right w:val="single" w:sz="8" w:space="0" w:color="000000"/>
            </w:tcBorders>
            <w:shd w:val="clear" w:color="000000" w:fill="FFFFFF"/>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UTY-581</w:t>
            </w:r>
          </w:p>
        </w:tc>
        <w:tc>
          <w:tcPr>
            <w:tcW w:w="1240" w:type="dxa"/>
            <w:tcBorders>
              <w:top w:val="nil"/>
              <w:left w:val="nil"/>
              <w:bottom w:val="single" w:sz="8" w:space="0" w:color="000000"/>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SJQ-823</w:t>
            </w:r>
          </w:p>
        </w:tc>
        <w:tc>
          <w:tcPr>
            <w:tcW w:w="1240" w:type="dxa"/>
            <w:tcBorders>
              <w:top w:val="nil"/>
              <w:left w:val="nil"/>
              <w:bottom w:val="nil"/>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SVC-053</w:t>
            </w:r>
          </w:p>
        </w:tc>
        <w:tc>
          <w:tcPr>
            <w:tcW w:w="1460" w:type="dxa"/>
            <w:tcBorders>
              <w:top w:val="nil"/>
              <w:left w:val="nil"/>
              <w:bottom w:val="single" w:sz="8" w:space="0" w:color="000000"/>
              <w:right w:val="single" w:sz="8" w:space="0" w:color="000000"/>
            </w:tcBorders>
            <w:shd w:val="clear" w:color="000000" w:fill="FFFFFF"/>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UTX-865</w:t>
            </w:r>
          </w:p>
        </w:tc>
        <w:tc>
          <w:tcPr>
            <w:tcW w:w="1240" w:type="dxa"/>
            <w:tcBorders>
              <w:top w:val="nil"/>
              <w:left w:val="nil"/>
              <w:bottom w:val="single" w:sz="8" w:space="0" w:color="000000"/>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THK-364</w:t>
            </w:r>
          </w:p>
        </w:tc>
        <w:tc>
          <w:tcPr>
            <w:tcW w:w="1240" w:type="dxa"/>
            <w:tcBorders>
              <w:top w:val="single" w:sz="8" w:space="0" w:color="auto"/>
              <w:left w:val="nil"/>
              <w:bottom w:val="single" w:sz="8" w:space="0" w:color="auto"/>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SYR-094</w:t>
            </w:r>
          </w:p>
        </w:tc>
        <w:tc>
          <w:tcPr>
            <w:tcW w:w="1460" w:type="dxa"/>
            <w:tcBorders>
              <w:top w:val="nil"/>
              <w:left w:val="nil"/>
              <w:bottom w:val="single" w:sz="8" w:space="0" w:color="000000"/>
              <w:right w:val="single" w:sz="8" w:space="0" w:color="000000"/>
            </w:tcBorders>
            <w:shd w:val="clear" w:color="000000" w:fill="FFFFFF"/>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TFV-494</w:t>
            </w:r>
          </w:p>
        </w:tc>
        <w:tc>
          <w:tcPr>
            <w:tcW w:w="1240" w:type="dxa"/>
            <w:tcBorders>
              <w:top w:val="nil"/>
              <w:left w:val="nil"/>
              <w:bottom w:val="single" w:sz="8" w:space="0" w:color="000000"/>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TFK-276</w:t>
            </w:r>
          </w:p>
        </w:tc>
        <w:tc>
          <w:tcPr>
            <w:tcW w:w="1240" w:type="dxa"/>
            <w:tcBorders>
              <w:top w:val="nil"/>
              <w:left w:val="nil"/>
              <w:bottom w:val="single" w:sz="8" w:space="0" w:color="auto"/>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SXB-304</w:t>
            </w:r>
          </w:p>
        </w:tc>
        <w:tc>
          <w:tcPr>
            <w:tcW w:w="1460" w:type="dxa"/>
            <w:tcBorders>
              <w:top w:val="nil"/>
              <w:left w:val="nil"/>
              <w:bottom w:val="single" w:sz="8" w:space="0" w:color="000000"/>
              <w:right w:val="single" w:sz="8" w:space="0" w:color="000000"/>
            </w:tcBorders>
            <w:shd w:val="clear" w:color="000000" w:fill="FFFFFF"/>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TFV-876</w:t>
            </w:r>
          </w:p>
        </w:tc>
        <w:tc>
          <w:tcPr>
            <w:tcW w:w="1240" w:type="dxa"/>
            <w:tcBorders>
              <w:top w:val="nil"/>
              <w:left w:val="nil"/>
              <w:bottom w:val="single" w:sz="8" w:space="0" w:color="000000"/>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TFV-974</w:t>
            </w:r>
          </w:p>
        </w:tc>
        <w:tc>
          <w:tcPr>
            <w:tcW w:w="1240" w:type="dxa"/>
            <w:tcBorders>
              <w:top w:val="nil"/>
              <w:left w:val="nil"/>
              <w:bottom w:val="single" w:sz="8" w:space="0" w:color="000000"/>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TFK-343</w:t>
            </w:r>
          </w:p>
        </w:tc>
        <w:tc>
          <w:tcPr>
            <w:tcW w:w="1460" w:type="dxa"/>
            <w:tcBorders>
              <w:top w:val="nil"/>
              <w:left w:val="nil"/>
              <w:bottom w:val="single" w:sz="8" w:space="0" w:color="000000"/>
              <w:right w:val="single" w:sz="8" w:space="0" w:color="000000"/>
            </w:tcBorders>
            <w:shd w:val="clear" w:color="000000" w:fill="FFFFFF"/>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TFV-796</w:t>
            </w:r>
          </w:p>
        </w:tc>
        <w:tc>
          <w:tcPr>
            <w:tcW w:w="1240" w:type="dxa"/>
            <w:tcBorders>
              <w:top w:val="nil"/>
              <w:left w:val="nil"/>
              <w:bottom w:val="single" w:sz="8" w:space="0" w:color="000000"/>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THK-149</w:t>
            </w:r>
          </w:p>
        </w:tc>
        <w:tc>
          <w:tcPr>
            <w:tcW w:w="1240" w:type="dxa"/>
            <w:tcBorders>
              <w:top w:val="nil"/>
              <w:left w:val="nil"/>
              <w:bottom w:val="single" w:sz="8" w:space="0" w:color="auto"/>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SVA-909</w:t>
            </w:r>
          </w:p>
        </w:tc>
        <w:tc>
          <w:tcPr>
            <w:tcW w:w="1460" w:type="dxa"/>
            <w:tcBorders>
              <w:top w:val="nil"/>
              <w:left w:val="nil"/>
              <w:bottom w:val="single" w:sz="8" w:space="0" w:color="000000"/>
              <w:right w:val="single" w:sz="8" w:space="0" w:color="000000"/>
            </w:tcBorders>
            <w:shd w:val="clear" w:color="000000" w:fill="FFFFFF"/>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rsidTr="004F7270">
        <w:trPr>
          <w:trHeight w:val="300"/>
          <w:jc w:val="center"/>
        </w:trPr>
        <w:tc>
          <w:tcPr>
            <w:tcW w:w="1240" w:type="dxa"/>
            <w:tcBorders>
              <w:top w:val="nil"/>
              <w:left w:val="single" w:sz="8" w:space="0" w:color="auto"/>
              <w:bottom w:val="single" w:sz="8" w:space="0" w:color="000000"/>
              <w:right w:val="single" w:sz="8" w:space="0" w:color="000000"/>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THK-754</w:t>
            </w:r>
          </w:p>
        </w:tc>
        <w:tc>
          <w:tcPr>
            <w:tcW w:w="1240" w:type="dxa"/>
            <w:tcBorders>
              <w:top w:val="nil"/>
              <w:left w:val="nil"/>
              <w:bottom w:val="single" w:sz="8" w:space="0" w:color="000000"/>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SJQ-568</w:t>
            </w:r>
          </w:p>
        </w:tc>
        <w:tc>
          <w:tcPr>
            <w:tcW w:w="1240" w:type="dxa"/>
            <w:tcBorders>
              <w:top w:val="nil"/>
              <w:left w:val="nil"/>
              <w:bottom w:val="single" w:sz="8" w:space="0" w:color="auto"/>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UTY-117</w:t>
            </w:r>
          </w:p>
        </w:tc>
        <w:tc>
          <w:tcPr>
            <w:tcW w:w="1460" w:type="dxa"/>
            <w:tcBorders>
              <w:top w:val="nil"/>
              <w:left w:val="nil"/>
              <w:bottom w:val="single" w:sz="8" w:space="0" w:color="000000"/>
              <w:right w:val="single" w:sz="8" w:space="0" w:color="000000"/>
            </w:tcBorders>
            <w:shd w:val="clear" w:color="000000" w:fill="FFFFFF"/>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rsidTr="004F7270">
        <w:trPr>
          <w:trHeight w:val="300"/>
          <w:jc w:val="center"/>
        </w:trPr>
        <w:tc>
          <w:tcPr>
            <w:tcW w:w="1240" w:type="dxa"/>
            <w:tcBorders>
              <w:top w:val="nil"/>
              <w:left w:val="single" w:sz="8" w:space="0" w:color="auto"/>
              <w:bottom w:val="nil"/>
              <w:right w:val="single" w:sz="8" w:space="0" w:color="000000"/>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SKK-888</w:t>
            </w:r>
          </w:p>
        </w:tc>
        <w:tc>
          <w:tcPr>
            <w:tcW w:w="1240" w:type="dxa"/>
            <w:tcBorders>
              <w:top w:val="nil"/>
              <w:left w:val="nil"/>
              <w:bottom w:val="nil"/>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THK-314</w:t>
            </w:r>
          </w:p>
        </w:tc>
        <w:tc>
          <w:tcPr>
            <w:tcW w:w="1240" w:type="dxa"/>
            <w:tcBorders>
              <w:top w:val="nil"/>
              <w:left w:val="nil"/>
              <w:bottom w:val="single" w:sz="8" w:space="0" w:color="auto"/>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THK-753</w:t>
            </w:r>
          </w:p>
        </w:tc>
        <w:tc>
          <w:tcPr>
            <w:tcW w:w="1460" w:type="dxa"/>
            <w:tcBorders>
              <w:top w:val="nil"/>
              <w:left w:val="nil"/>
              <w:bottom w:val="single" w:sz="8" w:space="0" w:color="000000"/>
              <w:right w:val="single" w:sz="8" w:space="0" w:color="000000"/>
            </w:tcBorders>
            <w:shd w:val="clear" w:color="000000" w:fill="FFFFFF"/>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rsidTr="004F7270">
        <w:trPr>
          <w:trHeight w:val="300"/>
          <w:jc w:val="center"/>
        </w:trPr>
        <w:tc>
          <w:tcPr>
            <w:tcW w:w="1240" w:type="dxa"/>
            <w:tcBorders>
              <w:top w:val="single" w:sz="8" w:space="0" w:color="auto"/>
              <w:left w:val="single" w:sz="8" w:space="0" w:color="auto"/>
              <w:bottom w:val="single" w:sz="8" w:space="0" w:color="000000"/>
              <w:right w:val="single" w:sz="8" w:space="0" w:color="000000"/>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SJQ-657</w:t>
            </w:r>
          </w:p>
        </w:tc>
        <w:tc>
          <w:tcPr>
            <w:tcW w:w="1240" w:type="dxa"/>
            <w:tcBorders>
              <w:top w:val="single" w:sz="8" w:space="0" w:color="auto"/>
              <w:left w:val="nil"/>
              <w:bottom w:val="nil"/>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SJQ-659</w:t>
            </w:r>
          </w:p>
        </w:tc>
        <w:tc>
          <w:tcPr>
            <w:tcW w:w="1240" w:type="dxa"/>
            <w:tcBorders>
              <w:top w:val="nil"/>
              <w:left w:val="nil"/>
              <w:bottom w:val="single" w:sz="8" w:space="0" w:color="auto"/>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UTY-809</w:t>
            </w:r>
          </w:p>
        </w:tc>
        <w:tc>
          <w:tcPr>
            <w:tcW w:w="1460" w:type="dxa"/>
            <w:tcBorders>
              <w:top w:val="nil"/>
              <w:left w:val="nil"/>
              <w:bottom w:val="single" w:sz="8" w:space="0" w:color="000000"/>
              <w:right w:val="single" w:sz="8" w:space="0" w:color="000000"/>
            </w:tcBorders>
            <w:shd w:val="clear" w:color="000000" w:fill="FFFFFF"/>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r w:rsidR="00A70FDC" w:rsidRPr="00BF17FF" w:rsidTr="004F7270">
        <w:trPr>
          <w:trHeight w:val="300"/>
          <w:jc w:val="center"/>
        </w:trPr>
        <w:tc>
          <w:tcPr>
            <w:tcW w:w="1240" w:type="dxa"/>
            <w:tcBorders>
              <w:top w:val="nil"/>
              <w:left w:val="single" w:sz="8" w:space="0" w:color="auto"/>
              <w:bottom w:val="single" w:sz="8" w:space="0" w:color="auto"/>
              <w:right w:val="nil"/>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SJQ-644</w:t>
            </w:r>
          </w:p>
        </w:tc>
        <w:tc>
          <w:tcPr>
            <w:tcW w:w="12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WDQ-887</w:t>
            </w:r>
          </w:p>
        </w:tc>
        <w:tc>
          <w:tcPr>
            <w:tcW w:w="1240" w:type="dxa"/>
            <w:tcBorders>
              <w:top w:val="nil"/>
              <w:left w:val="nil"/>
              <w:bottom w:val="single" w:sz="8" w:space="0" w:color="auto"/>
              <w:right w:val="single" w:sz="8" w:space="0" w:color="auto"/>
            </w:tcBorders>
            <w:shd w:val="clear" w:color="auto" w:fill="auto"/>
            <w:noWrap/>
            <w:vAlign w:val="bottom"/>
            <w:hideMark/>
          </w:tcPr>
          <w:p w:rsidR="00A70FDC" w:rsidRPr="00BF17FF" w:rsidRDefault="00A70FDC" w:rsidP="004F7270">
            <w:pP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 </w:t>
            </w:r>
          </w:p>
        </w:tc>
        <w:tc>
          <w:tcPr>
            <w:tcW w:w="1460" w:type="dxa"/>
            <w:tcBorders>
              <w:top w:val="nil"/>
              <w:left w:val="nil"/>
              <w:bottom w:val="single" w:sz="8" w:space="0" w:color="000000"/>
              <w:right w:val="single" w:sz="8" w:space="0" w:color="000000"/>
            </w:tcBorders>
            <w:shd w:val="clear" w:color="000000" w:fill="FFFFFF"/>
            <w:noWrap/>
            <w:vAlign w:val="center"/>
            <w:hideMark/>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3.200</w:t>
            </w:r>
          </w:p>
        </w:tc>
      </w:tr>
    </w:tbl>
    <w:p w:rsidR="00A70FDC" w:rsidRPr="00BF17FF" w:rsidRDefault="00A70FDC" w:rsidP="00A70FDC">
      <w:pPr>
        <w:pStyle w:val="Standard"/>
        <w:autoSpaceDE w:val="0"/>
        <w:jc w:val="both"/>
        <w:rPr>
          <w:rFonts w:ascii="Futura Bk BT" w:eastAsia="DejaVu Sans" w:hAnsi="Futura Bk BT" w:cs="Times New Roman"/>
          <w:sz w:val="22"/>
          <w:szCs w:val="22"/>
          <w:lang w:bidi="hi-IN"/>
        </w:rPr>
      </w:pPr>
    </w:p>
    <w:p w:rsidR="00A70FDC" w:rsidRPr="00BF17FF" w:rsidRDefault="001C431A" w:rsidP="00A70FDC">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En los peajes Iraca y Ocoa</w:t>
      </w:r>
    </w:p>
    <w:p w:rsidR="00A70FDC" w:rsidRPr="00BF17FF" w:rsidRDefault="00A70FDC" w:rsidP="00A70FDC">
      <w:pPr>
        <w:pStyle w:val="Standard"/>
        <w:autoSpaceDE w:val="0"/>
        <w:jc w:val="both"/>
        <w:rPr>
          <w:rFonts w:ascii="Futura Bk BT" w:eastAsia="DejaVu Sans" w:hAnsi="Futura Bk BT" w:cs="Times New Roman"/>
          <w:sz w:val="22"/>
          <w:szCs w:val="22"/>
          <w:lang w:bidi="hi-IN"/>
        </w:rPr>
      </w:pPr>
    </w:p>
    <w:p w:rsidR="00A70FDC" w:rsidRPr="00BF17FF" w:rsidRDefault="00A70FDC" w:rsidP="00A70FDC">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Tarifa especial diferencial para diecinueve (19) vehículos categoría I de servicio público colectivo</w:t>
      </w:r>
      <w:r w:rsidR="006A7327">
        <w:rPr>
          <w:rFonts w:ascii="Futura Bk BT" w:eastAsia="DejaVu Sans" w:hAnsi="Futura Bk BT" w:cs="Times New Roman"/>
          <w:sz w:val="22"/>
          <w:szCs w:val="22"/>
          <w:lang w:bidi="hi-IN"/>
        </w:rPr>
        <w:t xml:space="preserve">  y para </w:t>
      </w:r>
      <w:r w:rsidR="006A7327" w:rsidRPr="00BF17FF">
        <w:rPr>
          <w:rFonts w:ascii="Futura Bk BT" w:eastAsia="DejaVu Sans" w:hAnsi="Futura Bk BT" w:cs="Times New Roman"/>
          <w:sz w:val="22"/>
          <w:szCs w:val="22"/>
          <w:lang w:bidi="hi-IN"/>
        </w:rPr>
        <w:t>dieciocho (18) vehículos de servicio público “buseta” de la categoría II</w:t>
      </w:r>
    </w:p>
    <w:p w:rsidR="00A70FDC" w:rsidRPr="00BF17FF" w:rsidRDefault="00A70FDC" w:rsidP="00A70FDC">
      <w:pPr>
        <w:pStyle w:val="Standard"/>
        <w:autoSpaceDE w:val="0"/>
        <w:jc w:val="both"/>
        <w:rPr>
          <w:rFonts w:ascii="Futura Bk BT" w:eastAsia="DejaVu Sans" w:hAnsi="Futura Bk BT" w:cs="Times New Roman"/>
          <w:sz w:val="22"/>
          <w:szCs w:val="22"/>
          <w:lang w:bidi="hi-IN"/>
        </w:rPr>
      </w:pPr>
    </w:p>
    <w:p w:rsidR="00A70FDC" w:rsidRPr="00BF17FF" w:rsidRDefault="00A70FDC" w:rsidP="00A70FDC">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Los vehículos identificados con este beneficio se presentan a continuación, así como la tarifa especial diferencial sin FOSEVI y a pesos de</w:t>
      </w:r>
      <w:r w:rsidR="008A2980">
        <w:rPr>
          <w:rFonts w:ascii="Futura Bk BT" w:eastAsia="DejaVu Sans" w:hAnsi="Futura Bk BT" w:cs="Times New Roman"/>
          <w:sz w:val="22"/>
          <w:szCs w:val="22"/>
          <w:lang w:bidi="hi-IN"/>
        </w:rPr>
        <w:t>l primero de</w:t>
      </w:r>
      <w:r w:rsidRPr="00BF17FF">
        <w:rPr>
          <w:rFonts w:ascii="Futura Bk BT" w:eastAsia="DejaVu Sans" w:hAnsi="Futura Bk BT" w:cs="Times New Roman"/>
          <w:sz w:val="22"/>
          <w:szCs w:val="22"/>
          <w:lang w:bidi="hi-IN"/>
        </w:rPr>
        <w:t xml:space="preserve"> enero de 2015 y podrán transitar por las estaciones de Ocoa e Iracá con este beneficio:</w:t>
      </w:r>
    </w:p>
    <w:p w:rsidR="00A70FDC" w:rsidRPr="00BF17FF" w:rsidRDefault="00A70FDC" w:rsidP="00A70FDC">
      <w:pPr>
        <w:pStyle w:val="Standard"/>
        <w:autoSpaceDE w:val="0"/>
        <w:jc w:val="both"/>
        <w:rPr>
          <w:rFonts w:ascii="Futura Bk BT" w:eastAsia="DejaVu Sans" w:hAnsi="Futura Bk BT" w:cs="Times New Roman"/>
          <w:sz w:val="22"/>
          <w:szCs w:val="22"/>
          <w:lang w:bidi="hi-IN"/>
        </w:rPr>
      </w:pPr>
    </w:p>
    <w:tbl>
      <w:tblPr>
        <w:tblW w:w="8193" w:type="dxa"/>
        <w:jc w:val="center"/>
        <w:tblCellMar>
          <w:left w:w="10" w:type="dxa"/>
          <w:right w:w="10" w:type="dxa"/>
        </w:tblCellMar>
        <w:tblLook w:val="0000" w:firstRow="0" w:lastRow="0" w:firstColumn="0" w:lastColumn="0" w:noHBand="0" w:noVBand="0"/>
      </w:tblPr>
      <w:tblGrid>
        <w:gridCol w:w="1418"/>
        <w:gridCol w:w="1418"/>
        <w:gridCol w:w="1417"/>
        <w:gridCol w:w="1276"/>
        <w:gridCol w:w="2648"/>
        <w:gridCol w:w="16"/>
      </w:tblGrid>
      <w:tr w:rsidR="00A70FDC" w:rsidRPr="00BF17FF" w:rsidTr="004F7270">
        <w:trPr>
          <w:trHeight w:val="276"/>
          <w:jc w:val="center"/>
        </w:trPr>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w:t>
            </w:r>
          </w:p>
        </w:tc>
        <w:tc>
          <w:tcPr>
            <w:tcW w:w="1418"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Ítem</w:t>
            </w:r>
          </w:p>
        </w:tc>
        <w:tc>
          <w:tcPr>
            <w:tcW w:w="1417" w:type="dxa"/>
            <w:vMerge w:val="restart"/>
            <w:tcBorders>
              <w:top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Placa</w:t>
            </w:r>
          </w:p>
        </w:tc>
        <w:tc>
          <w:tcPr>
            <w:tcW w:w="1276" w:type="dxa"/>
            <w:vMerge w:val="restart"/>
            <w:tcBorders>
              <w:top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Capacidad pasajeros</w:t>
            </w:r>
          </w:p>
        </w:tc>
        <w:tc>
          <w:tcPr>
            <w:tcW w:w="2648" w:type="dxa"/>
            <w:vMerge w:val="restart"/>
            <w:tcBorders>
              <w:top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Tarifa Especial Diferencial *</w:t>
            </w:r>
          </w:p>
        </w:tc>
        <w:tc>
          <w:tcPr>
            <w:tcW w:w="16" w:type="dxa"/>
            <w:shd w:val="clear" w:color="auto" w:fill="auto"/>
            <w:tcMar>
              <w:top w:w="0" w:type="dxa"/>
              <w:left w:w="0" w:type="dxa"/>
              <w:bottom w:w="0" w:type="dxa"/>
              <w:right w:w="0" w:type="dxa"/>
            </w:tcMar>
            <w:vAlign w:val="center"/>
          </w:tcPr>
          <w:p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rsidTr="004F7270">
        <w:trPr>
          <w:trHeight w:val="417"/>
          <w:jc w:val="center"/>
        </w:trPr>
        <w:tc>
          <w:tcPr>
            <w:tcW w:w="141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70FDC" w:rsidRPr="00BF17FF" w:rsidRDefault="00A70FDC" w:rsidP="004F7270">
            <w:pPr>
              <w:rPr>
                <w:rFonts w:ascii="Futura Bk BT" w:eastAsia="DejaVu Sans" w:hAnsi="Futura Bk BT"/>
                <w:kern w:val="3"/>
                <w:sz w:val="22"/>
                <w:szCs w:val="22"/>
                <w:lang w:val="es-ES" w:eastAsia="zh-CN" w:bidi="hi-IN"/>
              </w:rPr>
            </w:pPr>
          </w:p>
        </w:tc>
        <w:tc>
          <w:tcPr>
            <w:tcW w:w="1418"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A70FDC" w:rsidRPr="00BF17FF" w:rsidRDefault="00A70FDC" w:rsidP="004F7270">
            <w:pPr>
              <w:rPr>
                <w:rFonts w:ascii="Futura Bk BT" w:eastAsia="DejaVu Sans" w:hAnsi="Futura Bk BT"/>
                <w:kern w:val="3"/>
                <w:sz w:val="22"/>
                <w:szCs w:val="22"/>
                <w:lang w:val="es-ES" w:eastAsia="zh-CN" w:bidi="hi-IN"/>
              </w:rPr>
            </w:pPr>
          </w:p>
        </w:tc>
        <w:tc>
          <w:tcPr>
            <w:tcW w:w="1417" w:type="dxa"/>
            <w:vMerge/>
            <w:tcBorders>
              <w:top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A70FDC" w:rsidRPr="00BF17FF" w:rsidRDefault="00A70FDC" w:rsidP="004F7270">
            <w:pPr>
              <w:rPr>
                <w:rFonts w:ascii="Futura Bk BT" w:eastAsia="DejaVu Sans" w:hAnsi="Futura Bk BT"/>
                <w:kern w:val="3"/>
                <w:sz w:val="22"/>
                <w:szCs w:val="22"/>
                <w:lang w:val="es-ES" w:eastAsia="zh-CN" w:bidi="hi-IN"/>
              </w:rPr>
            </w:pPr>
          </w:p>
        </w:tc>
        <w:tc>
          <w:tcPr>
            <w:tcW w:w="1276" w:type="dxa"/>
            <w:vMerge/>
            <w:tcBorders>
              <w:top w:val="single" w:sz="8" w:space="0" w:color="000000"/>
              <w:bottom w:val="single" w:sz="8" w:space="0" w:color="000000"/>
              <w:right w:val="single" w:sz="8" w:space="0" w:color="000000"/>
            </w:tcBorders>
            <w:shd w:val="clear" w:color="auto" w:fill="FFFFFF"/>
            <w:tcMar>
              <w:top w:w="0" w:type="dxa"/>
              <w:left w:w="0" w:type="dxa"/>
              <w:bottom w:w="0" w:type="dxa"/>
              <w:right w:w="0" w:type="dxa"/>
            </w:tcMar>
          </w:tcPr>
          <w:p w:rsidR="00A70FDC" w:rsidRPr="00BF17FF" w:rsidRDefault="00A70FDC" w:rsidP="004F7270">
            <w:pPr>
              <w:rPr>
                <w:rFonts w:ascii="Futura Bk BT" w:eastAsia="DejaVu Sans" w:hAnsi="Futura Bk BT"/>
                <w:kern w:val="3"/>
                <w:sz w:val="22"/>
                <w:szCs w:val="22"/>
                <w:lang w:val="es-ES" w:eastAsia="zh-CN" w:bidi="hi-IN"/>
              </w:rPr>
            </w:pPr>
          </w:p>
        </w:tc>
        <w:tc>
          <w:tcPr>
            <w:tcW w:w="2648" w:type="dxa"/>
            <w:vMerge/>
            <w:tcBorders>
              <w:top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A70FDC" w:rsidRPr="00BF17FF" w:rsidRDefault="00A70FDC" w:rsidP="004F7270">
            <w:pPr>
              <w:rPr>
                <w:rFonts w:ascii="Futura Bk BT" w:eastAsia="DejaVu Sans" w:hAnsi="Futura Bk BT"/>
                <w:kern w:val="3"/>
                <w:sz w:val="22"/>
                <w:szCs w:val="22"/>
                <w:lang w:val="es-ES" w:eastAsia="zh-CN" w:bidi="hi-IN"/>
              </w:rPr>
            </w:pPr>
          </w:p>
        </w:tc>
        <w:tc>
          <w:tcPr>
            <w:tcW w:w="16" w:type="dxa"/>
            <w:shd w:val="clear" w:color="auto" w:fill="auto"/>
            <w:tcMar>
              <w:top w:w="0" w:type="dxa"/>
              <w:left w:w="0" w:type="dxa"/>
              <w:bottom w:w="0" w:type="dxa"/>
              <w:right w:w="0" w:type="dxa"/>
            </w:tcMar>
            <w:vAlign w:val="center"/>
          </w:tcPr>
          <w:p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TFV-870</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2</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TFV-687</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8</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TFK-286</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8</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4</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SVB-203</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THK-426</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6</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UTY-699</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7</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SJQ-632</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8</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cente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SJQ-620</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9</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UTT-550</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12</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10</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SJQ-625</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11</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UTY-569</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12</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UFU-828</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13</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SMB-166</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SVB-102</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15</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UTY-038</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16</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UTT-316</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10</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17</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SVB-255</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18</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TFV-943</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rsidR="00A70FDC" w:rsidRPr="00BF17FF" w:rsidRDefault="00A70FDC" w:rsidP="004F7270">
            <w:pPr>
              <w:rPr>
                <w:rFonts w:ascii="Futura Bk BT" w:eastAsia="DejaVu Sans" w:hAnsi="Futura Bk BT"/>
                <w:kern w:val="3"/>
                <w:sz w:val="22"/>
                <w:szCs w:val="22"/>
                <w:lang w:val="es-ES" w:eastAsia="zh-CN" w:bidi="hi-IN"/>
              </w:rPr>
            </w:pPr>
          </w:p>
        </w:tc>
      </w:tr>
      <w:tr w:rsidR="00A70FDC" w:rsidRPr="00BF17FF" w:rsidTr="004F7270">
        <w:trPr>
          <w:trHeight w:val="270"/>
          <w:jc w:val="center"/>
        </w:trPr>
        <w:tc>
          <w:tcPr>
            <w:tcW w:w="1418"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IEE</w:t>
            </w:r>
          </w:p>
        </w:tc>
        <w:tc>
          <w:tcPr>
            <w:tcW w:w="1418"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19</w:t>
            </w:r>
          </w:p>
        </w:tc>
        <w:tc>
          <w:tcPr>
            <w:tcW w:w="141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UTY-506</w:t>
            </w:r>
          </w:p>
        </w:tc>
        <w:tc>
          <w:tcPr>
            <w:tcW w:w="1276" w:type="dxa"/>
            <w:tcBorders>
              <w:bottom w:val="single" w:sz="8" w:space="0" w:color="000000"/>
              <w:right w:val="single" w:sz="8" w:space="0" w:color="000000"/>
            </w:tcBorders>
            <w:shd w:val="clear" w:color="auto" w:fill="FFFFFF"/>
            <w:tcMar>
              <w:top w:w="0" w:type="dxa"/>
              <w:left w:w="0" w:type="dxa"/>
              <w:bottom w:w="0" w:type="dxa"/>
              <w:right w:w="0" w:type="dxa"/>
            </w:tcMar>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w:t>
            </w:r>
          </w:p>
        </w:tc>
        <w:tc>
          <w:tcPr>
            <w:tcW w:w="264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A70FDC" w:rsidRPr="00BF17FF" w:rsidRDefault="00A70FDC" w:rsidP="004F7270">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5.900</w:t>
            </w:r>
          </w:p>
        </w:tc>
        <w:tc>
          <w:tcPr>
            <w:tcW w:w="16" w:type="dxa"/>
            <w:shd w:val="clear" w:color="auto" w:fill="auto"/>
            <w:tcMar>
              <w:top w:w="0" w:type="dxa"/>
              <w:left w:w="0" w:type="dxa"/>
              <w:bottom w:w="0" w:type="dxa"/>
              <w:right w:w="0" w:type="dxa"/>
            </w:tcMar>
            <w:vAlign w:val="center"/>
          </w:tcPr>
          <w:p w:rsidR="00A70FDC" w:rsidRPr="00BF17FF" w:rsidRDefault="00A70FDC" w:rsidP="004F7270">
            <w:pPr>
              <w:rPr>
                <w:rFonts w:ascii="Futura Bk BT" w:eastAsia="DejaVu Sans" w:hAnsi="Futura Bk BT"/>
                <w:kern w:val="3"/>
                <w:sz w:val="22"/>
                <w:szCs w:val="22"/>
                <w:lang w:val="es-ES" w:eastAsia="zh-CN" w:bidi="hi-IN"/>
              </w:rPr>
            </w:pPr>
          </w:p>
        </w:tc>
      </w:tr>
    </w:tbl>
    <w:p w:rsidR="00A70FDC" w:rsidRDefault="00A70FDC" w:rsidP="00A70FDC">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*No incluye Fosevi – Tarifas expresadas en pesos del 1° de enero de 2015</w:t>
      </w:r>
    </w:p>
    <w:p w:rsidR="006A7327" w:rsidRDefault="006A7327" w:rsidP="00A70FDC">
      <w:pPr>
        <w:pStyle w:val="Standard"/>
        <w:autoSpaceDE w:val="0"/>
        <w:jc w:val="both"/>
        <w:rPr>
          <w:rFonts w:ascii="Futura Bk BT" w:eastAsia="DejaVu Sans" w:hAnsi="Futura Bk BT" w:cs="Times New Roman"/>
          <w:sz w:val="22"/>
          <w:szCs w:val="22"/>
          <w:lang w:bidi="hi-IN"/>
        </w:rPr>
      </w:pPr>
    </w:p>
    <w:tbl>
      <w:tblPr>
        <w:tblW w:w="7599" w:type="dxa"/>
        <w:jc w:val="center"/>
        <w:tblCellMar>
          <w:left w:w="10" w:type="dxa"/>
          <w:right w:w="10" w:type="dxa"/>
        </w:tblCellMar>
        <w:tblLook w:val="0000" w:firstRow="0" w:lastRow="0" w:firstColumn="0" w:lastColumn="0" w:noHBand="0" w:noVBand="0"/>
      </w:tblPr>
      <w:tblGrid>
        <w:gridCol w:w="1022"/>
        <w:gridCol w:w="1022"/>
        <w:gridCol w:w="1697"/>
        <w:gridCol w:w="1250"/>
        <w:gridCol w:w="2588"/>
        <w:gridCol w:w="20"/>
      </w:tblGrid>
      <w:tr w:rsidR="006A7327" w:rsidTr="004361FE">
        <w:trPr>
          <w:trHeight w:val="276"/>
          <w:jc w:val="center"/>
        </w:trPr>
        <w:tc>
          <w:tcPr>
            <w:tcW w:w="102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6A7327" w:rsidRDefault="006A7327" w:rsidP="004361FE">
            <w:pPr>
              <w:spacing w:after="200" w:line="276" w:lineRule="auto"/>
              <w:jc w:val="center"/>
              <w:rPr>
                <w:rFonts w:ascii="Futura Bk BT" w:eastAsia="Calibri" w:hAnsi="Futura Bk BT"/>
                <w:b/>
                <w:bCs/>
                <w:sz w:val="20"/>
                <w:lang w:val="es-CO" w:eastAsia="es-CO"/>
              </w:rPr>
            </w:pPr>
            <w:r>
              <w:rPr>
                <w:rFonts w:ascii="Futura Bk BT" w:eastAsia="Calibri" w:hAnsi="Futura Bk BT"/>
                <w:b/>
                <w:bCs/>
                <w:sz w:val="20"/>
                <w:lang w:val="es-CO" w:eastAsia="es-CO"/>
              </w:rPr>
              <w:t xml:space="preserve">Categoría </w:t>
            </w:r>
          </w:p>
        </w:tc>
        <w:tc>
          <w:tcPr>
            <w:tcW w:w="1022" w:type="dxa"/>
            <w:vMerge w:val="restart"/>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6A7327" w:rsidRDefault="006A7327" w:rsidP="004361FE">
            <w:pPr>
              <w:spacing w:after="200" w:line="276" w:lineRule="auto"/>
              <w:jc w:val="center"/>
              <w:rPr>
                <w:rFonts w:ascii="Futura Bk BT" w:eastAsia="Calibri" w:hAnsi="Futura Bk BT"/>
                <w:b/>
                <w:bCs/>
                <w:sz w:val="20"/>
                <w:lang w:val="es-CO" w:eastAsia="es-CO"/>
              </w:rPr>
            </w:pPr>
            <w:r>
              <w:rPr>
                <w:rFonts w:ascii="Futura Bk BT" w:eastAsia="Calibri" w:hAnsi="Futura Bk BT"/>
                <w:b/>
                <w:bCs/>
                <w:sz w:val="20"/>
                <w:lang w:val="es-CO" w:eastAsia="es-CO"/>
              </w:rPr>
              <w:t>Ítem</w:t>
            </w:r>
          </w:p>
        </w:tc>
        <w:tc>
          <w:tcPr>
            <w:tcW w:w="1697" w:type="dxa"/>
            <w:vMerge w:val="restart"/>
            <w:tcBorders>
              <w:top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6A7327" w:rsidRDefault="006A7327" w:rsidP="004361FE">
            <w:pPr>
              <w:spacing w:after="200" w:line="276" w:lineRule="auto"/>
              <w:jc w:val="center"/>
              <w:rPr>
                <w:rFonts w:ascii="Futura Bk BT" w:eastAsia="Calibri" w:hAnsi="Futura Bk BT"/>
                <w:b/>
                <w:bCs/>
                <w:sz w:val="20"/>
                <w:lang w:val="es-CO" w:eastAsia="es-CO"/>
              </w:rPr>
            </w:pPr>
            <w:r>
              <w:rPr>
                <w:rFonts w:ascii="Futura Bk BT" w:eastAsia="Calibri" w:hAnsi="Futura Bk BT"/>
                <w:b/>
                <w:bCs/>
                <w:sz w:val="20"/>
                <w:lang w:val="es-CO" w:eastAsia="es-CO"/>
              </w:rPr>
              <w:t>Placa</w:t>
            </w:r>
          </w:p>
        </w:tc>
        <w:tc>
          <w:tcPr>
            <w:tcW w:w="1250" w:type="dxa"/>
            <w:vMerge w:val="restart"/>
            <w:tcBorders>
              <w:top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A7327" w:rsidRDefault="006A7327" w:rsidP="004361FE">
            <w:pPr>
              <w:spacing w:after="200" w:line="276" w:lineRule="auto"/>
              <w:jc w:val="center"/>
              <w:rPr>
                <w:rFonts w:ascii="Futura Bk BT" w:eastAsia="Calibri" w:hAnsi="Futura Bk BT"/>
                <w:b/>
                <w:bCs/>
                <w:sz w:val="20"/>
                <w:lang w:val="es-CO" w:eastAsia="es-CO"/>
              </w:rPr>
            </w:pPr>
            <w:r>
              <w:rPr>
                <w:rFonts w:ascii="Futura Bk BT" w:eastAsia="Calibri" w:hAnsi="Futura Bk BT"/>
                <w:b/>
                <w:bCs/>
                <w:sz w:val="20"/>
                <w:lang w:val="es-CO" w:eastAsia="es-CO"/>
              </w:rPr>
              <w:t>Capacidad pasajeros</w:t>
            </w:r>
          </w:p>
        </w:tc>
        <w:tc>
          <w:tcPr>
            <w:tcW w:w="2588" w:type="dxa"/>
            <w:vMerge w:val="restart"/>
            <w:tcBorders>
              <w:top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6A7327" w:rsidRDefault="006A7327" w:rsidP="004361FE">
            <w:pPr>
              <w:spacing w:after="200" w:line="276" w:lineRule="auto"/>
              <w:jc w:val="center"/>
            </w:pPr>
            <w:r>
              <w:rPr>
                <w:rFonts w:ascii="Futura Bk BT" w:eastAsia="Calibri" w:hAnsi="Futura Bk BT"/>
                <w:b/>
                <w:bCs/>
                <w:sz w:val="20"/>
                <w:lang w:val="es-CO" w:eastAsia="es-CO"/>
              </w:rPr>
              <w:t>Tarifa Especial Diferencial  *</w:t>
            </w:r>
          </w:p>
        </w:tc>
        <w:tc>
          <w:tcPr>
            <w:tcW w:w="20" w:type="dxa"/>
            <w:shd w:val="clear" w:color="auto" w:fill="auto"/>
            <w:tcMar>
              <w:top w:w="0" w:type="dxa"/>
              <w:left w:w="0" w:type="dxa"/>
              <w:bottom w:w="0" w:type="dxa"/>
              <w:right w:w="0" w:type="dxa"/>
            </w:tcMar>
            <w:vAlign w:val="center"/>
          </w:tcPr>
          <w:p w:rsidR="006A7327" w:rsidRDefault="006A7327" w:rsidP="004361FE">
            <w:pPr>
              <w:spacing w:after="200" w:line="276" w:lineRule="auto"/>
              <w:rPr>
                <w:rFonts w:ascii="Futura Bk BT" w:eastAsia="Calibri" w:hAnsi="Futura Bk BT"/>
                <w:b/>
                <w:bCs/>
                <w:sz w:val="20"/>
                <w:lang w:val="es-CO" w:eastAsia="es-CO"/>
              </w:rPr>
            </w:pPr>
          </w:p>
        </w:tc>
      </w:tr>
      <w:tr w:rsidR="006A7327" w:rsidTr="004361FE">
        <w:trPr>
          <w:trHeight w:val="306"/>
          <w:jc w:val="center"/>
        </w:trPr>
        <w:tc>
          <w:tcPr>
            <w:tcW w:w="102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6A7327" w:rsidRDefault="006A7327" w:rsidP="004361FE">
            <w:pPr>
              <w:spacing w:after="200" w:line="276" w:lineRule="auto"/>
              <w:rPr>
                <w:rFonts w:ascii="Futura Bk BT" w:eastAsia="Calibri" w:hAnsi="Futura Bk BT"/>
                <w:b/>
                <w:bCs/>
                <w:sz w:val="20"/>
                <w:lang w:val="es-CO" w:eastAsia="es-CO"/>
              </w:rPr>
            </w:pPr>
          </w:p>
        </w:tc>
        <w:tc>
          <w:tcPr>
            <w:tcW w:w="1022" w:type="dxa"/>
            <w:vMerge/>
            <w:tcBorders>
              <w:top w:val="single" w:sz="8" w:space="0" w:color="000000"/>
              <w:left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6A7327" w:rsidRDefault="006A7327" w:rsidP="004361FE">
            <w:pPr>
              <w:spacing w:after="200" w:line="276" w:lineRule="auto"/>
              <w:rPr>
                <w:rFonts w:ascii="Futura Bk BT" w:eastAsia="Calibri" w:hAnsi="Futura Bk BT"/>
                <w:b/>
                <w:bCs/>
                <w:sz w:val="20"/>
                <w:lang w:val="es-CO" w:eastAsia="es-CO"/>
              </w:rPr>
            </w:pPr>
          </w:p>
        </w:tc>
        <w:tc>
          <w:tcPr>
            <w:tcW w:w="1697" w:type="dxa"/>
            <w:vMerge/>
            <w:tcBorders>
              <w:top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6A7327" w:rsidRDefault="006A7327" w:rsidP="004361FE">
            <w:pPr>
              <w:spacing w:after="200" w:line="276" w:lineRule="auto"/>
              <w:rPr>
                <w:rFonts w:ascii="Futura Bk BT" w:eastAsia="Calibri" w:hAnsi="Futura Bk BT"/>
                <w:b/>
                <w:bCs/>
                <w:sz w:val="20"/>
                <w:lang w:val="es-CO" w:eastAsia="es-CO"/>
              </w:rPr>
            </w:pPr>
          </w:p>
        </w:tc>
        <w:tc>
          <w:tcPr>
            <w:tcW w:w="1250" w:type="dxa"/>
            <w:vMerge/>
            <w:tcBorders>
              <w:top w:val="single" w:sz="8" w:space="0" w:color="000000"/>
              <w:bottom w:val="single" w:sz="8" w:space="0" w:color="000000"/>
              <w:right w:val="single" w:sz="8" w:space="0" w:color="000000"/>
            </w:tcBorders>
            <w:shd w:val="clear" w:color="auto" w:fill="FFFFFF"/>
            <w:tcMar>
              <w:top w:w="0" w:type="dxa"/>
              <w:left w:w="0" w:type="dxa"/>
              <w:bottom w:w="0" w:type="dxa"/>
              <w:right w:w="0" w:type="dxa"/>
            </w:tcMar>
            <w:vAlign w:val="center"/>
          </w:tcPr>
          <w:p w:rsidR="006A7327" w:rsidRDefault="006A7327" w:rsidP="004361FE">
            <w:pPr>
              <w:spacing w:after="200" w:line="276" w:lineRule="auto"/>
              <w:rPr>
                <w:rFonts w:ascii="Futura Bk BT" w:eastAsia="Calibri" w:hAnsi="Futura Bk BT"/>
                <w:b/>
                <w:bCs/>
                <w:sz w:val="20"/>
                <w:lang w:val="es-CO" w:eastAsia="es-CO"/>
              </w:rPr>
            </w:pPr>
          </w:p>
        </w:tc>
        <w:tc>
          <w:tcPr>
            <w:tcW w:w="2588" w:type="dxa"/>
            <w:vMerge/>
            <w:tcBorders>
              <w:top w:val="single" w:sz="8" w:space="0" w:color="000000"/>
              <w:bottom w:val="single" w:sz="8" w:space="0" w:color="000000"/>
              <w:right w:val="single" w:sz="8" w:space="0" w:color="000000"/>
            </w:tcBorders>
            <w:shd w:val="clear" w:color="auto" w:fill="FFFFFF"/>
            <w:tcMar>
              <w:top w:w="0" w:type="dxa"/>
              <w:left w:w="70" w:type="dxa"/>
              <w:bottom w:w="0" w:type="dxa"/>
              <w:right w:w="70" w:type="dxa"/>
            </w:tcMar>
            <w:vAlign w:val="center"/>
          </w:tcPr>
          <w:p w:rsidR="006A7327" w:rsidRDefault="006A7327" w:rsidP="004361FE">
            <w:pPr>
              <w:spacing w:after="200" w:line="276" w:lineRule="auto"/>
              <w:rPr>
                <w:rFonts w:ascii="Futura Bk BT" w:eastAsia="Calibri" w:hAnsi="Futura Bk BT"/>
                <w:b/>
                <w:bCs/>
                <w:sz w:val="20"/>
                <w:lang w:val="es-CO" w:eastAsia="es-CO"/>
              </w:rPr>
            </w:pPr>
          </w:p>
        </w:tc>
        <w:tc>
          <w:tcPr>
            <w:tcW w:w="20" w:type="dxa"/>
            <w:shd w:val="clear" w:color="auto" w:fill="auto"/>
            <w:tcMar>
              <w:top w:w="0" w:type="dxa"/>
              <w:left w:w="0" w:type="dxa"/>
              <w:bottom w:w="0" w:type="dxa"/>
              <w:right w:w="0" w:type="dxa"/>
            </w:tcMar>
            <w:vAlign w:val="center"/>
          </w:tcPr>
          <w:p w:rsidR="006A7327" w:rsidRDefault="006A7327" w:rsidP="004361FE">
            <w:pPr>
              <w:spacing w:after="200" w:line="276" w:lineRule="auto"/>
              <w:rPr>
                <w:rFonts w:ascii="Futura Bk BT" w:hAnsi="Futura Bk BT" w:hint="eastAsia"/>
                <w:sz w:val="20"/>
                <w:lang w:val="es-CO" w:eastAsia="es-CO"/>
              </w:rPr>
            </w:pPr>
          </w:p>
        </w:tc>
      </w:tr>
      <w:tr w:rsidR="006A7327" w:rsidTr="00365D20">
        <w:trPr>
          <w:trHeight w:val="266"/>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SON-641</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rsidR="006A7327" w:rsidRDefault="006A7327" w:rsidP="004361FE">
            <w:pPr>
              <w:spacing w:after="200" w:line="276" w:lineRule="auto"/>
              <w:rPr>
                <w:rFonts w:ascii="Futura Bk BT" w:eastAsia="Calibri" w:hAnsi="Futura Bk BT"/>
                <w:sz w:val="20"/>
                <w:lang w:val="es-CO" w:eastAsia="es-CO"/>
              </w:rPr>
            </w:pPr>
          </w:p>
        </w:tc>
      </w:tr>
      <w:tr w:rsidR="006A7327" w:rsidTr="004361FE">
        <w:trPr>
          <w:trHeight w:val="300"/>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2</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TFW-327</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rsidR="006A7327" w:rsidRDefault="006A7327" w:rsidP="004361FE">
            <w:pPr>
              <w:spacing w:after="200" w:line="276" w:lineRule="auto"/>
              <w:rPr>
                <w:rFonts w:ascii="Futura Bk BT" w:eastAsia="Calibri" w:hAnsi="Futura Bk BT"/>
                <w:sz w:val="20"/>
                <w:lang w:val="es-CO" w:eastAsia="es-CO"/>
              </w:rPr>
            </w:pPr>
          </w:p>
        </w:tc>
      </w:tr>
      <w:tr w:rsidR="006A732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3</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TFV-772</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rsidR="006A7327" w:rsidRDefault="006A7327" w:rsidP="004361FE">
            <w:pPr>
              <w:spacing w:after="200" w:line="276" w:lineRule="auto"/>
              <w:rPr>
                <w:rFonts w:ascii="Futura Bk BT" w:eastAsia="Calibri" w:hAnsi="Futura Bk BT"/>
                <w:sz w:val="20"/>
                <w:lang w:val="es-CO" w:eastAsia="es-CO"/>
              </w:rPr>
            </w:pPr>
          </w:p>
        </w:tc>
      </w:tr>
      <w:tr w:rsidR="006A732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4</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TFV-847</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rsidR="006A7327" w:rsidRDefault="006A7327" w:rsidP="004361FE">
            <w:pPr>
              <w:spacing w:after="200" w:line="276" w:lineRule="auto"/>
              <w:rPr>
                <w:rFonts w:ascii="Futura Bk BT" w:eastAsia="Calibri" w:hAnsi="Futura Bk BT"/>
                <w:sz w:val="20"/>
                <w:lang w:val="es-CO" w:eastAsia="es-CO"/>
              </w:rPr>
            </w:pPr>
          </w:p>
        </w:tc>
      </w:tr>
      <w:tr w:rsidR="006A732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5</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UZN-072</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rsidR="006A7327" w:rsidRDefault="006A7327" w:rsidP="004361FE">
            <w:pPr>
              <w:spacing w:after="200" w:line="276" w:lineRule="auto"/>
              <w:rPr>
                <w:rFonts w:ascii="Futura Bk BT" w:eastAsia="Calibri" w:hAnsi="Futura Bk BT"/>
                <w:sz w:val="20"/>
                <w:lang w:val="es-CO" w:eastAsia="es-CO"/>
              </w:rPr>
            </w:pPr>
          </w:p>
        </w:tc>
      </w:tr>
      <w:tr w:rsidR="006A732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6</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THK-399</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rsidR="006A7327" w:rsidRDefault="006A7327" w:rsidP="004361FE">
            <w:pPr>
              <w:spacing w:after="200" w:line="276" w:lineRule="auto"/>
              <w:rPr>
                <w:rFonts w:ascii="Futura Bk BT" w:eastAsia="Calibri" w:hAnsi="Futura Bk BT"/>
                <w:sz w:val="20"/>
                <w:lang w:val="es-CO" w:eastAsia="es-CO"/>
              </w:rPr>
            </w:pPr>
          </w:p>
        </w:tc>
      </w:tr>
      <w:tr w:rsidR="006A732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7</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SXC-952</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rsidR="006A7327" w:rsidRDefault="006A7327" w:rsidP="004361FE">
            <w:pPr>
              <w:spacing w:after="200" w:line="276" w:lineRule="auto"/>
              <w:rPr>
                <w:rFonts w:ascii="Futura Bk BT" w:eastAsia="Calibri" w:hAnsi="Futura Bk BT"/>
                <w:sz w:val="20"/>
                <w:lang w:val="es-CO" w:eastAsia="es-CO"/>
              </w:rPr>
            </w:pPr>
          </w:p>
        </w:tc>
      </w:tr>
      <w:tr w:rsidR="006A732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8</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TFV-779</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rsidR="006A7327" w:rsidRDefault="006A7327" w:rsidP="004361FE">
            <w:pPr>
              <w:spacing w:after="200" w:line="276" w:lineRule="auto"/>
              <w:rPr>
                <w:rFonts w:ascii="Futura Bk BT" w:eastAsia="Calibri" w:hAnsi="Futura Bk BT"/>
                <w:sz w:val="20"/>
                <w:lang w:val="es-CO" w:eastAsia="es-CO"/>
              </w:rPr>
            </w:pPr>
          </w:p>
        </w:tc>
      </w:tr>
      <w:tr w:rsidR="006A732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9</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SOD-042</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rsidR="006A7327" w:rsidRDefault="006A7327" w:rsidP="004361FE">
            <w:pPr>
              <w:spacing w:after="200" w:line="276" w:lineRule="auto"/>
              <w:rPr>
                <w:rFonts w:ascii="Futura Bk BT" w:eastAsia="Calibri" w:hAnsi="Futura Bk BT"/>
                <w:sz w:val="20"/>
                <w:lang w:val="es-CO" w:eastAsia="es-CO"/>
              </w:rPr>
            </w:pPr>
          </w:p>
        </w:tc>
      </w:tr>
      <w:tr w:rsidR="006A732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10</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SON-432</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rsidR="006A7327" w:rsidRDefault="006A7327" w:rsidP="004361FE">
            <w:pPr>
              <w:spacing w:after="200" w:line="276" w:lineRule="auto"/>
              <w:rPr>
                <w:rFonts w:ascii="Futura Bk BT" w:eastAsia="Calibri" w:hAnsi="Futura Bk BT"/>
                <w:sz w:val="20"/>
                <w:lang w:val="es-CO" w:eastAsia="es-CO"/>
              </w:rPr>
            </w:pPr>
          </w:p>
        </w:tc>
      </w:tr>
      <w:tr w:rsidR="006A732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11</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THK-704</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15</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rsidR="006A7327" w:rsidRDefault="006A7327" w:rsidP="004361FE">
            <w:pPr>
              <w:spacing w:after="200" w:line="276" w:lineRule="auto"/>
              <w:rPr>
                <w:rFonts w:ascii="Futura Bk BT" w:eastAsia="Calibri" w:hAnsi="Futura Bk BT"/>
                <w:sz w:val="20"/>
                <w:lang w:val="es-CO" w:eastAsia="es-CO"/>
              </w:rPr>
            </w:pPr>
          </w:p>
        </w:tc>
      </w:tr>
      <w:tr w:rsidR="006A732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12</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TFV-848</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rsidR="006A7327" w:rsidRDefault="006A7327" w:rsidP="004361FE">
            <w:pPr>
              <w:spacing w:after="200" w:line="276" w:lineRule="auto"/>
              <w:rPr>
                <w:rFonts w:ascii="Futura Bk BT" w:eastAsia="Calibri" w:hAnsi="Futura Bk BT"/>
                <w:sz w:val="20"/>
                <w:lang w:val="es-CO" w:eastAsia="es-CO"/>
              </w:rPr>
            </w:pPr>
          </w:p>
        </w:tc>
      </w:tr>
      <w:tr w:rsidR="006A732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13</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center"/>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UTX-494</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rsidR="006A7327" w:rsidRDefault="006A7327" w:rsidP="004361FE">
            <w:pPr>
              <w:spacing w:after="200" w:line="276" w:lineRule="auto"/>
              <w:rPr>
                <w:rFonts w:ascii="Futura Bk BT" w:eastAsia="Calibri" w:hAnsi="Futura Bk BT"/>
                <w:sz w:val="20"/>
                <w:lang w:val="es-CO" w:eastAsia="es-CO"/>
              </w:rPr>
            </w:pPr>
          </w:p>
        </w:tc>
      </w:tr>
      <w:tr w:rsidR="006A732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14</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UTX-728</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rsidR="006A7327" w:rsidRDefault="006A7327" w:rsidP="004361FE">
            <w:pPr>
              <w:spacing w:after="200" w:line="276" w:lineRule="auto"/>
              <w:rPr>
                <w:rFonts w:ascii="Futura Bk BT" w:eastAsia="Calibri" w:hAnsi="Futura Bk BT"/>
                <w:sz w:val="20"/>
                <w:lang w:val="es-CO" w:eastAsia="es-CO"/>
              </w:rPr>
            </w:pPr>
          </w:p>
        </w:tc>
      </w:tr>
      <w:tr w:rsidR="006A732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15</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UTX-550</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rsidR="006A7327" w:rsidRDefault="006A7327" w:rsidP="004361FE">
            <w:pPr>
              <w:spacing w:after="200" w:line="276" w:lineRule="auto"/>
              <w:rPr>
                <w:rFonts w:ascii="Futura Bk BT" w:eastAsia="Calibri" w:hAnsi="Futura Bk BT"/>
                <w:sz w:val="20"/>
                <w:lang w:val="es-CO" w:eastAsia="es-CO"/>
              </w:rPr>
            </w:pPr>
          </w:p>
        </w:tc>
      </w:tr>
      <w:tr w:rsidR="006A732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16</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UTZ-020</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rsidR="006A7327" w:rsidRDefault="006A7327" w:rsidP="004361FE">
            <w:pPr>
              <w:spacing w:after="200" w:line="276" w:lineRule="auto"/>
              <w:rPr>
                <w:rFonts w:ascii="Futura Bk BT" w:eastAsia="Calibri" w:hAnsi="Futura Bk BT"/>
                <w:sz w:val="20"/>
                <w:lang w:val="es-CO" w:eastAsia="es-CO"/>
              </w:rPr>
            </w:pPr>
          </w:p>
        </w:tc>
      </w:tr>
      <w:tr w:rsidR="006A732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17</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UTX-446</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rsidR="006A7327" w:rsidRDefault="006A7327" w:rsidP="004361FE">
            <w:pPr>
              <w:spacing w:after="200" w:line="276" w:lineRule="auto"/>
              <w:rPr>
                <w:rFonts w:ascii="Futura Bk BT" w:eastAsia="Calibri" w:hAnsi="Futura Bk BT"/>
                <w:sz w:val="20"/>
                <w:lang w:val="es-CO" w:eastAsia="es-CO"/>
              </w:rPr>
            </w:pPr>
          </w:p>
        </w:tc>
      </w:tr>
      <w:tr w:rsidR="006A7327" w:rsidTr="004361FE">
        <w:trPr>
          <w:trHeight w:val="345"/>
          <w:jc w:val="center"/>
        </w:trPr>
        <w:tc>
          <w:tcPr>
            <w:tcW w:w="1022" w:type="dxa"/>
            <w:tcBorders>
              <w:left w:val="single" w:sz="8" w:space="0" w:color="000000"/>
              <w:bottom w:val="single" w:sz="8" w:space="0" w:color="000000"/>
              <w:right w:val="single" w:sz="8" w:space="0" w:color="000000"/>
            </w:tcBorders>
            <w:shd w:val="clear" w:color="auto" w:fill="FFFFFF"/>
            <w:tcMar>
              <w:top w:w="0" w:type="dxa"/>
              <w:left w:w="10" w:type="dxa"/>
              <w:bottom w:w="0" w:type="dxa"/>
              <w:right w:w="10" w:type="dxa"/>
            </w:tcMar>
          </w:tcPr>
          <w:p w:rsidR="006A7327" w:rsidRDefault="006A7327" w:rsidP="004361FE">
            <w:pPr>
              <w:spacing w:after="200" w:line="276" w:lineRule="auto"/>
              <w:jc w:val="center"/>
            </w:pPr>
            <w:r>
              <w:rPr>
                <w:rFonts w:ascii="Futura Bk BT" w:eastAsia="Calibri" w:hAnsi="Futura Bk BT"/>
                <w:sz w:val="20"/>
                <w:lang w:val="es-CO" w:eastAsia="es-CO"/>
              </w:rPr>
              <w:t>IIE</w:t>
            </w:r>
          </w:p>
        </w:tc>
        <w:tc>
          <w:tcPr>
            <w:tcW w:w="1022" w:type="dxa"/>
            <w:tcBorders>
              <w:left w:val="single" w:sz="8" w:space="0" w:color="000000"/>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18</w:t>
            </w:r>
          </w:p>
        </w:tc>
        <w:tc>
          <w:tcPr>
            <w:tcW w:w="1697" w:type="dxa"/>
            <w:tcBorders>
              <w:bottom w:val="single" w:sz="8" w:space="0" w:color="000000"/>
              <w:right w:val="single" w:sz="8" w:space="0" w:color="000000"/>
            </w:tcBorders>
            <w:shd w:val="clear" w:color="auto" w:fill="FFFFFF"/>
            <w:noWrap/>
            <w:tcMar>
              <w:top w:w="0" w:type="dxa"/>
              <w:left w:w="70" w:type="dxa"/>
              <w:bottom w:w="0" w:type="dxa"/>
              <w:right w:w="70" w:type="dxa"/>
            </w:tcMar>
            <w:vAlign w:val="bottom"/>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SON-434</w:t>
            </w:r>
          </w:p>
        </w:tc>
        <w:tc>
          <w:tcPr>
            <w:tcW w:w="1250" w:type="dxa"/>
            <w:tcBorders>
              <w:bottom w:val="single" w:sz="8" w:space="0" w:color="000000"/>
              <w:right w:val="single" w:sz="8" w:space="0" w:color="000000"/>
            </w:tcBorders>
            <w:shd w:val="clear" w:color="auto" w:fill="FFFFFF"/>
            <w:tcMar>
              <w:top w:w="0" w:type="dxa"/>
              <w:left w:w="0" w:type="dxa"/>
              <w:bottom w:w="0" w:type="dxa"/>
              <w:right w:w="0" w:type="dxa"/>
            </w:tcMar>
          </w:tcPr>
          <w:p w:rsidR="006A7327" w:rsidRDefault="006A7327" w:rsidP="004361FE">
            <w:pPr>
              <w:spacing w:after="200" w:line="276" w:lineRule="auto"/>
              <w:jc w:val="center"/>
              <w:rPr>
                <w:rFonts w:ascii="Futura Bk BT" w:eastAsia="Calibri" w:hAnsi="Futura Bk BT"/>
                <w:sz w:val="20"/>
                <w:lang w:val="es-CO" w:eastAsia="es-CO"/>
              </w:rPr>
            </w:pPr>
            <w:r>
              <w:rPr>
                <w:rFonts w:ascii="Futura Bk BT" w:eastAsia="Calibri" w:hAnsi="Futura Bk BT"/>
                <w:sz w:val="20"/>
                <w:lang w:val="es-CO" w:eastAsia="es-CO"/>
              </w:rPr>
              <w:t>19</w:t>
            </w:r>
          </w:p>
        </w:tc>
        <w:tc>
          <w:tcPr>
            <w:tcW w:w="2588" w:type="dxa"/>
            <w:tcBorders>
              <w:bottom w:val="single" w:sz="8" w:space="0" w:color="000000"/>
              <w:right w:val="single" w:sz="8" w:space="0" w:color="000000"/>
            </w:tcBorders>
            <w:shd w:val="clear" w:color="auto" w:fill="FFFFFF"/>
            <w:noWrap/>
            <w:tcMar>
              <w:top w:w="0" w:type="dxa"/>
              <w:left w:w="70" w:type="dxa"/>
              <w:bottom w:w="0" w:type="dxa"/>
              <w:right w:w="70" w:type="dxa"/>
            </w:tcMar>
          </w:tcPr>
          <w:p w:rsidR="006A7327" w:rsidRDefault="006A7327" w:rsidP="004361FE">
            <w:pPr>
              <w:spacing w:after="200" w:line="276" w:lineRule="auto"/>
              <w:jc w:val="center"/>
            </w:pPr>
            <w:r>
              <w:rPr>
                <w:rFonts w:ascii="Futura Bk BT" w:eastAsia="Calibri" w:hAnsi="Futura Bk BT"/>
                <w:sz w:val="20"/>
                <w:lang w:val="es-CO" w:eastAsia="es-CO"/>
              </w:rPr>
              <w:t>10.200</w:t>
            </w:r>
          </w:p>
        </w:tc>
        <w:tc>
          <w:tcPr>
            <w:tcW w:w="20" w:type="dxa"/>
            <w:shd w:val="clear" w:color="auto" w:fill="auto"/>
            <w:tcMar>
              <w:top w:w="0" w:type="dxa"/>
              <w:left w:w="0" w:type="dxa"/>
              <w:bottom w:w="0" w:type="dxa"/>
              <w:right w:w="0" w:type="dxa"/>
            </w:tcMar>
            <w:vAlign w:val="center"/>
          </w:tcPr>
          <w:p w:rsidR="006A7327" w:rsidRDefault="006A7327" w:rsidP="004361FE">
            <w:pPr>
              <w:spacing w:after="200" w:line="276" w:lineRule="auto"/>
              <w:rPr>
                <w:rFonts w:ascii="Futura Bk BT" w:eastAsia="Calibri" w:hAnsi="Futura Bk BT"/>
                <w:sz w:val="20"/>
                <w:lang w:val="es-CO" w:eastAsia="es-CO"/>
              </w:rPr>
            </w:pPr>
          </w:p>
        </w:tc>
      </w:tr>
    </w:tbl>
    <w:p w:rsidR="006A7327" w:rsidRDefault="006A7327" w:rsidP="00A70FDC">
      <w:pPr>
        <w:pStyle w:val="Standard"/>
        <w:autoSpaceDE w:val="0"/>
        <w:jc w:val="both"/>
        <w:rPr>
          <w:rFonts w:ascii="Futura Bk BT" w:eastAsia="DejaVu Sans" w:hAnsi="Futura Bk BT" w:cs="Times New Roman"/>
          <w:sz w:val="22"/>
          <w:szCs w:val="22"/>
          <w:lang w:bidi="hi-IN"/>
        </w:rPr>
      </w:pPr>
    </w:p>
    <w:p w:rsidR="006A7327" w:rsidRDefault="006A7327" w:rsidP="00A70FDC">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*No incluye Fosevi – Tarifas expresadas en pesos del 1° de enero de 2015</w:t>
      </w:r>
    </w:p>
    <w:p w:rsidR="006A7327" w:rsidRDefault="006A7327" w:rsidP="00A70FDC">
      <w:pPr>
        <w:pStyle w:val="Standard"/>
        <w:autoSpaceDE w:val="0"/>
        <w:jc w:val="both"/>
        <w:rPr>
          <w:rFonts w:ascii="Futura Bk BT" w:eastAsia="DejaVu Sans" w:hAnsi="Futura Bk BT" w:cs="Times New Roman"/>
          <w:sz w:val="22"/>
          <w:szCs w:val="22"/>
          <w:lang w:bidi="hi-IN"/>
        </w:rPr>
      </w:pPr>
    </w:p>
    <w:p w:rsidR="00A70FDC" w:rsidRDefault="00A70FDC" w:rsidP="00A70FDC">
      <w:pPr>
        <w:pStyle w:val="Standard"/>
        <w:autoSpaceDE w:val="0"/>
        <w:jc w:val="both"/>
        <w:rPr>
          <w:rFonts w:ascii="Futura Bk BT" w:eastAsia="DejaVu Sans" w:hAnsi="Futura Bk BT" w:cs="Times New Roman"/>
          <w:sz w:val="22"/>
          <w:szCs w:val="22"/>
          <w:lang w:bidi="hi-IN"/>
        </w:rPr>
      </w:pPr>
    </w:p>
    <w:p w:rsidR="00A70FDC" w:rsidRPr="00BF17FF" w:rsidRDefault="00A70FDC" w:rsidP="00A70FDC">
      <w:pPr>
        <w:pStyle w:val="Standard"/>
        <w:autoSpaceDE w:val="0"/>
        <w:jc w:val="both"/>
        <w:rPr>
          <w:rFonts w:ascii="Futura Bk BT" w:eastAsia="DejaVu Sans" w:hAnsi="Futura Bk BT" w:cs="Times New Roman"/>
          <w:sz w:val="22"/>
          <w:szCs w:val="22"/>
          <w:lang w:bidi="hi-IN"/>
        </w:rPr>
      </w:pPr>
    </w:p>
    <w:p w:rsidR="00146F06" w:rsidRDefault="00146F06" w:rsidP="00A30A0D">
      <w:pPr>
        <w:pStyle w:val="Standard"/>
        <w:autoSpaceDE w:val="0"/>
        <w:jc w:val="both"/>
        <w:rPr>
          <w:rFonts w:ascii="Futura Bk BT" w:eastAsia="DejaVu Sans" w:hAnsi="Futura Bk BT" w:cs="Times New Roman"/>
          <w:sz w:val="22"/>
          <w:szCs w:val="22"/>
          <w:lang w:bidi="hi-IN"/>
        </w:rPr>
      </w:pPr>
    </w:p>
    <w:p w:rsidR="00BC07BC" w:rsidRDefault="006A7327" w:rsidP="00A30A0D">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En el peaje de Ocoa</w:t>
      </w:r>
    </w:p>
    <w:p w:rsidR="006A7327" w:rsidRPr="00BF17FF" w:rsidRDefault="006A7327" w:rsidP="006A7327">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T</w:t>
      </w:r>
      <w:r w:rsidRPr="00BF17FF">
        <w:rPr>
          <w:rFonts w:ascii="Futura Bk BT" w:eastAsia="DejaVu Sans" w:hAnsi="Futura Bk BT" w:cs="Times New Roman"/>
          <w:sz w:val="22"/>
          <w:szCs w:val="22"/>
          <w:lang w:bidi="hi-IN"/>
        </w:rPr>
        <w:t xml:space="preserve">arifa especial diferencial para </w:t>
      </w:r>
      <w:r w:rsidR="00212876">
        <w:rPr>
          <w:rFonts w:ascii="Futura Bk BT" w:eastAsia="DejaVu Sans" w:hAnsi="Futura Bk BT" w:cs="Times New Roman"/>
          <w:sz w:val="22"/>
          <w:szCs w:val="22"/>
          <w:lang w:bidi="hi-IN"/>
        </w:rPr>
        <w:t>ocho</w:t>
      </w:r>
      <w:r>
        <w:rPr>
          <w:rFonts w:ascii="Futura Bk BT" w:eastAsia="DejaVu Sans" w:hAnsi="Futura Bk BT" w:cs="Times New Roman"/>
          <w:sz w:val="22"/>
          <w:szCs w:val="22"/>
          <w:lang w:bidi="hi-IN"/>
        </w:rPr>
        <w:t xml:space="preserve"> (</w:t>
      </w:r>
      <w:r w:rsidR="00212876">
        <w:rPr>
          <w:rFonts w:ascii="Futura Bk BT" w:eastAsia="DejaVu Sans" w:hAnsi="Futura Bk BT" w:cs="Times New Roman"/>
          <w:sz w:val="22"/>
          <w:szCs w:val="22"/>
          <w:lang w:bidi="hi-IN"/>
        </w:rPr>
        <w:t>8</w:t>
      </w:r>
      <w:r>
        <w:rPr>
          <w:rFonts w:ascii="Futura Bk BT" w:eastAsia="DejaVu Sans" w:hAnsi="Futura Bk BT" w:cs="Times New Roman"/>
          <w:sz w:val="22"/>
          <w:szCs w:val="22"/>
          <w:lang w:bidi="hi-IN"/>
        </w:rPr>
        <w:t xml:space="preserve">) </w:t>
      </w:r>
      <w:r w:rsidRPr="00BF17FF">
        <w:rPr>
          <w:rFonts w:ascii="Futura Bk BT" w:eastAsia="DejaVu Sans" w:hAnsi="Futura Bk BT" w:cs="Times New Roman"/>
          <w:sz w:val="22"/>
          <w:szCs w:val="22"/>
          <w:lang w:bidi="hi-IN"/>
        </w:rPr>
        <w:t xml:space="preserve">vehículos categoría I de servicio público colectivo.  </w:t>
      </w:r>
    </w:p>
    <w:p w:rsidR="006A7327" w:rsidRDefault="006A7327" w:rsidP="00A30A0D">
      <w:pPr>
        <w:pStyle w:val="Standard"/>
        <w:autoSpaceDE w:val="0"/>
        <w:jc w:val="both"/>
        <w:rPr>
          <w:rFonts w:ascii="Futura Bk BT" w:eastAsia="DejaVu Sans" w:hAnsi="Futura Bk BT" w:cs="Times New Roman"/>
          <w:sz w:val="22"/>
          <w:szCs w:val="22"/>
          <w:lang w:bidi="hi-IN"/>
        </w:rPr>
      </w:pPr>
    </w:p>
    <w:tbl>
      <w:tblPr>
        <w:tblW w:w="4000" w:type="dxa"/>
        <w:jc w:val="center"/>
        <w:tblCellMar>
          <w:left w:w="70" w:type="dxa"/>
          <w:right w:w="70" w:type="dxa"/>
        </w:tblCellMar>
        <w:tblLook w:val="04A0" w:firstRow="1" w:lastRow="0" w:firstColumn="1" w:lastColumn="0" w:noHBand="0" w:noVBand="1"/>
      </w:tblPr>
      <w:tblGrid>
        <w:gridCol w:w="1240"/>
        <w:gridCol w:w="1240"/>
        <w:gridCol w:w="1520"/>
      </w:tblGrid>
      <w:tr w:rsidR="00212876" w:rsidRPr="008915E1" w:rsidTr="004361FE">
        <w:trPr>
          <w:trHeight w:val="288"/>
          <w:jc w:val="center"/>
        </w:trPr>
        <w:tc>
          <w:tcPr>
            <w:tcW w:w="124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12876" w:rsidRPr="008915E1" w:rsidRDefault="00212876" w:rsidP="004361FE">
            <w:pPr>
              <w:jc w:val="center"/>
              <w:rPr>
                <w:rFonts w:ascii="Arial" w:hAnsi="Arial" w:cs="Arial"/>
                <w:b/>
                <w:bCs/>
                <w:color w:val="000000"/>
                <w:sz w:val="20"/>
                <w:lang w:val="es-CO" w:eastAsia="es-CO"/>
              </w:rPr>
            </w:pPr>
            <w:r w:rsidRPr="008915E1">
              <w:rPr>
                <w:rFonts w:ascii="Arial" w:hAnsi="Arial" w:cs="Arial"/>
                <w:b/>
                <w:bCs/>
                <w:color w:val="000000"/>
                <w:sz w:val="20"/>
                <w:lang w:val="es-CO" w:eastAsia="es-CO"/>
              </w:rPr>
              <w:t>Categoría</w:t>
            </w:r>
          </w:p>
        </w:tc>
        <w:tc>
          <w:tcPr>
            <w:tcW w:w="124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12876" w:rsidRPr="008915E1" w:rsidRDefault="00212876" w:rsidP="004361FE">
            <w:pPr>
              <w:jc w:val="center"/>
              <w:rPr>
                <w:rFonts w:ascii="Arial" w:hAnsi="Arial" w:cs="Arial"/>
                <w:b/>
                <w:bCs/>
                <w:color w:val="000000"/>
                <w:sz w:val="20"/>
                <w:lang w:val="es-CO" w:eastAsia="es-CO"/>
              </w:rPr>
            </w:pPr>
            <w:r w:rsidRPr="008915E1">
              <w:rPr>
                <w:rFonts w:ascii="Arial" w:hAnsi="Arial" w:cs="Arial"/>
                <w:b/>
                <w:bCs/>
                <w:color w:val="000000"/>
                <w:sz w:val="20"/>
                <w:lang w:val="es-CO" w:eastAsia="es-CO"/>
              </w:rPr>
              <w:t>Placa</w:t>
            </w:r>
          </w:p>
        </w:tc>
        <w:tc>
          <w:tcPr>
            <w:tcW w:w="1520" w:type="dxa"/>
            <w:vMerge w:val="restart"/>
            <w:tcBorders>
              <w:top w:val="single" w:sz="8" w:space="0" w:color="000000"/>
              <w:left w:val="single" w:sz="8" w:space="0" w:color="000000"/>
              <w:bottom w:val="single" w:sz="8" w:space="0" w:color="000000"/>
              <w:right w:val="single" w:sz="8" w:space="0" w:color="000000"/>
            </w:tcBorders>
            <w:shd w:val="clear" w:color="000000" w:fill="FFFFFF"/>
            <w:vAlign w:val="center"/>
            <w:hideMark/>
          </w:tcPr>
          <w:p w:rsidR="00212876" w:rsidRPr="008915E1" w:rsidRDefault="00212876" w:rsidP="004361FE">
            <w:pPr>
              <w:jc w:val="center"/>
              <w:rPr>
                <w:rFonts w:ascii="Arial" w:hAnsi="Arial" w:cs="Arial"/>
                <w:b/>
                <w:bCs/>
                <w:color w:val="000000"/>
                <w:sz w:val="20"/>
                <w:lang w:val="es-CO" w:eastAsia="es-CO"/>
              </w:rPr>
            </w:pPr>
            <w:r w:rsidRPr="008915E1">
              <w:rPr>
                <w:rFonts w:ascii="Arial" w:hAnsi="Arial" w:cs="Arial"/>
                <w:b/>
                <w:bCs/>
                <w:color w:val="000000"/>
                <w:sz w:val="20"/>
                <w:lang w:val="es-CO" w:eastAsia="es-CO"/>
              </w:rPr>
              <w:t>Tarifa Especial Diferencial *</w:t>
            </w:r>
          </w:p>
        </w:tc>
      </w:tr>
      <w:tr w:rsidR="00212876" w:rsidRPr="008915E1" w:rsidTr="004361FE">
        <w:trPr>
          <w:trHeight w:val="300"/>
          <w:jc w:val="center"/>
        </w:trPr>
        <w:tc>
          <w:tcPr>
            <w:tcW w:w="1240" w:type="dxa"/>
            <w:vMerge/>
            <w:tcBorders>
              <w:top w:val="single" w:sz="8" w:space="0" w:color="000000"/>
              <w:left w:val="single" w:sz="8" w:space="0" w:color="000000"/>
              <w:bottom w:val="single" w:sz="8" w:space="0" w:color="000000"/>
              <w:right w:val="single" w:sz="8" w:space="0" w:color="000000"/>
            </w:tcBorders>
            <w:vAlign w:val="center"/>
            <w:hideMark/>
          </w:tcPr>
          <w:p w:rsidR="00212876" w:rsidRPr="008915E1" w:rsidRDefault="00212876" w:rsidP="004361FE">
            <w:pPr>
              <w:rPr>
                <w:rFonts w:ascii="Arial" w:hAnsi="Arial" w:cs="Arial"/>
                <w:b/>
                <w:bCs/>
                <w:color w:val="000000"/>
                <w:sz w:val="20"/>
                <w:lang w:val="es-CO" w:eastAsia="es-CO"/>
              </w:rPr>
            </w:pPr>
          </w:p>
        </w:tc>
        <w:tc>
          <w:tcPr>
            <w:tcW w:w="1240" w:type="dxa"/>
            <w:vMerge/>
            <w:tcBorders>
              <w:top w:val="single" w:sz="8" w:space="0" w:color="000000"/>
              <w:left w:val="single" w:sz="8" w:space="0" w:color="000000"/>
              <w:bottom w:val="single" w:sz="8" w:space="0" w:color="000000"/>
              <w:right w:val="single" w:sz="8" w:space="0" w:color="000000"/>
            </w:tcBorders>
            <w:vAlign w:val="center"/>
            <w:hideMark/>
          </w:tcPr>
          <w:p w:rsidR="00212876" w:rsidRPr="008915E1" w:rsidRDefault="00212876" w:rsidP="004361FE">
            <w:pPr>
              <w:rPr>
                <w:rFonts w:ascii="Arial" w:hAnsi="Arial" w:cs="Arial"/>
                <w:b/>
                <w:bCs/>
                <w:color w:val="000000"/>
                <w:sz w:val="20"/>
                <w:lang w:val="es-CO" w:eastAsia="es-CO"/>
              </w:rPr>
            </w:pPr>
          </w:p>
        </w:tc>
        <w:tc>
          <w:tcPr>
            <w:tcW w:w="1520" w:type="dxa"/>
            <w:vMerge/>
            <w:tcBorders>
              <w:top w:val="single" w:sz="8" w:space="0" w:color="000000"/>
              <w:left w:val="single" w:sz="8" w:space="0" w:color="000000"/>
              <w:bottom w:val="single" w:sz="8" w:space="0" w:color="000000"/>
              <w:right w:val="single" w:sz="8" w:space="0" w:color="000000"/>
            </w:tcBorders>
            <w:vAlign w:val="center"/>
            <w:hideMark/>
          </w:tcPr>
          <w:p w:rsidR="00212876" w:rsidRPr="008915E1" w:rsidRDefault="00212876" w:rsidP="004361FE">
            <w:pPr>
              <w:rPr>
                <w:rFonts w:ascii="Arial" w:hAnsi="Arial" w:cs="Arial"/>
                <w:b/>
                <w:bCs/>
                <w:color w:val="000000"/>
                <w:sz w:val="20"/>
                <w:lang w:val="es-CO" w:eastAsia="es-CO"/>
              </w:rPr>
            </w:pPr>
          </w:p>
        </w:tc>
      </w:tr>
      <w:tr w:rsidR="00212876" w:rsidRPr="008915E1" w:rsidTr="004361FE">
        <w:trPr>
          <w:trHeight w:val="300"/>
          <w:jc w:val="center"/>
        </w:trPr>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IE</w:t>
            </w:r>
          </w:p>
        </w:tc>
        <w:tc>
          <w:tcPr>
            <w:tcW w:w="1240" w:type="dxa"/>
            <w:tcBorders>
              <w:top w:val="nil"/>
              <w:left w:val="nil"/>
              <w:bottom w:val="single" w:sz="8" w:space="0" w:color="000000"/>
              <w:right w:val="single" w:sz="8" w:space="0" w:color="000000"/>
            </w:tcBorders>
            <w:shd w:val="clear" w:color="auto" w:fill="auto"/>
            <w:noWrap/>
            <w:vAlign w:val="center"/>
            <w:hideMark/>
          </w:tcPr>
          <w:p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TFW-329</w:t>
            </w:r>
          </w:p>
        </w:tc>
        <w:tc>
          <w:tcPr>
            <w:tcW w:w="1520" w:type="dxa"/>
            <w:tcBorders>
              <w:top w:val="nil"/>
              <w:left w:val="nil"/>
              <w:bottom w:val="single" w:sz="8" w:space="0" w:color="000000"/>
              <w:right w:val="single" w:sz="8" w:space="0" w:color="000000"/>
            </w:tcBorders>
            <w:shd w:val="clear" w:color="000000" w:fill="FFFFFF"/>
            <w:noWrap/>
            <w:vAlign w:val="center"/>
            <w:hideMark/>
          </w:tcPr>
          <w:p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3.200</w:t>
            </w:r>
          </w:p>
        </w:tc>
      </w:tr>
      <w:tr w:rsidR="00212876" w:rsidRPr="008915E1" w:rsidTr="004361FE">
        <w:trPr>
          <w:trHeight w:val="300"/>
          <w:jc w:val="center"/>
        </w:trPr>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IE</w:t>
            </w:r>
          </w:p>
        </w:tc>
        <w:tc>
          <w:tcPr>
            <w:tcW w:w="1240" w:type="dxa"/>
            <w:tcBorders>
              <w:top w:val="nil"/>
              <w:left w:val="nil"/>
              <w:bottom w:val="single" w:sz="8" w:space="0" w:color="000000"/>
              <w:right w:val="single" w:sz="8" w:space="0" w:color="000000"/>
            </w:tcBorders>
            <w:shd w:val="clear" w:color="auto" w:fill="auto"/>
            <w:noWrap/>
            <w:vAlign w:val="center"/>
            <w:hideMark/>
          </w:tcPr>
          <w:p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THL-289</w:t>
            </w:r>
          </w:p>
        </w:tc>
        <w:tc>
          <w:tcPr>
            <w:tcW w:w="1520" w:type="dxa"/>
            <w:tcBorders>
              <w:top w:val="nil"/>
              <w:left w:val="nil"/>
              <w:bottom w:val="single" w:sz="8" w:space="0" w:color="000000"/>
              <w:right w:val="single" w:sz="8" w:space="0" w:color="000000"/>
            </w:tcBorders>
            <w:shd w:val="clear" w:color="000000" w:fill="FFFFFF"/>
            <w:noWrap/>
            <w:vAlign w:val="center"/>
            <w:hideMark/>
          </w:tcPr>
          <w:p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3.200</w:t>
            </w:r>
          </w:p>
        </w:tc>
      </w:tr>
      <w:tr w:rsidR="00212876" w:rsidRPr="008915E1" w:rsidTr="004361FE">
        <w:trPr>
          <w:trHeight w:val="300"/>
          <w:jc w:val="center"/>
        </w:trPr>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IE</w:t>
            </w:r>
          </w:p>
        </w:tc>
        <w:tc>
          <w:tcPr>
            <w:tcW w:w="1240" w:type="dxa"/>
            <w:tcBorders>
              <w:top w:val="nil"/>
              <w:left w:val="nil"/>
              <w:bottom w:val="single" w:sz="8" w:space="0" w:color="000000"/>
              <w:right w:val="single" w:sz="8" w:space="0" w:color="000000"/>
            </w:tcBorders>
            <w:shd w:val="clear" w:color="auto" w:fill="auto"/>
            <w:noWrap/>
            <w:vAlign w:val="center"/>
            <w:hideMark/>
          </w:tcPr>
          <w:p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TFW-325</w:t>
            </w:r>
          </w:p>
        </w:tc>
        <w:tc>
          <w:tcPr>
            <w:tcW w:w="1520" w:type="dxa"/>
            <w:tcBorders>
              <w:top w:val="nil"/>
              <w:left w:val="nil"/>
              <w:bottom w:val="single" w:sz="8" w:space="0" w:color="000000"/>
              <w:right w:val="single" w:sz="8" w:space="0" w:color="000000"/>
            </w:tcBorders>
            <w:shd w:val="clear" w:color="000000" w:fill="FFFFFF"/>
            <w:noWrap/>
            <w:vAlign w:val="center"/>
            <w:hideMark/>
          </w:tcPr>
          <w:p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3.200</w:t>
            </w:r>
          </w:p>
        </w:tc>
      </w:tr>
      <w:tr w:rsidR="00212876" w:rsidRPr="008915E1" w:rsidTr="004361FE">
        <w:trPr>
          <w:trHeight w:val="300"/>
          <w:jc w:val="center"/>
        </w:trPr>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IE</w:t>
            </w:r>
          </w:p>
        </w:tc>
        <w:tc>
          <w:tcPr>
            <w:tcW w:w="1240" w:type="dxa"/>
            <w:tcBorders>
              <w:top w:val="nil"/>
              <w:left w:val="nil"/>
              <w:bottom w:val="single" w:sz="8" w:space="0" w:color="000000"/>
              <w:right w:val="single" w:sz="8" w:space="0" w:color="000000"/>
            </w:tcBorders>
            <w:shd w:val="clear" w:color="auto" w:fill="auto"/>
            <w:noWrap/>
            <w:vAlign w:val="center"/>
            <w:hideMark/>
          </w:tcPr>
          <w:p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TFW-323</w:t>
            </w:r>
          </w:p>
        </w:tc>
        <w:tc>
          <w:tcPr>
            <w:tcW w:w="1520" w:type="dxa"/>
            <w:tcBorders>
              <w:top w:val="nil"/>
              <w:left w:val="nil"/>
              <w:bottom w:val="single" w:sz="8" w:space="0" w:color="000000"/>
              <w:right w:val="single" w:sz="8" w:space="0" w:color="000000"/>
            </w:tcBorders>
            <w:shd w:val="clear" w:color="000000" w:fill="FFFFFF"/>
            <w:noWrap/>
            <w:vAlign w:val="center"/>
            <w:hideMark/>
          </w:tcPr>
          <w:p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3.200</w:t>
            </w:r>
          </w:p>
        </w:tc>
      </w:tr>
      <w:tr w:rsidR="00212876" w:rsidRPr="008915E1" w:rsidTr="004361FE">
        <w:trPr>
          <w:trHeight w:val="300"/>
          <w:jc w:val="center"/>
        </w:trPr>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IE</w:t>
            </w:r>
          </w:p>
        </w:tc>
        <w:tc>
          <w:tcPr>
            <w:tcW w:w="1240" w:type="dxa"/>
            <w:tcBorders>
              <w:top w:val="nil"/>
              <w:left w:val="nil"/>
              <w:bottom w:val="single" w:sz="8" w:space="0" w:color="000000"/>
              <w:right w:val="single" w:sz="8" w:space="0" w:color="000000"/>
            </w:tcBorders>
            <w:shd w:val="clear" w:color="auto" w:fill="auto"/>
            <w:noWrap/>
            <w:vAlign w:val="center"/>
            <w:hideMark/>
          </w:tcPr>
          <w:p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SKX-071</w:t>
            </w:r>
          </w:p>
        </w:tc>
        <w:tc>
          <w:tcPr>
            <w:tcW w:w="1520" w:type="dxa"/>
            <w:tcBorders>
              <w:top w:val="nil"/>
              <w:left w:val="nil"/>
              <w:bottom w:val="single" w:sz="8" w:space="0" w:color="000000"/>
              <w:right w:val="single" w:sz="8" w:space="0" w:color="000000"/>
            </w:tcBorders>
            <w:shd w:val="clear" w:color="000000" w:fill="FFFFFF"/>
            <w:noWrap/>
            <w:vAlign w:val="center"/>
            <w:hideMark/>
          </w:tcPr>
          <w:p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3.200</w:t>
            </w:r>
          </w:p>
        </w:tc>
      </w:tr>
      <w:tr w:rsidR="00212876" w:rsidRPr="008915E1" w:rsidTr="004361FE">
        <w:trPr>
          <w:trHeight w:val="300"/>
          <w:jc w:val="center"/>
        </w:trPr>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IE</w:t>
            </w:r>
          </w:p>
        </w:tc>
        <w:tc>
          <w:tcPr>
            <w:tcW w:w="1240" w:type="dxa"/>
            <w:tcBorders>
              <w:top w:val="nil"/>
              <w:left w:val="nil"/>
              <w:bottom w:val="single" w:sz="8" w:space="0" w:color="000000"/>
              <w:right w:val="single" w:sz="8" w:space="0" w:color="000000"/>
            </w:tcBorders>
            <w:shd w:val="clear" w:color="auto" w:fill="auto"/>
            <w:noWrap/>
            <w:vAlign w:val="center"/>
            <w:hideMark/>
          </w:tcPr>
          <w:p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UFU-832</w:t>
            </w:r>
          </w:p>
        </w:tc>
        <w:tc>
          <w:tcPr>
            <w:tcW w:w="1520" w:type="dxa"/>
            <w:tcBorders>
              <w:top w:val="nil"/>
              <w:left w:val="nil"/>
              <w:bottom w:val="single" w:sz="8" w:space="0" w:color="000000"/>
              <w:right w:val="single" w:sz="8" w:space="0" w:color="000000"/>
            </w:tcBorders>
            <w:shd w:val="clear" w:color="000000" w:fill="FFFFFF"/>
            <w:noWrap/>
            <w:vAlign w:val="center"/>
            <w:hideMark/>
          </w:tcPr>
          <w:p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3.200</w:t>
            </w:r>
          </w:p>
        </w:tc>
      </w:tr>
      <w:tr w:rsidR="00212876" w:rsidRPr="008915E1" w:rsidTr="004361FE">
        <w:trPr>
          <w:trHeight w:val="300"/>
          <w:jc w:val="center"/>
        </w:trPr>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IE</w:t>
            </w:r>
          </w:p>
        </w:tc>
        <w:tc>
          <w:tcPr>
            <w:tcW w:w="1240" w:type="dxa"/>
            <w:tcBorders>
              <w:top w:val="nil"/>
              <w:left w:val="nil"/>
              <w:bottom w:val="single" w:sz="8" w:space="0" w:color="000000"/>
              <w:right w:val="single" w:sz="8" w:space="0" w:color="000000"/>
            </w:tcBorders>
            <w:shd w:val="clear" w:color="auto" w:fill="auto"/>
            <w:noWrap/>
            <w:vAlign w:val="center"/>
            <w:hideMark/>
          </w:tcPr>
          <w:p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UFU-695</w:t>
            </w:r>
          </w:p>
        </w:tc>
        <w:tc>
          <w:tcPr>
            <w:tcW w:w="1520" w:type="dxa"/>
            <w:tcBorders>
              <w:top w:val="nil"/>
              <w:left w:val="nil"/>
              <w:bottom w:val="single" w:sz="8" w:space="0" w:color="000000"/>
              <w:right w:val="single" w:sz="8" w:space="0" w:color="000000"/>
            </w:tcBorders>
            <w:shd w:val="clear" w:color="000000" w:fill="FFFFFF"/>
            <w:noWrap/>
            <w:vAlign w:val="center"/>
            <w:hideMark/>
          </w:tcPr>
          <w:p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3.200</w:t>
            </w:r>
          </w:p>
        </w:tc>
      </w:tr>
      <w:tr w:rsidR="00212876" w:rsidRPr="008915E1" w:rsidTr="004361FE">
        <w:trPr>
          <w:trHeight w:val="300"/>
          <w:jc w:val="center"/>
        </w:trPr>
        <w:tc>
          <w:tcPr>
            <w:tcW w:w="1240" w:type="dxa"/>
            <w:tcBorders>
              <w:top w:val="nil"/>
              <w:left w:val="single" w:sz="8" w:space="0" w:color="000000"/>
              <w:bottom w:val="single" w:sz="8" w:space="0" w:color="000000"/>
              <w:right w:val="single" w:sz="8" w:space="0" w:color="000000"/>
            </w:tcBorders>
            <w:shd w:val="clear" w:color="000000" w:fill="FFFFFF"/>
            <w:vAlign w:val="center"/>
            <w:hideMark/>
          </w:tcPr>
          <w:p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IE</w:t>
            </w:r>
          </w:p>
        </w:tc>
        <w:tc>
          <w:tcPr>
            <w:tcW w:w="1240" w:type="dxa"/>
            <w:tcBorders>
              <w:top w:val="nil"/>
              <w:left w:val="nil"/>
              <w:bottom w:val="single" w:sz="8" w:space="0" w:color="000000"/>
              <w:right w:val="single" w:sz="8" w:space="0" w:color="000000"/>
            </w:tcBorders>
            <w:shd w:val="clear" w:color="auto" w:fill="auto"/>
            <w:noWrap/>
            <w:vAlign w:val="center"/>
            <w:hideMark/>
          </w:tcPr>
          <w:p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TFV976</w:t>
            </w:r>
          </w:p>
        </w:tc>
        <w:tc>
          <w:tcPr>
            <w:tcW w:w="1520" w:type="dxa"/>
            <w:tcBorders>
              <w:top w:val="nil"/>
              <w:left w:val="nil"/>
              <w:bottom w:val="single" w:sz="8" w:space="0" w:color="000000"/>
              <w:right w:val="single" w:sz="8" w:space="0" w:color="000000"/>
            </w:tcBorders>
            <w:shd w:val="clear" w:color="000000" w:fill="FFFFFF"/>
            <w:noWrap/>
            <w:vAlign w:val="center"/>
            <w:hideMark/>
          </w:tcPr>
          <w:p w:rsidR="00212876" w:rsidRPr="008915E1" w:rsidRDefault="00212876" w:rsidP="004361FE">
            <w:pPr>
              <w:jc w:val="center"/>
              <w:rPr>
                <w:rFonts w:ascii="Arial" w:hAnsi="Arial" w:cs="Arial"/>
                <w:color w:val="000000"/>
                <w:sz w:val="20"/>
                <w:lang w:val="es-CO" w:eastAsia="es-CO"/>
              </w:rPr>
            </w:pPr>
            <w:r w:rsidRPr="008915E1">
              <w:rPr>
                <w:rFonts w:ascii="Arial" w:hAnsi="Arial" w:cs="Arial"/>
                <w:color w:val="000000"/>
                <w:sz w:val="20"/>
                <w:lang w:val="es-CO" w:eastAsia="es-CO"/>
              </w:rPr>
              <w:t>3.200</w:t>
            </w:r>
          </w:p>
        </w:tc>
      </w:tr>
    </w:tbl>
    <w:p w:rsidR="00212876" w:rsidRDefault="00212876" w:rsidP="00212876">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*No incluye Fosevi – Tarifas expresadas en pesos del 1° de enero de 2015</w:t>
      </w:r>
    </w:p>
    <w:p w:rsidR="00BC07BC" w:rsidRPr="00BF17FF" w:rsidRDefault="00BC07BC" w:rsidP="00A30A0D">
      <w:pPr>
        <w:pStyle w:val="Standard"/>
        <w:autoSpaceDE w:val="0"/>
        <w:jc w:val="both"/>
        <w:rPr>
          <w:rFonts w:ascii="Futura Bk BT" w:eastAsia="DejaVu Sans" w:hAnsi="Futura Bk BT" w:cs="Times New Roman"/>
          <w:sz w:val="22"/>
          <w:szCs w:val="22"/>
          <w:lang w:bidi="hi-IN"/>
        </w:rPr>
      </w:pPr>
    </w:p>
    <w:p w:rsidR="00146F06" w:rsidRPr="00BF17FF" w:rsidRDefault="00146F06" w:rsidP="00146F06">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el Concesionario mediante oficio radicado No.</w:t>
      </w:r>
      <w:r w:rsidR="00C151DF">
        <w:rPr>
          <w:rFonts w:ascii="Futura Bk BT" w:eastAsia="DejaVu Sans" w:hAnsi="Futura Bk BT" w:cs="Times New Roman"/>
          <w:sz w:val="22"/>
          <w:szCs w:val="22"/>
          <w:lang w:bidi="hi-IN"/>
        </w:rPr>
        <w:t xml:space="preserve"> 2015-409-088853-2 de fecha 29 de diciembre de 2015</w:t>
      </w:r>
      <w:r w:rsidRPr="00BF17FF">
        <w:rPr>
          <w:rFonts w:ascii="Futura Bk BT" w:eastAsia="DejaVu Sans" w:hAnsi="Futura Bk BT" w:cs="Times New Roman"/>
          <w:sz w:val="22"/>
          <w:szCs w:val="22"/>
          <w:lang w:bidi="hi-IN"/>
        </w:rPr>
        <w:t>manifestó su conformidad con la inclusión de esos beneficiarios</w:t>
      </w:r>
      <w:r w:rsidR="00A70FDC" w:rsidRPr="00BF17FF">
        <w:rPr>
          <w:rFonts w:ascii="Futura Bk BT" w:eastAsia="DejaVu Sans" w:hAnsi="Futura Bk BT" w:cs="Times New Roman"/>
          <w:sz w:val="22"/>
          <w:szCs w:val="22"/>
          <w:lang w:bidi="hi-IN"/>
        </w:rPr>
        <w:t xml:space="preserve">, indicando que el costo de esas tarifas diferenciales </w:t>
      </w:r>
      <w:r w:rsidR="008A2980">
        <w:rPr>
          <w:rFonts w:ascii="Futura Bk BT" w:eastAsia="DejaVu Sans" w:hAnsi="Futura Bk BT" w:cs="Times New Roman"/>
          <w:sz w:val="22"/>
          <w:szCs w:val="22"/>
          <w:lang w:bidi="hi-IN"/>
        </w:rPr>
        <w:t xml:space="preserve"> </w:t>
      </w:r>
      <w:r w:rsidR="00A70FDC" w:rsidRPr="00BF17FF">
        <w:rPr>
          <w:rFonts w:ascii="Futura Bk BT" w:eastAsia="DejaVu Sans" w:hAnsi="Futura Bk BT" w:cs="Times New Roman"/>
          <w:sz w:val="22"/>
          <w:szCs w:val="22"/>
          <w:lang w:bidi="hi-IN"/>
        </w:rPr>
        <w:t>fueron estimadas dentro de la estructuración financiera del proyecto.</w:t>
      </w:r>
    </w:p>
    <w:p w:rsidR="00A70FDC" w:rsidRPr="00BF17FF" w:rsidRDefault="00A70FDC" w:rsidP="00146F06">
      <w:pPr>
        <w:pStyle w:val="Standard"/>
        <w:autoSpaceDE w:val="0"/>
        <w:jc w:val="both"/>
        <w:rPr>
          <w:rFonts w:ascii="Futura Bk BT" w:eastAsia="DejaVu Sans" w:hAnsi="Futura Bk BT" w:cs="Times New Roman"/>
          <w:sz w:val="22"/>
          <w:szCs w:val="22"/>
          <w:lang w:bidi="hi-IN"/>
        </w:rPr>
      </w:pPr>
    </w:p>
    <w:p w:rsidR="00A70FDC" w:rsidRPr="00BF17FF" w:rsidRDefault="00A70FDC" w:rsidP="00A30A0D">
      <w:pPr>
        <w:pStyle w:val="Standard"/>
        <w:autoSpaceDE w:val="0"/>
        <w:jc w:val="both"/>
        <w:rPr>
          <w:rFonts w:ascii="Futura Bk BT" w:eastAsia="DejaVu Sans" w:hAnsi="Futura Bk BT" w:cs="Times New Roman"/>
          <w:sz w:val="22"/>
          <w:szCs w:val="22"/>
          <w:lang w:bidi="hi-IN"/>
        </w:rPr>
      </w:pPr>
    </w:p>
    <w:p w:rsidR="004361FE" w:rsidRDefault="00A70FDC" w:rsidP="00A70FDC">
      <w:pPr>
        <w:pStyle w:val="Sinespaciado"/>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 xml:space="preserve">Que la Agencia Nacional de Infraestructura realizó un estudio Social, Técnico y Financiero, con el fin de establecer la pertinencia de </w:t>
      </w:r>
      <w:r w:rsidR="00C151DF">
        <w:rPr>
          <w:rFonts w:ascii="Futura Bk BT" w:eastAsia="DejaVu Sans" w:hAnsi="Futura Bk BT"/>
          <w:kern w:val="3"/>
          <w:sz w:val="22"/>
          <w:szCs w:val="22"/>
          <w:lang w:val="es-ES" w:eastAsia="zh-CN" w:bidi="hi-IN"/>
        </w:rPr>
        <w:t xml:space="preserve">realizar la modificación a la Estructura Tarifaria de los Peajes Yucao y Casetabla del Proyecto de Concesión Malla Vial del Meta I.P. y </w:t>
      </w:r>
      <w:r w:rsidRPr="00BF17FF">
        <w:rPr>
          <w:rFonts w:ascii="Futura Bk BT" w:eastAsia="DejaVu Sans" w:hAnsi="Futura Bk BT"/>
          <w:kern w:val="3"/>
          <w:sz w:val="22"/>
          <w:szCs w:val="22"/>
          <w:lang w:val="es-ES" w:eastAsia="zh-CN" w:bidi="hi-IN"/>
        </w:rPr>
        <w:t>otorgar la tarifa especial Diferencial Solicitada por la Comunidad</w:t>
      </w:r>
      <w:r w:rsidR="004361FE">
        <w:rPr>
          <w:rFonts w:ascii="Futura Bk BT" w:eastAsia="DejaVu Sans" w:hAnsi="Futura Bk BT"/>
          <w:kern w:val="3"/>
          <w:sz w:val="22"/>
          <w:szCs w:val="22"/>
          <w:lang w:val="es-ES" w:eastAsia="zh-CN" w:bidi="hi-IN"/>
        </w:rPr>
        <w:t>, el cual concluyó:</w:t>
      </w:r>
    </w:p>
    <w:p w:rsidR="00C151DF" w:rsidRDefault="00C151DF" w:rsidP="00A70FDC">
      <w:pPr>
        <w:pStyle w:val="Sinespaciado"/>
        <w:jc w:val="both"/>
        <w:rPr>
          <w:rFonts w:ascii="Futura Bk BT" w:eastAsia="DejaVu Sans" w:hAnsi="Futura Bk BT"/>
          <w:kern w:val="3"/>
          <w:sz w:val="22"/>
          <w:szCs w:val="22"/>
          <w:lang w:val="es-ES" w:eastAsia="zh-CN" w:bidi="hi-IN"/>
        </w:rPr>
      </w:pPr>
    </w:p>
    <w:p w:rsidR="00C151DF" w:rsidRDefault="00C151DF" w:rsidP="00A70FDC">
      <w:pPr>
        <w:pStyle w:val="Sinespaciado"/>
        <w:jc w:val="both"/>
        <w:rPr>
          <w:rFonts w:ascii="Futura Bk BT" w:eastAsia="DejaVu Sans" w:hAnsi="Futura Bk BT"/>
          <w:kern w:val="3"/>
          <w:sz w:val="22"/>
          <w:szCs w:val="22"/>
          <w:lang w:val="es-ES" w:eastAsia="zh-CN" w:bidi="hi-IN"/>
        </w:rPr>
      </w:pPr>
      <w:r>
        <w:rPr>
          <w:rFonts w:ascii="Futura Bk BT" w:eastAsia="DejaVu Sans" w:hAnsi="Futura Bk BT"/>
          <w:kern w:val="3"/>
          <w:sz w:val="22"/>
          <w:szCs w:val="22"/>
          <w:lang w:val="es-ES" w:eastAsia="zh-CN" w:bidi="hi-IN"/>
        </w:rPr>
        <w:t xml:space="preserve">La modificación de la estructura tarifaria de los peajes Yucao y Casetabla es necesaria para que el Proyecto de Concesión </w:t>
      </w:r>
      <w:r w:rsidR="007B0C24">
        <w:rPr>
          <w:rFonts w:ascii="Futura Bk BT" w:eastAsia="DejaVu Sans" w:hAnsi="Futura Bk BT"/>
          <w:kern w:val="3"/>
          <w:sz w:val="22"/>
          <w:szCs w:val="22"/>
          <w:lang w:val="es-ES" w:eastAsia="zh-CN" w:bidi="hi-IN"/>
        </w:rPr>
        <w:t xml:space="preserve">Malla Vial del Meta I.P. </w:t>
      </w:r>
      <w:r>
        <w:rPr>
          <w:rFonts w:ascii="Futura Bk BT" w:eastAsia="DejaVu Sans" w:hAnsi="Futura Bk BT"/>
          <w:kern w:val="3"/>
          <w:sz w:val="22"/>
          <w:szCs w:val="22"/>
          <w:lang w:val="es-ES" w:eastAsia="zh-CN" w:bidi="hi-IN"/>
        </w:rPr>
        <w:t>se pueda ejecutar, la nueva estructura tarifaria fue propuesta por el Concesionario Vial de los Llanos S.A.S., y no presenta desequilibrio financiero a lo pactado inicialmente en el Contrato de Concesión 004 de 2015.</w:t>
      </w:r>
    </w:p>
    <w:p w:rsidR="00C151DF" w:rsidRDefault="00C151DF" w:rsidP="00A70FDC">
      <w:pPr>
        <w:pStyle w:val="Sinespaciado"/>
        <w:jc w:val="both"/>
        <w:rPr>
          <w:rFonts w:ascii="Futura Bk BT" w:eastAsia="DejaVu Sans" w:hAnsi="Futura Bk BT"/>
          <w:kern w:val="3"/>
          <w:sz w:val="22"/>
          <w:szCs w:val="22"/>
          <w:lang w:val="es-ES" w:eastAsia="zh-CN" w:bidi="hi-IN"/>
        </w:rPr>
      </w:pPr>
    </w:p>
    <w:p w:rsidR="00C151DF" w:rsidRDefault="00C151DF" w:rsidP="00A70FDC">
      <w:pPr>
        <w:pStyle w:val="Sinespaciado"/>
        <w:jc w:val="both"/>
        <w:rPr>
          <w:rFonts w:ascii="Futura Bk BT" w:eastAsia="DejaVu Sans" w:hAnsi="Futura Bk BT"/>
          <w:kern w:val="3"/>
          <w:sz w:val="22"/>
          <w:szCs w:val="22"/>
          <w:lang w:val="es-ES" w:eastAsia="zh-CN" w:bidi="hi-IN"/>
        </w:rPr>
      </w:pPr>
      <w:r>
        <w:rPr>
          <w:rFonts w:ascii="Futura Bk BT" w:eastAsia="DejaVu Sans" w:hAnsi="Futura Bk BT"/>
          <w:kern w:val="3"/>
          <w:sz w:val="22"/>
          <w:szCs w:val="22"/>
          <w:lang w:val="es-ES" w:eastAsia="zh-CN" w:bidi="hi-IN"/>
        </w:rPr>
        <w:t>Con relaci</w:t>
      </w:r>
      <w:r w:rsidR="007B0C24">
        <w:rPr>
          <w:rFonts w:ascii="Futura Bk BT" w:eastAsia="DejaVu Sans" w:hAnsi="Futura Bk BT"/>
          <w:kern w:val="3"/>
          <w:sz w:val="22"/>
          <w:szCs w:val="22"/>
          <w:lang w:val="es-ES" w:eastAsia="zh-CN" w:bidi="hi-IN"/>
        </w:rPr>
        <w:t>ón a</w:t>
      </w:r>
      <w:r>
        <w:rPr>
          <w:rFonts w:ascii="Futura Bk BT" w:eastAsia="DejaVu Sans" w:hAnsi="Futura Bk BT"/>
          <w:kern w:val="3"/>
          <w:sz w:val="22"/>
          <w:szCs w:val="22"/>
          <w:lang w:val="es-ES" w:eastAsia="zh-CN" w:bidi="hi-IN"/>
        </w:rPr>
        <w:t xml:space="preserve">l otorgamiento de tarifas diferenciales para los peajes Iracá y Ocoa, los mismos no cuentan con estudio técnico, económico ni social debido a que es un beneficio con el que contaban los usuarios mencionados, y el objeto de la inclusión en la presente </w:t>
      </w:r>
      <w:r w:rsidR="007B0C24">
        <w:rPr>
          <w:rFonts w:ascii="Futura Bk BT" w:eastAsia="DejaVu Sans" w:hAnsi="Futura Bk BT"/>
          <w:kern w:val="3"/>
          <w:sz w:val="22"/>
          <w:szCs w:val="22"/>
          <w:lang w:val="es-ES" w:eastAsia="zh-CN" w:bidi="hi-IN"/>
        </w:rPr>
        <w:t xml:space="preserve">modificación de </w:t>
      </w:r>
      <w:r>
        <w:rPr>
          <w:rFonts w:ascii="Futura Bk BT" w:eastAsia="DejaVu Sans" w:hAnsi="Futura Bk BT"/>
          <w:kern w:val="3"/>
          <w:sz w:val="22"/>
          <w:szCs w:val="22"/>
          <w:lang w:val="es-ES" w:eastAsia="zh-CN" w:bidi="hi-IN"/>
        </w:rPr>
        <w:t>Resolución es dar continuidad al beneficio otorgado a la comunidad con anterioridad a la suscripción del Contrato de Concesión 004 de 2015.</w:t>
      </w:r>
    </w:p>
    <w:p w:rsidR="000D2CA6" w:rsidRDefault="000D2CA6" w:rsidP="00A70FDC">
      <w:pPr>
        <w:pStyle w:val="Sinespaciado"/>
        <w:jc w:val="both"/>
        <w:rPr>
          <w:rFonts w:ascii="Futura Bk BT" w:eastAsia="DejaVu Sans" w:hAnsi="Futura Bk BT"/>
          <w:kern w:val="3"/>
          <w:sz w:val="22"/>
          <w:szCs w:val="22"/>
          <w:lang w:val="es-ES" w:eastAsia="zh-CN" w:bidi="hi-IN"/>
        </w:rPr>
      </w:pPr>
    </w:p>
    <w:p w:rsidR="000D2CA6" w:rsidRDefault="000D2CA6" w:rsidP="00A70FDC">
      <w:pPr>
        <w:pStyle w:val="Sinespaciado"/>
        <w:jc w:val="both"/>
        <w:rPr>
          <w:rFonts w:ascii="Futura Bk BT" w:eastAsia="DejaVu Sans" w:hAnsi="Futura Bk BT"/>
          <w:kern w:val="3"/>
          <w:sz w:val="22"/>
          <w:szCs w:val="22"/>
          <w:lang w:val="es-ES" w:eastAsia="zh-CN" w:bidi="hi-IN"/>
        </w:rPr>
      </w:pPr>
      <w:r>
        <w:rPr>
          <w:rFonts w:ascii="Futura Bk BT" w:eastAsia="DejaVu Sans" w:hAnsi="Futura Bk BT"/>
          <w:kern w:val="3"/>
          <w:sz w:val="22"/>
          <w:szCs w:val="22"/>
          <w:lang w:val="es-ES" w:eastAsia="zh-CN" w:bidi="hi-IN"/>
        </w:rPr>
        <w:t>Las modificaciones de los requisitos para la obtención del beneficio de categoría diferencial que se quieren plasmar en la presente modificación de la Resolución 1130 de 2015, obedecen a dejar claridad del manejo de diferentes situaciones que se han presentado en el ejercicio del proceso de otorgamiento de beneficios, y que no se encuentran descritas en la Resolución 1130 de 2015, por lo que es procedente y acertado realizar dicha inclusión.</w:t>
      </w:r>
    </w:p>
    <w:p w:rsidR="004361FE" w:rsidRDefault="004361FE" w:rsidP="00A70FDC">
      <w:pPr>
        <w:pStyle w:val="Sinespaciado"/>
        <w:jc w:val="both"/>
        <w:rPr>
          <w:rFonts w:ascii="Futura Bk BT" w:eastAsia="DejaVu Sans" w:hAnsi="Futura Bk BT"/>
          <w:kern w:val="3"/>
          <w:sz w:val="22"/>
          <w:szCs w:val="22"/>
          <w:lang w:val="es-ES" w:eastAsia="zh-CN" w:bidi="hi-IN"/>
        </w:rPr>
      </w:pPr>
    </w:p>
    <w:p w:rsidR="00A70FDC" w:rsidRPr="00BF17FF" w:rsidRDefault="004361FE" w:rsidP="00A70FDC">
      <w:pPr>
        <w:pStyle w:val="Sinespaciado"/>
        <w:jc w:val="both"/>
        <w:rPr>
          <w:rFonts w:ascii="Futura Bk BT" w:eastAsia="DejaVu Sans" w:hAnsi="Futura Bk BT"/>
          <w:kern w:val="3"/>
          <w:sz w:val="22"/>
          <w:szCs w:val="22"/>
          <w:lang w:val="es-ES" w:eastAsia="zh-CN" w:bidi="hi-IN"/>
        </w:rPr>
      </w:pPr>
      <w:r>
        <w:rPr>
          <w:rFonts w:ascii="Futura Bk BT" w:eastAsia="DejaVu Sans" w:hAnsi="Futura Bk BT"/>
          <w:kern w:val="3"/>
          <w:sz w:val="22"/>
          <w:szCs w:val="22"/>
          <w:lang w:val="es-ES" w:eastAsia="zh-CN" w:bidi="hi-IN"/>
        </w:rPr>
        <w:t>Que la Interventoría del Proyecto mediante oficio Radicado No.</w:t>
      </w:r>
      <w:r w:rsidR="008551C7">
        <w:rPr>
          <w:rFonts w:ascii="Futura Bk BT" w:eastAsia="DejaVu Sans" w:hAnsi="Futura Bk BT"/>
          <w:kern w:val="3"/>
          <w:sz w:val="22"/>
          <w:szCs w:val="22"/>
          <w:lang w:val="es-ES" w:eastAsia="zh-CN" w:bidi="hi-IN"/>
        </w:rPr>
        <w:t xml:space="preserve"> </w:t>
      </w:r>
      <w:r w:rsidR="008551C7" w:rsidRPr="00365D20">
        <w:rPr>
          <w:rFonts w:ascii="Futura Bk BT" w:eastAsia="DejaVu Sans" w:hAnsi="Futura Bk BT"/>
          <w:kern w:val="3"/>
          <w:sz w:val="22"/>
          <w:szCs w:val="22"/>
          <w:lang w:val="es-ES" w:eastAsia="zh-CN" w:bidi="hi-IN"/>
        </w:rPr>
        <w:t>2015</w:t>
      </w:r>
      <w:r w:rsidR="008551C7">
        <w:rPr>
          <w:rFonts w:ascii="Futura Bk BT" w:eastAsia="DejaVu Sans" w:hAnsi="Futura Bk BT"/>
          <w:kern w:val="3"/>
          <w:sz w:val="22"/>
          <w:szCs w:val="22"/>
          <w:lang w:val="es-ES" w:eastAsia="zh-CN" w:bidi="hi-IN"/>
        </w:rPr>
        <w:t>-</w:t>
      </w:r>
      <w:r w:rsidR="008551C7" w:rsidRPr="00365D20">
        <w:rPr>
          <w:rFonts w:ascii="Futura Bk BT" w:eastAsia="DejaVu Sans" w:hAnsi="Futura Bk BT"/>
          <w:kern w:val="3"/>
          <w:sz w:val="22"/>
          <w:szCs w:val="22"/>
          <w:lang w:val="es-ES" w:eastAsia="zh-CN" w:bidi="hi-IN"/>
        </w:rPr>
        <w:t>409</w:t>
      </w:r>
      <w:r w:rsidR="008551C7">
        <w:rPr>
          <w:rFonts w:ascii="Futura Bk BT" w:eastAsia="DejaVu Sans" w:hAnsi="Futura Bk BT"/>
          <w:kern w:val="3"/>
          <w:sz w:val="22"/>
          <w:szCs w:val="22"/>
          <w:lang w:val="es-ES" w:eastAsia="zh-CN" w:bidi="hi-IN"/>
        </w:rPr>
        <w:t>-</w:t>
      </w:r>
      <w:r w:rsidR="008551C7" w:rsidRPr="00365D20">
        <w:rPr>
          <w:rFonts w:ascii="Futura Bk BT" w:eastAsia="DejaVu Sans" w:hAnsi="Futura Bk BT"/>
          <w:kern w:val="3"/>
          <w:sz w:val="22"/>
          <w:szCs w:val="22"/>
          <w:lang w:val="es-ES" w:eastAsia="zh-CN" w:bidi="hi-IN"/>
        </w:rPr>
        <w:t>086984</w:t>
      </w:r>
      <w:r w:rsidR="008551C7">
        <w:rPr>
          <w:rFonts w:ascii="Futura Bk BT" w:eastAsia="DejaVu Sans" w:hAnsi="Futura Bk BT"/>
          <w:kern w:val="3"/>
          <w:sz w:val="22"/>
          <w:szCs w:val="22"/>
          <w:lang w:val="es-ES" w:eastAsia="zh-CN" w:bidi="hi-IN"/>
        </w:rPr>
        <w:t>-</w:t>
      </w:r>
      <w:r w:rsidR="008551C7" w:rsidRPr="00365D20">
        <w:rPr>
          <w:rFonts w:ascii="Futura Bk BT" w:eastAsia="DejaVu Sans" w:hAnsi="Futura Bk BT"/>
          <w:kern w:val="3"/>
          <w:sz w:val="22"/>
          <w:szCs w:val="22"/>
          <w:lang w:val="es-ES" w:eastAsia="zh-CN" w:bidi="hi-IN"/>
        </w:rPr>
        <w:t>2</w:t>
      </w:r>
      <w:r w:rsidR="008551C7">
        <w:t xml:space="preserve"> </w:t>
      </w:r>
      <w:r w:rsidR="008551C7">
        <w:rPr>
          <w:rFonts w:ascii="Futura Bk BT" w:eastAsia="DejaVu Sans" w:hAnsi="Futura Bk BT"/>
          <w:kern w:val="3"/>
          <w:sz w:val="22"/>
          <w:szCs w:val="22"/>
          <w:lang w:val="es-ES" w:eastAsia="zh-CN" w:bidi="hi-IN"/>
        </w:rPr>
        <w:t>de fecha 29 de diciembre de 2015,</w:t>
      </w:r>
      <w:r w:rsidR="00C50E07">
        <w:rPr>
          <w:rFonts w:ascii="Futura Bk BT" w:eastAsia="DejaVu Sans" w:hAnsi="Futura Bk BT"/>
          <w:kern w:val="3"/>
          <w:sz w:val="22"/>
          <w:szCs w:val="22"/>
          <w:lang w:val="es-ES" w:eastAsia="zh-CN" w:bidi="hi-IN"/>
        </w:rPr>
        <w:t xml:space="preserve"> </w:t>
      </w:r>
      <w:r w:rsidR="00C151DF">
        <w:rPr>
          <w:rFonts w:ascii="Futura Bk BT" w:eastAsia="DejaVu Sans" w:hAnsi="Futura Bk BT"/>
          <w:kern w:val="3"/>
          <w:sz w:val="22"/>
          <w:szCs w:val="22"/>
          <w:lang w:val="es-ES" w:eastAsia="zh-CN" w:bidi="hi-IN"/>
        </w:rPr>
        <w:t>emitió</w:t>
      </w:r>
      <w:r w:rsidR="00C50E07">
        <w:rPr>
          <w:rFonts w:ascii="Futura Bk BT" w:eastAsia="DejaVu Sans" w:hAnsi="Futura Bk BT"/>
          <w:kern w:val="3"/>
          <w:sz w:val="22"/>
          <w:szCs w:val="22"/>
          <w:lang w:val="es-ES" w:eastAsia="zh-CN" w:bidi="hi-IN"/>
        </w:rPr>
        <w:t xml:space="preserve"> </w:t>
      </w:r>
      <w:r>
        <w:rPr>
          <w:rFonts w:ascii="Futura Bk BT" w:eastAsia="DejaVu Sans" w:hAnsi="Futura Bk BT"/>
          <w:kern w:val="3"/>
          <w:sz w:val="22"/>
          <w:szCs w:val="22"/>
          <w:lang w:val="es-ES" w:eastAsia="zh-CN" w:bidi="hi-IN"/>
        </w:rPr>
        <w:t xml:space="preserve"> concepto de viabilidad </w:t>
      </w:r>
      <w:r w:rsidR="00435991">
        <w:rPr>
          <w:rFonts w:ascii="Futura Bk BT" w:eastAsia="DejaVu Sans" w:hAnsi="Futura Bk BT"/>
          <w:kern w:val="3"/>
          <w:sz w:val="22"/>
          <w:szCs w:val="22"/>
          <w:lang w:val="es-ES" w:eastAsia="zh-CN" w:bidi="hi-IN"/>
        </w:rPr>
        <w:t>p</w:t>
      </w:r>
      <w:r>
        <w:rPr>
          <w:rFonts w:ascii="Futura Bk BT" w:eastAsia="DejaVu Sans" w:hAnsi="Futura Bk BT"/>
          <w:kern w:val="3"/>
          <w:sz w:val="22"/>
          <w:szCs w:val="22"/>
          <w:lang w:val="es-ES" w:eastAsia="zh-CN" w:bidi="hi-IN"/>
        </w:rPr>
        <w:t>ara la modificación de la Resolución indicando:</w:t>
      </w:r>
    </w:p>
    <w:p w:rsidR="007A7626" w:rsidRPr="00BF17FF" w:rsidRDefault="007A7626" w:rsidP="00A30A0D">
      <w:pPr>
        <w:pStyle w:val="Standard"/>
        <w:autoSpaceDE w:val="0"/>
        <w:jc w:val="both"/>
        <w:rPr>
          <w:rFonts w:ascii="Futura Bk BT" w:eastAsia="DejaVu Sans" w:hAnsi="Futura Bk BT" w:cs="Times New Roman"/>
          <w:sz w:val="22"/>
          <w:szCs w:val="22"/>
          <w:lang w:bidi="hi-IN"/>
        </w:rPr>
      </w:pPr>
    </w:p>
    <w:p w:rsidR="00435991" w:rsidRPr="00365D20" w:rsidRDefault="00435991" w:rsidP="00435991">
      <w:pPr>
        <w:pStyle w:val="Prrafodelista"/>
        <w:ind w:left="360"/>
        <w:contextualSpacing/>
        <w:jc w:val="both"/>
        <w:rPr>
          <w:rFonts w:ascii="Futura Bk BT" w:eastAsia="DejaVu Sans" w:hAnsi="Futura Bk BT"/>
          <w:i/>
          <w:kern w:val="3"/>
          <w:sz w:val="22"/>
          <w:szCs w:val="22"/>
          <w:lang w:val="es-ES" w:eastAsia="zh-CN" w:bidi="hi-IN"/>
        </w:rPr>
      </w:pPr>
      <w:r w:rsidRPr="00365D20">
        <w:rPr>
          <w:rFonts w:ascii="Futura Bk BT" w:eastAsia="DejaVu Sans" w:hAnsi="Futura Bk BT"/>
          <w:i/>
          <w:kern w:val="3"/>
          <w:sz w:val="22"/>
          <w:szCs w:val="22"/>
          <w:lang w:val="es-ES" w:eastAsia="zh-CN" w:bidi="hi-IN"/>
        </w:rPr>
        <w:t>“(…) “…Toda vez que esta Interventoría brindó apoyo a la Agencia Nacional de Infraestructura – ANI, en el proceso  de verificar la viabilidad de una propuesta de modificación de estructura tarifaria propuesta unilateralmente por el concesionario,  para los peajes Yucao y Casetabla, se realizó la revisión de  valores de las tarifas, observando que no se configura un desequilibrio financiero y económico del contrato en la medida que los incrementos y actualizaciones han sido modelados con el propósito de mantener las condiciones que se tenían en el escenario financiero Inicial.</w:t>
      </w:r>
    </w:p>
    <w:p w:rsidR="00435991" w:rsidRPr="00365D20" w:rsidRDefault="00435991" w:rsidP="00435991">
      <w:pPr>
        <w:pStyle w:val="Prrafodelista"/>
        <w:ind w:left="360"/>
        <w:contextualSpacing/>
        <w:jc w:val="both"/>
        <w:rPr>
          <w:rFonts w:ascii="Futura Bk BT" w:eastAsia="DejaVu Sans" w:hAnsi="Futura Bk BT"/>
          <w:i/>
          <w:kern w:val="3"/>
          <w:sz w:val="22"/>
          <w:szCs w:val="22"/>
          <w:lang w:val="es-ES" w:eastAsia="zh-CN" w:bidi="hi-IN"/>
        </w:rPr>
      </w:pPr>
      <w:r w:rsidRPr="00365D20">
        <w:rPr>
          <w:rFonts w:ascii="Futura Bk BT" w:eastAsia="DejaVu Sans" w:hAnsi="Futura Bk BT"/>
          <w:i/>
          <w:kern w:val="3"/>
          <w:sz w:val="22"/>
          <w:szCs w:val="22"/>
          <w:lang w:val="es-ES" w:eastAsia="zh-CN" w:bidi="hi-IN"/>
        </w:rPr>
        <w:t>(…)</w:t>
      </w:r>
    </w:p>
    <w:p w:rsidR="00435991" w:rsidRPr="00365D20" w:rsidRDefault="00435991" w:rsidP="00435991">
      <w:pPr>
        <w:pStyle w:val="Prrafodelista"/>
        <w:ind w:left="0"/>
        <w:jc w:val="both"/>
        <w:rPr>
          <w:rFonts w:ascii="Futura Bk BT" w:eastAsia="DejaVu Sans" w:hAnsi="Futura Bk BT"/>
          <w:i/>
          <w:kern w:val="3"/>
          <w:sz w:val="22"/>
          <w:szCs w:val="22"/>
          <w:lang w:val="es-ES" w:eastAsia="zh-CN" w:bidi="hi-IN"/>
        </w:rPr>
      </w:pPr>
      <w:r w:rsidRPr="00365D20">
        <w:rPr>
          <w:rFonts w:ascii="Futura Bk BT" w:eastAsia="DejaVu Sans" w:hAnsi="Futura Bk BT"/>
          <w:i/>
          <w:kern w:val="3"/>
          <w:sz w:val="22"/>
          <w:szCs w:val="22"/>
          <w:lang w:val="es-ES" w:eastAsia="zh-CN" w:bidi="hi-IN"/>
        </w:rPr>
        <w:t>Comparando la estructura tarifaria establecida en la resolución 1130/15 con la propuesta presentada unilateralmente por el concesionario, se observa que,  toda vez que no hay modificación del plazo del contrato y del valor del VPIP, no se ven afectadas las condiciones financieras del contrato de concesión 004/15,</w:t>
      </w:r>
    </w:p>
    <w:p w:rsidR="00435991" w:rsidRPr="00365D20" w:rsidRDefault="00435991" w:rsidP="00435991">
      <w:pPr>
        <w:pStyle w:val="Prrafodelista"/>
        <w:ind w:left="0"/>
        <w:jc w:val="both"/>
        <w:rPr>
          <w:rFonts w:ascii="Futura Bk BT" w:eastAsia="DejaVu Sans" w:hAnsi="Futura Bk BT"/>
          <w:i/>
          <w:kern w:val="3"/>
          <w:sz w:val="22"/>
          <w:szCs w:val="22"/>
          <w:lang w:val="es-ES" w:eastAsia="zh-CN" w:bidi="hi-IN"/>
        </w:rPr>
      </w:pPr>
    </w:p>
    <w:p w:rsidR="00435991" w:rsidRPr="00365D20" w:rsidRDefault="00435991" w:rsidP="00435991">
      <w:pPr>
        <w:pStyle w:val="Prrafodelista"/>
        <w:ind w:left="0"/>
        <w:jc w:val="both"/>
        <w:rPr>
          <w:rFonts w:ascii="Futura Bk BT" w:eastAsia="DejaVu Sans" w:hAnsi="Futura Bk BT"/>
          <w:i/>
          <w:kern w:val="3"/>
          <w:sz w:val="22"/>
          <w:szCs w:val="22"/>
          <w:lang w:val="es-ES" w:eastAsia="zh-CN" w:bidi="hi-IN"/>
        </w:rPr>
      </w:pPr>
      <w:r w:rsidRPr="00365D20">
        <w:rPr>
          <w:rFonts w:ascii="Futura Bk BT" w:eastAsia="DejaVu Sans" w:hAnsi="Futura Bk BT"/>
          <w:i/>
          <w:kern w:val="3"/>
          <w:sz w:val="22"/>
          <w:szCs w:val="22"/>
          <w:lang w:val="es-ES" w:eastAsia="zh-CN" w:bidi="hi-IN"/>
        </w:rPr>
        <w:t xml:space="preserve">Se aclara además por parte de la vicepresidencia de estructuración que la opción de modificación de la estructura tarifaria fue propuesta directamente por el concesionario y no fue por causas imputables a decisiones unilaterales de la ANI u otra autoridad estatal. </w:t>
      </w:r>
    </w:p>
    <w:p w:rsidR="00435991" w:rsidRPr="00365D20" w:rsidRDefault="00435991" w:rsidP="00435991">
      <w:pPr>
        <w:pStyle w:val="Prrafodelista"/>
        <w:jc w:val="both"/>
        <w:rPr>
          <w:rFonts w:ascii="Futura Bk BT" w:eastAsia="DejaVu Sans" w:hAnsi="Futura Bk BT"/>
          <w:i/>
          <w:kern w:val="3"/>
          <w:sz w:val="22"/>
          <w:szCs w:val="22"/>
          <w:lang w:val="es-ES" w:eastAsia="zh-CN" w:bidi="hi-IN"/>
        </w:rPr>
      </w:pPr>
    </w:p>
    <w:p w:rsidR="00435991" w:rsidRPr="00365D20" w:rsidRDefault="00435991" w:rsidP="00435991">
      <w:pPr>
        <w:pStyle w:val="Prrafodelista"/>
        <w:ind w:left="0"/>
        <w:jc w:val="both"/>
        <w:rPr>
          <w:rFonts w:ascii="Futura Bk BT" w:eastAsia="DejaVu Sans" w:hAnsi="Futura Bk BT"/>
          <w:i/>
          <w:kern w:val="3"/>
          <w:sz w:val="22"/>
          <w:szCs w:val="22"/>
          <w:lang w:val="es-ES" w:eastAsia="zh-CN" w:bidi="hi-IN"/>
        </w:rPr>
      </w:pPr>
      <w:r w:rsidRPr="00365D20">
        <w:rPr>
          <w:rFonts w:ascii="Futura Bk BT" w:eastAsia="DejaVu Sans" w:hAnsi="Futura Bk BT"/>
          <w:i/>
          <w:kern w:val="3"/>
          <w:sz w:val="22"/>
          <w:szCs w:val="22"/>
          <w:lang w:val="es-ES" w:eastAsia="zh-CN" w:bidi="hi-IN"/>
        </w:rPr>
        <w:t>De lo anterior se considera lógico el entendimiento y la conclusión de que los efectos favorables o desfavorables producto de la modificación tarifaria propuesta por el Concesionario es un riesgo que debe asumir el Concesionario, otrora originador y se recomienda que este argumento quede incorporado como mínimo en la parte considerativa del documento del Otro si No 3 que se pretende suscribir.</w:t>
      </w:r>
    </w:p>
    <w:p w:rsidR="00435991" w:rsidRPr="00365D20" w:rsidRDefault="00435991" w:rsidP="00435991">
      <w:pPr>
        <w:pStyle w:val="Prrafodelista"/>
        <w:ind w:left="0"/>
        <w:jc w:val="both"/>
        <w:rPr>
          <w:rFonts w:ascii="Futura Bk BT" w:eastAsia="DejaVu Sans" w:hAnsi="Futura Bk BT"/>
          <w:i/>
          <w:kern w:val="3"/>
          <w:sz w:val="22"/>
          <w:szCs w:val="22"/>
          <w:lang w:val="es-ES" w:eastAsia="zh-CN" w:bidi="hi-IN"/>
        </w:rPr>
      </w:pPr>
    </w:p>
    <w:p w:rsidR="00435991" w:rsidRPr="00365D20" w:rsidRDefault="00435991" w:rsidP="00435991">
      <w:pPr>
        <w:pStyle w:val="Prrafodelista"/>
        <w:ind w:left="0"/>
        <w:jc w:val="both"/>
        <w:rPr>
          <w:rFonts w:ascii="Futura Bk BT" w:eastAsia="DejaVu Sans" w:hAnsi="Futura Bk BT"/>
          <w:i/>
          <w:kern w:val="3"/>
          <w:sz w:val="22"/>
          <w:szCs w:val="22"/>
          <w:lang w:val="es-ES" w:eastAsia="zh-CN" w:bidi="hi-IN"/>
        </w:rPr>
      </w:pPr>
      <w:r w:rsidRPr="00365D20">
        <w:rPr>
          <w:rFonts w:ascii="Futura Bk BT" w:eastAsia="DejaVu Sans" w:hAnsi="Futura Bk BT"/>
          <w:i/>
          <w:kern w:val="3"/>
          <w:sz w:val="22"/>
          <w:szCs w:val="22"/>
          <w:lang w:val="es-ES" w:eastAsia="zh-CN" w:bidi="hi-IN"/>
        </w:rPr>
        <w:t>Así las cosas, se emite concepto financiero favorable para elaborar la respectiva modificación tarifaria propuesta.</w:t>
      </w:r>
    </w:p>
    <w:p w:rsidR="00435991" w:rsidRPr="00365D20" w:rsidRDefault="00435991" w:rsidP="00435991">
      <w:pPr>
        <w:pStyle w:val="Prrafodelista"/>
        <w:ind w:left="0"/>
        <w:jc w:val="both"/>
        <w:rPr>
          <w:rFonts w:ascii="Futura Bk BT" w:eastAsia="DejaVu Sans" w:hAnsi="Futura Bk BT"/>
          <w:i/>
          <w:kern w:val="3"/>
          <w:sz w:val="22"/>
          <w:szCs w:val="22"/>
          <w:lang w:val="es-ES" w:eastAsia="zh-CN" w:bidi="hi-IN"/>
        </w:rPr>
      </w:pPr>
    </w:p>
    <w:p w:rsidR="00435991" w:rsidRPr="00365D20" w:rsidRDefault="00435991" w:rsidP="00435991">
      <w:pPr>
        <w:pStyle w:val="Prrafodelista"/>
        <w:ind w:left="0"/>
        <w:jc w:val="both"/>
        <w:rPr>
          <w:rFonts w:ascii="Futura Bk BT" w:eastAsia="DejaVu Sans" w:hAnsi="Futura Bk BT"/>
          <w:i/>
          <w:kern w:val="3"/>
          <w:sz w:val="22"/>
          <w:szCs w:val="22"/>
          <w:lang w:val="es-ES" w:eastAsia="zh-CN" w:bidi="hi-IN"/>
        </w:rPr>
      </w:pPr>
      <w:r w:rsidRPr="00365D20">
        <w:rPr>
          <w:rFonts w:ascii="Futura Bk BT" w:eastAsia="DejaVu Sans" w:hAnsi="Futura Bk BT"/>
          <w:i/>
          <w:kern w:val="3"/>
          <w:sz w:val="22"/>
          <w:szCs w:val="22"/>
          <w:lang w:val="es-ES" w:eastAsia="zh-CN" w:bidi="hi-IN"/>
        </w:rPr>
        <w:t>Tarifas diferenciales de las Estaciones Iracá y Ocoa</w:t>
      </w:r>
    </w:p>
    <w:p w:rsidR="00435991" w:rsidRPr="00365D20" w:rsidRDefault="00435991" w:rsidP="00435991">
      <w:pPr>
        <w:jc w:val="both"/>
        <w:rPr>
          <w:rFonts w:ascii="Futura Bk BT" w:eastAsia="DejaVu Sans" w:hAnsi="Futura Bk BT"/>
          <w:i/>
          <w:kern w:val="3"/>
          <w:sz w:val="22"/>
          <w:szCs w:val="22"/>
          <w:lang w:val="es-ES" w:eastAsia="zh-CN" w:bidi="hi-IN"/>
        </w:rPr>
      </w:pPr>
    </w:p>
    <w:p w:rsidR="00435991" w:rsidRPr="00365D20" w:rsidRDefault="00435991" w:rsidP="00435991">
      <w:pPr>
        <w:jc w:val="both"/>
        <w:rPr>
          <w:rFonts w:ascii="Futura Bk BT" w:eastAsia="DejaVu Sans" w:hAnsi="Futura Bk BT"/>
          <w:i/>
          <w:kern w:val="3"/>
          <w:sz w:val="22"/>
          <w:szCs w:val="22"/>
          <w:lang w:val="es-ES" w:eastAsia="zh-CN" w:bidi="hi-IN"/>
        </w:rPr>
      </w:pPr>
      <w:r w:rsidRPr="00365D20">
        <w:rPr>
          <w:rFonts w:ascii="Futura Bk BT" w:eastAsia="DejaVu Sans" w:hAnsi="Futura Bk BT"/>
          <w:i/>
          <w:kern w:val="3"/>
          <w:sz w:val="22"/>
          <w:szCs w:val="22"/>
          <w:lang w:val="es-ES" w:eastAsia="zh-CN" w:bidi="hi-IN"/>
        </w:rPr>
        <w:t xml:space="preserve">Con respecto a las Tarifas diferenciales de las Estaciones Iracá y Ocoa, les informamos que revisando la documentación allegada en los derechos de petición remitidos al Ministerio de Transporte por las empresas Rápido Centauros y la Asociación de transportadores del Meta, el número de vehículos para los cuales se solicita el beneficio de tarifa diferencial, corresponde al mencionado por ellos (empresas transportadoras), no hay ningún estudio técnico, financiero y social que valide este tema, y se hace la claridad en el proyecto de Resolución que este era un beneficio del que disfrutaban estas empresas en la anterior Concesión y el cual no se incluyó en la resolución 1130 del 28 de Abril de 2015. </w:t>
      </w:r>
    </w:p>
    <w:p w:rsidR="00435991" w:rsidRPr="00365D20" w:rsidRDefault="00435991" w:rsidP="00435991">
      <w:pPr>
        <w:jc w:val="both"/>
        <w:rPr>
          <w:rFonts w:ascii="Futura Bk BT" w:eastAsia="DejaVu Sans" w:hAnsi="Futura Bk BT"/>
          <w:i/>
          <w:kern w:val="3"/>
          <w:sz w:val="22"/>
          <w:szCs w:val="22"/>
          <w:lang w:val="es-ES" w:eastAsia="zh-CN" w:bidi="hi-IN"/>
        </w:rPr>
      </w:pPr>
    </w:p>
    <w:p w:rsidR="00435991" w:rsidRPr="00365D20" w:rsidRDefault="00435991" w:rsidP="00435991">
      <w:pPr>
        <w:jc w:val="both"/>
        <w:rPr>
          <w:rFonts w:ascii="Futura Bk BT" w:eastAsia="DejaVu Sans" w:hAnsi="Futura Bk BT"/>
          <w:i/>
          <w:kern w:val="3"/>
          <w:sz w:val="22"/>
          <w:szCs w:val="22"/>
          <w:lang w:val="es-ES" w:eastAsia="zh-CN" w:bidi="hi-IN"/>
        </w:rPr>
      </w:pPr>
      <w:r w:rsidRPr="00365D20">
        <w:rPr>
          <w:rFonts w:ascii="Futura Bk BT" w:eastAsia="DejaVu Sans" w:hAnsi="Futura Bk BT"/>
          <w:i/>
          <w:kern w:val="3"/>
          <w:sz w:val="22"/>
          <w:szCs w:val="22"/>
          <w:lang w:val="es-ES" w:eastAsia="zh-CN" w:bidi="hi-IN"/>
        </w:rPr>
        <w:t xml:space="preserve">Aclarado lo anterior, la Interventoría verificó que los cupos asignados serian un total de 59 cupos para la categoría I servicio público Taxi, 18 cupos para la categoría II servicio público busetas y 19 cupos para la categoría I servicio público colectivos en lo correspondiente a la estación de peaje de Iraca. </w:t>
      </w:r>
    </w:p>
    <w:p w:rsidR="00435991" w:rsidRPr="00365D20" w:rsidRDefault="00435991" w:rsidP="00435991">
      <w:pPr>
        <w:jc w:val="both"/>
        <w:rPr>
          <w:rFonts w:ascii="Futura Bk BT" w:eastAsia="DejaVu Sans" w:hAnsi="Futura Bk BT"/>
          <w:i/>
          <w:kern w:val="3"/>
          <w:sz w:val="22"/>
          <w:szCs w:val="22"/>
          <w:lang w:val="es-ES" w:eastAsia="zh-CN" w:bidi="hi-IN"/>
        </w:rPr>
      </w:pPr>
      <w:r w:rsidRPr="00365D20">
        <w:rPr>
          <w:rFonts w:ascii="Futura Bk BT" w:eastAsia="DejaVu Sans" w:hAnsi="Futura Bk BT"/>
          <w:i/>
          <w:kern w:val="3"/>
          <w:sz w:val="22"/>
          <w:szCs w:val="22"/>
          <w:lang w:val="es-ES" w:eastAsia="zh-CN" w:bidi="hi-IN"/>
        </w:rPr>
        <w:t>Adicionalmente se deben incluir para la estación de Ocoa los 18 cupos para la categoría II servicio público busetas y 19 cupos para la categoría I Servicio Público colectivos aprobados en Iracá, porque estos vehículos se desplazan hacia Villavicencio y requieren el beneficio en ambas estaciones de peaje.</w:t>
      </w:r>
    </w:p>
    <w:p w:rsidR="00435991" w:rsidRPr="00365D20" w:rsidRDefault="00435991" w:rsidP="00435991">
      <w:pPr>
        <w:jc w:val="both"/>
        <w:rPr>
          <w:rFonts w:ascii="Futura Bk BT" w:eastAsia="DejaVu Sans" w:hAnsi="Futura Bk BT"/>
          <w:i/>
          <w:kern w:val="3"/>
          <w:sz w:val="22"/>
          <w:szCs w:val="22"/>
          <w:lang w:val="es-ES" w:eastAsia="zh-CN" w:bidi="hi-IN"/>
        </w:rPr>
      </w:pPr>
      <w:r w:rsidRPr="00365D20">
        <w:rPr>
          <w:rFonts w:ascii="Futura Bk BT" w:eastAsia="DejaVu Sans" w:hAnsi="Futura Bk BT"/>
          <w:i/>
          <w:kern w:val="3"/>
          <w:sz w:val="22"/>
          <w:szCs w:val="22"/>
          <w:lang w:val="es-ES" w:eastAsia="zh-CN" w:bidi="hi-IN"/>
        </w:rPr>
        <w:t>Por otro lado ahora no estamos de acuerdo con la inclusión de los 20 beneficiarios adicionales en la categoria I tipo taxi amarillo que se solicita incluir en el peaje Ocoa ya que de los 216 cupos disponibles para este tipo de vehículos solamente se han radicado 7 solicitudes y se han aprobado 4, razón por la cual no consideramos necesario dar más cupos si no se están utilizando. Solo se incluirían los ocho cupos para taxi  de 8 vehículos categoría I de servicio público colectivo que cubren la ruta Villavicencio – Acacias”.</w:t>
      </w:r>
    </w:p>
    <w:p w:rsidR="007A7626" w:rsidRPr="00365D20" w:rsidRDefault="007A7626" w:rsidP="00A30A0D">
      <w:pPr>
        <w:pStyle w:val="Standard"/>
        <w:autoSpaceDE w:val="0"/>
        <w:jc w:val="both"/>
        <w:rPr>
          <w:rFonts w:asciiTheme="minorHAnsi" w:eastAsia="DejaVu Sans" w:hAnsiTheme="minorHAnsi" w:cs="Times New Roman"/>
          <w:sz w:val="22"/>
          <w:szCs w:val="22"/>
          <w:lang w:bidi="hi-IN"/>
        </w:rPr>
      </w:pPr>
    </w:p>
    <w:p w:rsidR="007C547A" w:rsidRPr="00BF17FF" w:rsidRDefault="007A7626"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Que </w:t>
      </w:r>
      <w:r w:rsidR="00735B39" w:rsidRPr="00BF17FF">
        <w:rPr>
          <w:rFonts w:ascii="Futura Bk BT" w:eastAsia="DejaVu Sans" w:hAnsi="Futura Bk BT" w:cs="Times New Roman"/>
          <w:sz w:val="22"/>
          <w:szCs w:val="22"/>
          <w:lang w:bidi="hi-IN"/>
        </w:rPr>
        <w:t xml:space="preserve">de acuerdo con lo anterior, </w:t>
      </w:r>
      <w:r w:rsidR="00471D03" w:rsidRPr="00BF17FF">
        <w:rPr>
          <w:rFonts w:ascii="Futura Bk BT" w:eastAsia="DejaVu Sans" w:hAnsi="Futura Bk BT" w:cs="Times New Roman"/>
          <w:sz w:val="22"/>
          <w:szCs w:val="22"/>
          <w:lang w:bidi="hi-IN"/>
        </w:rPr>
        <w:t xml:space="preserve">es necesario incluir dentro de la modificación a la Resolución 1130 de abril de 2015 para la estructura tarifaria del peaje Iracá, una tarifa especial diferencial para </w:t>
      </w:r>
      <w:r w:rsidR="00D808D1" w:rsidRPr="00BF17FF">
        <w:rPr>
          <w:rFonts w:ascii="Futura Bk BT" w:eastAsia="DejaVu Sans" w:hAnsi="Futura Bk BT" w:cs="Times New Roman"/>
          <w:sz w:val="22"/>
          <w:szCs w:val="22"/>
          <w:lang w:bidi="hi-IN"/>
        </w:rPr>
        <w:t xml:space="preserve">cincuenta y nueve </w:t>
      </w:r>
      <w:r w:rsidR="00471D03" w:rsidRPr="00BF17FF">
        <w:rPr>
          <w:rFonts w:ascii="Futura Bk BT" w:eastAsia="DejaVu Sans" w:hAnsi="Futura Bk BT" w:cs="Times New Roman"/>
          <w:sz w:val="22"/>
          <w:szCs w:val="22"/>
          <w:lang w:bidi="hi-IN"/>
        </w:rPr>
        <w:t>(</w:t>
      </w:r>
      <w:r w:rsidR="00D808D1" w:rsidRPr="00BF17FF">
        <w:rPr>
          <w:rFonts w:ascii="Futura Bk BT" w:eastAsia="DejaVu Sans" w:hAnsi="Futura Bk BT" w:cs="Times New Roman"/>
          <w:sz w:val="22"/>
          <w:szCs w:val="22"/>
          <w:lang w:bidi="hi-IN"/>
        </w:rPr>
        <w:t>59</w:t>
      </w:r>
      <w:r w:rsidR="00471D03" w:rsidRPr="00BF17FF">
        <w:rPr>
          <w:rFonts w:ascii="Futura Bk BT" w:eastAsia="DejaVu Sans" w:hAnsi="Futura Bk BT" w:cs="Times New Roman"/>
          <w:sz w:val="22"/>
          <w:szCs w:val="22"/>
          <w:lang w:bidi="hi-IN"/>
        </w:rPr>
        <w:t>) vehículos categoría I de servicio público taxi</w:t>
      </w:r>
      <w:r w:rsidRPr="00BF17FF">
        <w:rPr>
          <w:rFonts w:ascii="Futura Bk BT" w:eastAsia="DejaVu Sans" w:hAnsi="Futura Bk BT" w:cs="Times New Roman"/>
          <w:sz w:val="22"/>
          <w:szCs w:val="22"/>
          <w:lang w:bidi="hi-IN"/>
        </w:rPr>
        <w:t xml:space="preserve">, así mismo </w:t>
      </w:r>
      <w:r w:rsidR="00471D03" w:rsidRPr="00BF17FF">
        <w:rPr>
          <w:rFonts w:ascii="Futura Bk BT" w:eastAsia="DejaVu Sans" w:hAnsi="Futura Bk BT" w:cs="Times New Roman"/>
          <w:sz w:val="22"/>
          <w:szCs w:val="22"/>
          <w:lang w:bidi="hi-IN"/>
        </w:rPr>
        <w:t>dentro de la estructura tarifaria del peaje Iracá</w:t>
      </w:r>
      <w:r w:rsidRPr="00BF17FF">
        <w:rPr>
          <w:rFonts w:ascii="Futura Bk BT" w:eastAsia="DejaVu Sans" w:hAnsi="Futura Bk BT" w:cs="Times New Roman"/>
          <w:sz w:val="22"/>
          <w:szCs w:val="22"/>
          <w:lang w:bidi="hi-IN"/>
        </w:rPr>
        <w:t xml:space="preserve"> y el Peaje Ocoa inclu</w:t>
      </w:r>
      <w:r w:rsidR="00735B39" w:rsidRPr="00BF17FF">
        <w:rPr>
          <w:rFonts w:ascii="Futura Bk BT" w:eastAsia="DejaVu Sans" w:hAnsi="Futura Bk BT" w:cs="Times New Roman"/>
          <w:sz w:val="22"/>
          <w:szCs w:val="22"/>
          <w:lang w:bidi="hi-IN"/>
        </w:rPr>
        <w:t>i</w:t>
      </w:r>
      <w:r w:rsidRPr="00BF17FF">
        <w:rPr>
          <w:rFonts w:ascii="Futura Bk BT" w:eastAsia="DejaVu Sans" w:hAnsi="Futura Bk BT" w:cs="Times New Roman"/>
          <w:sz w:val="22"/>
          <w:szCs w:val="22"/>
          <w:lang w:bidi="hi-IN"/>
        </w:rPr>
        <w:t>r</w:t>
      </w:r>
      <w:r w:rsidR="00471D03" w:rsidRPr="00BF17FF">
        <w:rPr>
          <w:rFonts w:ascii="Futura Bk BT" w:eastAsia="DejaVu Sans" w:hAnsi="Futura Bk BT" w:cs="Times New Roman"/>
          <w:sz w:val="22"/>
          <w:szCs w:val="22"/>
          <w:lang w:bidi="hi-IN"/>
        </w:rPr>
        <w:t xml:space="preserve"> una tarifa especial diferencial para </w:t>
      </w:r>
      <w:r w:rsidR="007C547A" w:rsidRPr="00BF17FF">
        <w:rPr>
          <w:rFonts w:ascii="Futura Bk BT" w:eastAsia="DejaVu Sans" w:hAnsi="Futura Bk BT" w:cs="Times New Roman"/>
          <w:sz w:val="22"/>
          <w:szCs w:val="22"/>
          <w:lang w:bidi="hi-IN"/>
        </w:rPr>
        <w:t>diecinueve (19) vehículos categoría I de servicio público colectivo y dieciocho (18) vehículos de servicio público “buseta” de la categoría II.</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CE448F" w:rsidRPr="00BF17FF" w:rsidRDefault="00CE448F" w:rsidP="00CE448F">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además de los 216 beneficios previstos en el peaje de Ocoa para la categoría I tipo taxi amarillo descritos en el Artículo Quinto de la Resolución 1130 de 2015 se deben asignar ocho (8) beneficios adicionales para servicio público colectivo categoría I.  También se deberán incluir los diecinueve (19) beneficios para la categoría I tipo colectivo y los dieciocho (18) beneficios para la categoría II tipo buseta previstos en el considerando anterior para la estación de peaje de Iracá.  Estos beneficios adicionales no implicarán que se superen los 5759 relacionados en el artículo 2° de la Resolución número 3126 del 17 de octubre de 2014.</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Que </w:t>
      </w:r>
      <w:r w:rsidR="00146F06" w:rsidRPr="00BF17FF">
        <w:rPr>
          <w:rFonts w:ascii="Futura Bk BT" w:eastAsia="DejaVu Sans" w:hAnsi="Futura Bk BT" w:cs="Times New Roman"/>
          <w:sz w:val="22"/>
          <w:szCs w:val="22"/>
          <w:lang w:bidi="hi-IN"/>
        </w:rPr>
        <w:t>conforme</w:t>
      </w:r>
      <w:r w:rsidRPr="00BF17FF">
        <w:rPr>
          <w:rFonts w:ascii="Futura Bk BT" w:eastAsia="DejaVu Sans" w:hAnsi="Futura Bk BT" w:cs="Times New Roman"/>
          <w:sz w:val="22"/>
          <w:szCs w:val="22"/>
          <w:lang w:bidi="hi-IN"/>
        </w:rPr>
        <w:t xml:space="preserve"> con la Resolución 1130 del 28 de abril de 2015, una vez suscrita el Acta de Inicio del Contrato de Concesión No. 004 del 5 de mayo de 2015, la Concesión Vial de los Llanos SAS actualizó la estructura tarifaria en las estaciones de peaje sobre las cuales tiene injerencia, así: Estación de peaje Iracá y Ocoa en el corredor Villavicencio – Granada, Estación de peaje la Libertad en el corredor Villavicencio – Puerto López y Estaciones de peaje de CaseTabla y Yucao en el corredor Puerto López – Puerto Gaitán.</w:t>
      </w:r>
    </w:p>
    <w:p w:rsidR="003B4DE7" w:rsidRPr="00BF17FF" w:rsidRDefault="003B4DE7" w:rsidP="007C547A">
      <w:pPr>
        <w:pStyle w:val="Standard"/>
        <w:autoSpaceDE w:val="0"/>
        <w:jc w:val="both"/>
        <w:rPr>
          <w:rFonts w:ascii="Futura Bk BT" w:eastAsia="DejaVu Sans" w:hAnsi="Futura Bk BT" w:cs="Times New Roman"/>
          <w:sz w:val="22"/>
          <w:szCs w:val="22"/>
          <w:lang w:bidi="hi-IN"/>
        </w:rPr>
      </w:pPr>
    </w:p>
    <w:p w:rsidR="006A36FD" w:rsidRPr="00435991" w:rsidRDefault="006A36FD" w:rsidP="007C547A">
      <w:pPr>
        <w:pStyle w:val="Standard"/>
        <w:autoSpaceDE w:val="0"/>
        <w:jc w:val="both"/>
        <w:rPr>
          <w:rFonts w:ascii="Futura Bk BT" w:eastAsia="DejaVu Sans" w:hAnsi="Futura Bk BT" w:cs="Times New Roman"/>
          <w:sz w:val="22"/>
          <w:szCs w:val="22"/>
          <w:lang w:bidi="hi-IN"/>
        </w:rPr>
      </w:pPr>
      <w:r w:rsidRPr="00435991">
        <w:rPr>
          <w:rFonts w:ascii="Futura Bk BT" w:eastAsia="DejaVu Sans" w:hAnsi="Futura Bk BT" w:cs="Times New Roman"/>
          <w:sz w:val="22"/>
          <w:szCs w:val="22"/>
          <w:lang w:bidi="hi-IN"/>
        </w:rPr>
        <w:t xml:space="preserve">Que resultado de la </w:t>
      </w:r>
      <w:r w:rsidR="00435991" w:rsidRPr="00435991">
        <w:rPr>
          <w:rFonts w:ascii="Futura Bk BT" w:eastAsia="DejaVu Sans" w:hAnsi="Futura Bk BT" w:cs="Times New Roman"/>
          <w:sz w:val="22"/>
          <w:szCs w:val="22"/>
          <w:lang w:bidi="hi-IN"/>
        </w:rPr>
        <w:t>aplicaci</w:t>
      </w:r>
      <w:r w:rsidR="00435991" w:rsidRPr="00435991">
        <w:rPr>
          <w:rFonts w:ascii="Futura Bk BT" w:eastAsia="DejaVu Sans" w:hAnsi="Futura Bk BT" w:cs="Times New Roman" w:hint="cs"/>
          <w:sz w:val="22"/>
          <w:szCs w:val="22"/>
          <w:lang w:bidi="hi-IN"/>
        </w:rPr>
        <w:t>ó</w:t>
      </w:r>
      <w:r w:rsidR="00435991" w:rsidRPr="00435991">
        <w:rPr>
          <w:rFonts w:ascii="Futura Bk BT" w:eastAsia="DejaVu Sans" w:hAnsi="Futura Bk BT" w:cs="Times New Roman"/>
          <w:sz w:val="22"/>
          <w:szCs w:val="22"/>
          <w:lang w:bidi="hi-IN"/>
        </w:rPr>
        <w:t>n</w:t>
      </w:r>
      <w:r w:rsidR="00212876" w:rsidRPr="00365D20">
        <w:rPr>
          <w:rFonts w:ascii="Futura Bk BT" w:eastAsia="DejaVu Sans" w:hAnsi="Futura Bk BT" w:cs="Times New Roman" w:hint="eastAsia"/>
          <w:sz w:val="22"/>
          <w:szCs w:val="22"/>
          <w:lang w:bidi="hi-IN"/>
        </w:rPr>
        <w:t>ó</w:t>
      </w:r>
      <w:r w:rsidRPr="00435991">
        <w:rPr>
          <w:rFonts w:ascii="Futura Bk BT" w:eastAsia="DejaVu Sans" w:hAnsi="Futura Bk BT" w:cs="Times New Roman"/>
          <w:sz w:val="22"/>
          <w:szCs w:val="22"/>
          <w:lang w:bidi="hi-IN"/>
        </w:rPr>
        <w:t>n de la Resoluci</w:t>
      </w:r>
      <w:r w:rsidRPr="00435991">
        <w:rPr>
          <w:rFonts w:ascii="Futura Bk BT" w:eastAsia="DejaVu Sans" w:hAnsi="Futura Bk BT" w:cs="Times New Roman" w:hint="cs"/>
          <w:sz w:val="22"/>
          <w:szCs w:val="22"/>
          <w:lang w:bidi="hi-IN"/>
        </w:rPr>
        <w:t>ó</w:t>
      </w:r>
      <w:r w:rsidRPr="00435991">
        <w:rPr>
          <w:rFonts w:ascii="Futura Bk BT" w:eastAsia="DejaVu Sans" w:hAnsi="Futura Bk BT" w:cs="Times New Roman"/>
          <w:sz w:val="22"/>
          <w:szCs w:val="22"/>
          <w:lang w:bidi="hi-IN"/>
        </w:rPr>
        <w:t>n 1130 del 28 de abril de 2015, se present</w:t>
      </w:r>
      <w:r w:rsidRPr="00435991">
        <w:rPr>
          <w:rFonts w:ascii="Futura Bk BT" w:eastAsia="DejaVu Sans" w:hAnsi="Futura Bk BT" w:cs="Times New Roman" w:hint="cs"/>
          <w:sz w:val="22"/>
          <w:szCs w:val="22"/>
          <w:lang w:bidi="hi-IN"/>
        </w:rPr>
        <w:t>ó</w:t>
      </w:r>
      <w:r w:rsidRPr="00435991">
        <w:rPr>
          <w:rFonts w:ascii="Futura Bk BT" w:eastAsia="DejaVu Sans" w:hAnsi="Futura Bk BT" w:cs="Times New Roman"/>
          <w:sz w:val="22"/>
          <w:szCs w:val="22"/>
          <w:lang w:bidi="hi-IN"/>
        </w:rPr>
        <w:t xml:space="preserve"> inconformidad de los habitantes de Puerto L</w:t>
      </w:r>
      <w:r w:rsidRPr="00435991">
        <w:rPr>
          <w:rFonts w:ascii="Futura Bk BT" w:eastAsia="DejaVu Sans" w:hAnsi="Futura Bk BT" w:cs="Times New Roman" w:hint="cs"/>
          <w:sz w:val="22"/>
          <w:szCs w:val="22"/>
          <w:lang w:bidi="hi-IN"/>
        </w:rPr>
        <w:t>ó</w:t>
      </w:r>
      <w:r w:rsidRPr="00435991">
        <w:rPr>
          <w:rFonts w:ascii="Futura Bk BT" w:eastAsia="DejaVu Sans" w:hAnsi="Futura Bk BT" w:cs="Times New Roman"/>
          <w:sz w:val="22"/>
          <w:szCs w:val="22"/>
          <w:lang w:bidi="hi-IN"/>
        </w:rPr>
        <w:t>pez y Puerto Gait</w:t>
      </w:r>
      <w:r w:rsidRPr="00435991">
        <w:rPr>
          <w:rFonts w:ascii="Futura Bk BT" w:eastAsia="DejaVu Sans" w:hAnsi="Futura Bk BT" w:cs="Times New Roman" w:hint="cs"/>
          <w:sz w:val="22"/>
          <w:szCs w:val="22"/>
          <w:lang w:bidi="hi-IN"/>
        </w:rPr>
        <w:t>á</w:t>
      </w:r>
      <w:r w:rsidRPr="00435991">
        <w:rPr>
          <w:rFonts w:ascii="Futura Bk BT" w:eastAsia="DejaVu Sans" w:hAnsi="Futura Bk BT" w:cs="Times New Roman"/>
          <w:sz w:val="22"/>
          <w:szCs w:val="22"/>
          <w:lang w:bidi="hi-IN"/>
        </w:rPr>
        <w:t>n, generando que se mantuvieran las tarifas anteriores para las estaciones de peaje de CaseTabla y Yucao</w:t>
      </w:r>
      <w:r w:rsidR="003B4DE7" w:rsidRPr="00435991">
        <w:rPr>
          <w:rFonts w:ascii="Futura Bk BT" w:eastAsia="DejaVu Sans" w:hAnsi="Futura Bk BT" w:cs="Times New Roman"/>
          <w:sz w:val="22"/>
          <w:szCs w:val="22"/>
          <w:lang w:bidi="hi-IN"/>
        </w:rPr>
        <w:t>.</w:t>
      </w:r>
    </w:p>
    <w:p w:rsidR="003B4DE7" w:rsidRPr="00BF17FF" w:rsidRDefault="003B4DE7" w:rsidP="007C547A">
      <w:pPr>
        <w:pStyle w:val="Standard"/>
        <w:autoSpaceDE w:val="0"/>
        <w:jc w:val="both"/>
        <w:rPr>
          <w:rFonts w:ascii="Futura Bk BT" w:eastAsia="DejaVu Sans" w:hAnsi="Futura Bk BT" w:cs="Times New Roman"/>
          <w:sz w:val="22"/>
          <w:szCs w:val="22"/>
          <w:lang w:bidi="hi-IN"/>
        </w:rPr>
      </w:pPr>
    </w:p>
    <w:p w:rsidR="003B4DE7" w:rsidRPr="00BF17FF" w:rsidRDefault="003B4DE7" w:rsidP="007C547A">
      <w:pPr>
        <w:pStyle w:val="Standard"/>
        <w:autoSpaceDE w:val="0"/>
        <w:jc w:val="both"/>
        <w:rPr>
          <w:rFonts w:ascii="Futura Bk BT" w:eastAsia="DejaVu Sans" w:hAnsi="Futura Bk BT" w:cs="Times New Roman"/>
          <w:sz w:val="22"/>
          <w:szCs w:val="22"/>
          <w:lang w:bidi="hi-IN"/>
        </w:rPr>
      </w:pPr>
      <w:r w:rsidRPr="00365D20">
        <w:rPr>
          <w:rFonts w:ascii="Futura Bk BT" w:eastAsia="DejaVu Sans" w:hAnsi="Futura Bk BT" w:cs="Times New Roman"/>
          <w:sz w:val="22"/>
          <w:szCs w:val="22"/>
          <w:lang w:bidi="hi-IN"/>
        </w:rPr>
        <w:t xml:space="preserve">Que </w:t>
      </w:r>
      <w:r w:rsidR="00212876" w:rsidRPr="00365D20">
        <w:rPr>
          <w:rFonts w:ascii="Futura Bk BT" w:eastAsia="DejaVu Sans" w:hAnsi="Futura Bk BT" w:cs="Times New Roman"/>
          <w:sz w:val="22"/>
          <w:szCs w:val="22"/>
          <w:lang w:bidi="hi-IN"/>
        </w:rPr>
        <w:t xml:space="preserve">la Concesión </w:t>
      </w:r>
      <w:r w:rsidRPr="00365D20">
        <w:rPr>
          <w:rFonts w:ascii="Futura Bk BT" w:eastAsia="DejaVu Sans" w:hAnsi="Futura Bk BT" w:cs="Times New Roman"/>
          <w:sz w:val="22"/>
          <w:szCs w:val="22"/>
          <w:lang w:bidi="hi-IN"/>
        </w:rPr>
        <w:t>Vial de los Llanos luego de una nueva modelaci</w:t>
      </w:r>
      <w:r w:rsidRPr="00365D20">
        <w:rPr>
          <w:rFonts w:ascii="Futura Bk BT" w:eastAsia="DejaVu Sans" w:hAnsi="Futura Bk BT" w:cs="Times New Roman" w:hint="cs"/>
          <w:sz w:val="22"/>
          <w:szCs w:val="22"/>
          <w:lang w:bidi="hi-IN"/>
        </w:rPr>
        <w:t>ó</w:t>
      </w:r>
      <w:r w:rsidRPr="00365D20">
        <w:rPr>
          <w:rFonts w:ascii="Futura Bk BT" w:eastAsia="DejaVu Sans" w:hAnsi="Futura Bk BT" w:cs="Times New Roman"/>
          <w:sz w:val="22"/>
          <w:szCs w:val="22"/>
          <w:lang w:bidi="hi-IN"/>
        </w:rPr>
        <w:t>n financiera donde se analizaron diferentes alternativas, cuidando que se mantuvieran las variables acordadas en el modelo financiero del proyecto</w:t>
      </w:r>
      <w:r w:rsidR="00D01D9C" w:rsidRPr="00365D20">
        <w:rPr>
          <w:rFonts w:ascii="Futura Bk BT" w:eastAsia="DejaVu Sans" w:hAnsi="Futura Bk BT" w:cs="Times New Roman"/>
          <w:sz w:val="22"/>
          <w:szCs w:val="22"/>
          <w:lang w:bidi="hi-IN"/>
        </w:rPr>
        <w:t xml:space="preserve"> y la ecuaci</w:t>
      </w:r>
      <w:r w:rsidR="00D01D9C" w:rsidRPr="00365D20">
        <w:rPr>
          <w:rFonts w:ascii="Futura Bk BT" w:eastAsia="DejaVu Sans" w:hAnsi="Futura Bk BT" w:cs="Times New Roman" w:hint="cs"/>
          <w:sz w:val="22"/>
          <w:szCs w:val="22"/>
          <w:lang w:bidi="hi-IN"/>
        </w:rPr>
        <w:t>ó</w:t>
      </w:r>
      <w:r w:rsidR="00D01D9C" w:rsidRPr="00365D20">
        <w:rPr>
          <w:rFonts w:ascii="Futura Bk BT" w:eastAsia="DejaVu Sans" w:hAnsi="Futura Bk BT" w:cs="Times New Roman"/>
          <w:sz w:val="22"/>
          <w:szCs w:val="22"/>
          <w:lang w:bidi="hi-IN"/>
        </w:rPr>
        <w:t>n financiera del contrato,</w:t>
      </w:r>
      <w:r w:rsidRPr="00365D20">
        <w:rPr>
          <w:rFonts w:ascii="Futura Bk BT" w:eastAsia="DejaVu Sans" w:hAnsi="Futura Bk BT" w:cs="Times New Roman"/>
          <w:sz w:val="22"/>
          <w:szCs w:val="22"/>
          <w:lang w:bidi="hi-IN"/>
        </w:rPr>
        <w:t xml:space="preserve"> present</w:t>
      </w:r>
      <w:r w:rsidRPr="00365D20">
        <w:rPr>
          <w:rFonts w:ascii="Futura Bk BT" w:eastAsia="DejaVu Sans" w:hAnsi="Futura Bk BT" w:cs="Times New Roman" w:hint="cs"/>
          <w:sz w:val="22"/>
          <w:szCs w:val="22"/>
          <w:lang w:bidi="hi-IN"/>
        </w:rPr>
        <w:t>ó</w:t>
      </w:r>
      <w:r w:rsidRPr="00365D20">
        <w:rPr>
          <w:rFonts w:ascii="Futura Bk BT" w:eastAsia="DejaVu Sans" w:hAnsi="Futura Bk BT" w:cs="Times New Roman"/>
          <w:sz w:val="22"/>
          <w:szCs w:val="22"/>
          <w:lang w:bidi="hi-IN"/>
        </w:rPr>
        <w:t xml:space="preserve"> las nuevas tarifas a cobrar en los Peajes Yucao y Casetabla de los Municipios de Puerto L</w:t>
      </w:r>
      <w:r w:rsidRPr="00365D20">
        <w:rPr>
          <w:rFonts w:ascii="Futura Bk BT" w:eastAsia="DejaVu Sans" w:hAnsi="Futura Bk BT" w:cs="Times New Roman" w:hint="cs"/>
          <w:sz w:val="22"/>
          <w:szCs w:val="22"/>
          <w:lang w:bidi="hi-IN"/>
        </w:rPr>
        <w:t>ó</w:t>
      </w:r>
      <w:r w:rsidRPr="00365D20">
        <w:rPr>
          <w:rFonts w:ascii="Futura Bk BT" w:eastAsia="DejaVu Sans" w:hAnsi="Futura Bk BT" w:cs="Times New Roman"/>
          <w:sz w:val="22"/>
          <w:szCs w:val="22"/>
          <w:lang w:bidi="hi-IN"/>
        </w:rPr>
        <w:t>pez y Puerto Gait</w:t>
      </w:r>
      <w:r w:rsidRPr="00365D20">
        <w:rPr>
          <w:rFonts w:ascii="Futura Bk BT" w:eastAsia="DejaVu Sans" w:hAnsi="Futura Bk BT" w:cs="Times New Roman" w:hint="cs"/>
          <w:sz w:val="22"/>
          <w:szCs w:val="22"/>
          <w:lang w:bidi="hi-IN"/>
        </w:rPr>
        <w:t>á</w:t>
      </w:r>
      <w:r w:rsidRPr="00365D20">
        <w:rPr>
          <w:rFonts w:ascii="Futura Bk BT" w:eastAsia="DejaVu Sans" w:hAnsi="Futura Bk BT" w:cs="Times New Roman"/>
          <w:sz w:val="22"/>
          <w:szCs w:val="22"/>
          <w:lang w:bidi="hi-IN"/>
        </w:rPr>
        <w:t>n, por lo que la implementaci</w:t>
      </w:r>
      <w:r w:rsidRPr="00365D20">
        <w:rPr>
          <w:rFonts w:ascii="Futura Bk BT" w:eastAsia="DejaVu Sans" w:hAnsi="Futura Bk BT" w:cs="Times New Roman" w:hint="cs"/>
          <w:sz w:val="22"/>
          <w:szCs w:val="22"/>
          <w:lang w:bidi="hi-IN"/>
        </w:rPr>
        <w:t>ó</w:t>
      </w:r>
      <w:r w:rsidRPr="00365D20">
        <w:rPr>
          <w:rFonts w:ascii="Futura Bk BT" w:eastAsia="DejaVu Sans" w:hAnsi="Futura Bk BT" w:cs="Times New Roman"/>
          <w:sz w:val="22"/>
          <w:szCs w:val="22"/>
          <w:lang w:bidi="hi-IN"/>
        </w:rPr>
        <w:t>n de unas nuevas tarifas en el Contrato de Concesi</w:t>
      </w:r>
      <w:r w:rsidRPr="00365D20">
        <w:rPr>
          <w:rFonts w:ascii="Futura Bk BT" w:eastAsia="DejaVu Sans" w:hAnsi="Futura Bk BT" w:cs="Times New Roman" w:hint="cs"/>
          <w:sz w:val="22"/>
          <w:szCs w:val="22"/>
          <w:lang w:bidi="hi-IN"/>
        </w:rPr>
        <w:t>ó</w:t>
      </w:r>
      <w:r w:rsidRPr="00365D20">
        <w:rPr>
          <w:rFonts w:ascii="Futura Bk BT" w:eastAsia="DejaVu Sans" w:hAnsi="Futura Bk BT" w:cs="Times New Roman"/>
          <w:sz w:val="22"/>
          <w:szCs w:val="22"/>
          <w:lang w:bidi="hi-IN"/>
        </w:rPr>
        <w:t>n, no representa desequilibrio financiero para el Contrato.</w:t>
      </w:r>
    </w:p>
    <w:p w:rsidR="006A36FD" w:rsidRPr="00BF17FF" w:rsidRDefault="006A36FD" w:rsidP="007C547A">
      <w:pPr>
        <w:pStyle w:val="Standard"/>
        <w:autoSpaceDE w:val="0"/>
        <w:jc w:val="both"/>
        <w:rPr>
          <w:rFonts w:ascii="Futura Bk BT" w:eastAsia="DejaVu Sans" w:hAnsi="Futura Bk BT" w:cs="Times New Roman"/>
          <w:sz w:val="22"/>
          <w:szCs w:val="22"/>
          <w:lang w:bidi="hi-IN"/>
        </w:rPr>
      </w:pPr>
    </w:p>
    <w:p w:rsidR="007C547A" w:rsidRPr="00BF17FF" w:rsidRDefault="006A36FD"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la Agencia Nacional de Infraestructura</w:t>
      </w:r>
      <w:r w:rsidR="008730E3">
        <w:rPr>
          <w:rFonts w:ascii="Futura Bk BT" w:eastAsia="DejaVu Sans" w:hAnsi="Futura Bk BT" w:cs="Times New Roman"/>
          <w:sz w:val="22"/>
          <w:szCs w:val="22"/>
          <w:lang w:bidi="hi-IN"/>
        </w:rPr>
        <w:t xml:space="preserve"> </w:t>
      </w:r>
      <w:r w:rsidR="00CB3D52">
        <w:rPr>
          <w:rFonts w:ascii="Futura Bk BT" w:eastAsia="DejaVu Sans" w:hAnsi="Futura Bk BT" w:cs="Times New Roman"/>
          <w:sz w:val="22"/>
          <w:szCs w:val="22"/>
          <w:lang w:bidi="hi-IN"/>
        </w:rPr>
        <w:t>acompaño a</w:t>
      </w:r>
      <w:r w:rsidR="00365D20">
        <w:rPr>
          <w:rFonts w:ascii="Futura Bk BT" w:eastAsia="DejaVu Sans" w:hAnsi="Futura Bk BT" w:cs="Times New Roman"/>
          <w:sz w:val="22"/>
          <w:szCs w:val="22"/>
          <w:lang w:bidi="hi-IN"/>
        </w:rPr>
        <w:t xml:space="preserve"> </w:t>
      </w:r>
      <w:r w:rsidRPr="00BF17FF">
        <w:rPr>
          <w:rFonts w:ascii="Futura Bk BT" w:eastAsia="DejaVu Sans" w:hAnsi="Futura Bk BT" w:cs="Times New Roman"/>
          <w:sz w:val="22"/>
          <w:szCs w:val="22"/>
          <w:lang w:bidi="hi-IN"/>
        </w:rPr>
        <w:t>la Conces</w:t>
      </w:r>
      <w:r w:rsidR="00435991">
        <w:rPr>
          <w:rFonts w:ascii="Futura Bk BT" w:hAnsi="Futura Bk BT" w:cs="Times New Roman" w:hint="eastAsia"/>
          <w:sz w:val="22"/>
          <w:szCs w:val="22"/>
          <w:lang w:bidi="hi-IN"/>
        </w:rPr>
        <w:t>i</w:t>
      </w:r>
      <w:r w:rsidR="00435991">
        <w:rPr>
          <w:rFonts w:ascii="Futura Bk BT" w:hAnsi="Futura Bk BT" w:cs="Times New Roman" w:hint="eastAsia"/>
          <w:sz w:val="22"/>
          <w:szCs w:val="22"/>
          <w:lang w:bidi="hi-IN"/>
        </w:rPr>
        <w:t>ó</w:t>
      </w:r>
      <w:r w:rsidRPr="00BF17FF">
        <w:rPr>
          <w:rFonts w:ascii="Futura Bk BT" w:eastAsia="DejaVu Sans" w:hAnsi="Futura Bk BT" w:cs="Times New Roman"/>
          <w:sz w:val="22"/>
          <w:szCs w:val="22"/>
          <w:lang w:bidi="hi-IN"/>
        </w:rPr>
        <w:t>n Vial de los Llanos S</w:t>
      </w:r>
      <w:r w:rsidR="00D01D9C" w:rsidRPr="00BF17FF">
        <w:rPr>
          <w:rFonts w:ascii="Futura Bk BT" w:eastAsia="DejaVu Sans" w:hAnsi="Futura Bk BT" w:cs="Times New Roman"/>
          <w:sz w:val="22"/>
          <w:szCs w:val="22"/>
          <w:lang w:bidi="hi-IN"/>
        </w:rPr>
        <w:t>.</w:t>
      </w:r>
      <w:r w:rsidRPr="00BF17FF">
        <w:rPr>
          <w:rFonts w:ascii="Futura Bk BT" w:eastAsia="DejaVu Sans" w:hAnsi="Futura Bk BT" w:cs="Times New Roman"/>
          <w:sz w:val="22"/>
          <w:szCs w:val="22"/>
          <w:lang w:bidi="hi-IN"/>
        </w:rPr>
        <w:t>A</w:t>
      </w:r>
      <w:r w:rsidR="00D01D9C" w:rsidRPr="00BF17FF">
        <w:rPr>
          <w:rFonts w:ascii="Futura Bk BT" w:eastAsia="DejaVu Sans" w:hAnsi="Futura Bk BT" w:cs="Times New Roman"/>
          <w:sz w:val="22"/>
          <w:szCs w:val="22"/>
          <w:lang w:bidi="hi-IN"/>
        </w:rPr>
        <w:t>.</w:t>
      </w:r>
      <w:r w:rsidRPr="00BF17FF">
        <w:rPr>
          <w:rFonts w:ascii="Futura Bk BT" w:eastAsia="DejaVu Sans" w:hAnsi="Futura Bk BT" w:cs="Times New Roman"/>
          <w:sz w:val="22"/>
          <w:szCs w:val="22"/>
          <w:lang w:bidi="hi-IN"/>
        </w:rPr>
        <w:t>S</w:t>
      </w:r>
      <w:r w:rsidR="00D01D9C" w:rsidRPr="00BF17FF">
        <w:rPr>
          <w:rFonts w:ascii="Futura Bk BT" w:eastAsia="DejaVu Sans" w:hAnsi="Futura Bk BT" w:cs="Times New Roman"/>
          <w:sz w:val="22"/>
          <w:szCs w:val="22"/>
          <w:lang w:bidi="hi-IN"/>
        </w:rPr>
        <w:t>.</w:t>
      </w:r>
      <w:r w:rsidRPr="00BF17FF">
        <w:rPr>
          <w:rFonts w:ascii="Futura Bk BT" w:eastAsia="DejaVu Sans" w:hAnsi="Futura Bk BT" w:cs="Times New Roman"/>
          <w:sz w:val="22"/>
          <w:szCs w:val="22"/>
          <w:lang w:bidi="hi-IN"/>
        </w:rPr>
        <w:t xml:space="preserve">, </w:t>
      </w:r>
      <w:r w:rsidR="00435991">
        <w:rPr>
          <w:rFonts w:ascii="Futura Bk BT" w:eastAsia="DejaVu Sans" w:hAnsi="Futura Bk BT" w:cs="Times New Roman"/>
          <w:sz w:val="22"/>
          <w:szCs w:val="22"/>
          <w:lang w:bidi="hi-IN"/>
        </w:rPr>
        <w:t>en</w:t>
      </w:r>
      <w:r w:rsidRPr="00BF17FF">
        <w:rPr>
          <w:rFonts w:ascii="Futura Bk BT" w:eastAsia="DejaVu Sans" w:hAnsi="Futura Bk BT" w:cs="Times New Roman"/>
          <w:sz w:val="22"/>
          <w:szCs w:val="22"/>
          <w:lang w:bidi="hi-IN"/>
        </w:rPr>
        <w:t xml:space="preserve"> </w:t>
      </w:r>
      <w:r w:rsidR="007C547A" w:rsidRPr="00BF17FF">
        <w:rPr>
          <w:rFonts w:ascii="Futura Bk BT" w:eastAsia="DejaVu Sans" w:hAnsi="Futura Bk BT" w:cs="Times New Roman"/>
          <w:sz w:val="22"/>
          <w:szCs w:val="22"/>
          <w:lang w:bidi="hi-IN"/>
        </w:rPr>
        <w:t xml:space="preserve">varias mesas de trabajo con las autoridades municipales, dirigentes regionales, delegados de las comunidades y empresas de transporte </w:t>
      </w:r>
      <w:r w:rsidR="007C547A" w:rsidRPr="00BF17FF">
        <w:rPr>
          <w:rFonts w:ascii="Futura Bk BT" w:eastAsia="DejaVu Sans" w:hAnsi="Futura Bk BT" w:cs="Times New Roman"/>
          <w:sz w:val="22"/>
          <w:szCs w:val="22"/>
          <w:lang w:bidi="hi-IN"/>
        </w:rPr>
        <w:commentReference w:id="0"/>
      </w:r>
      <w:r w:rsidR="007C547A" w:rsidRPr="00BF17FF">
        <w:rPr>
          <w:rFonts w:ascii="Futura Bk BT" w:eastAsia="DejaVu Sans" w:hAnsi="Futura Bk BT" w:cs="Times New Roman"/>
          <w:sz w:val="22"/>
          <w:szCs w:val="22"/>
          <w:lang w:bidi="hi-IN"/>
        </w:rPr>
        <w:t xml:space="preserve">de Puerto López y Puerto Gaitán con el fin de lograr un acuerdo que permitiera actualizar tanto la categorización de estas estaciones de peaje como el valor de la tarifa.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D01D9C"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Que </w:t>
      </w:r>
      <w:r w:rsidR="003B4DE7" w:rsidRPr="00BF17FF">
        <w:rPr>
          <w:rFonts w:ascii="Futura Bk BT" w:eastAsia="DejaVu Sans" w:hAnsi="Futura Bk BT" w:cs="Times New Roman"/>
          <w:sz w:val="22"/>
          <w:szCs w:val="22"/>
          <w:lang w:bidi="hi-IN"/>
        </w:rPr>
        <w:t xml:space="preserve">como resultado de esas mesas de trabajo, </w:t>
      </w:r>
      <w:r w:rsidRPr="00BF17FF">
        <w:rPr>
          <w:rFonts w:ascii="Futura Bk BT" w:eastAsia="DejaVu Sans" w:hAnsi="Futura Bk BT" w:cs="Times New Roman"/>
          <w:sz w:val="22"/>
          <w:szCs w:val="22"/>
          <w:lang w:bidi="hi-IN"/>
        </w:rPr>
        <w:t>para las estaciones de peaje de Casetabla y Yucao a cargo del INVIAS</w:t>
      </w:r>
      <w:r w:rsidR="00F36491" w:rsidRPr="00BF17FF">
        <w:rPr>
          <w:rFonts w:ascii="Futura Bk BT" w:eastAsia="DejaVu Sans" w:hAnsi="Futura Bk BT" w:cs="Times New Roman"/>
          <w:sz w:val="22"/>
          <w:szCs w:val="22"/>
          <w:lang w:bidi="hi-IN"/>
        </w:rPr>
        <w:t>,</w:t>
      </w:r>
      <w:r w:rsidRPr="00BF17FF">
        <w:rPr>
          <w:rFonts w:ascii="Futura Bk BT" w:eastAsia="DejaVu Sans" w:hAnsi="Futura Bk BT" w:cs="Times New Roman"/>
          <w:sz w:val="22"/>
          <w:szCs w:val="22"/>
          <w:lang w:bidi="hi-IN"/>
        </w:rPr>
        <w:t xml:space="preserve"> </w:t>
      </w:r>
      <w:r w:rsidR="00F36491" w:rsidRPr="00BF17FF">
        <w:rPr>
          <w:rFonts w:ascii="Futura Bk BT" w:eastAsia="DejaVu Sans" w:hAnsi="Futura Bk BT" w:cs="Times New Roman"/>
          <w:sz w:val="22"/>
          <w:szCs w:val="22"/>
          <w:lang w:bidi="hi-IN"/>
        </w:rPr>
        <w:t xml:space="preserve">se acordó con la comunidad </w:t>
      </w:r>
      <w:r w:rsidRPr="00BF17FF">
        <w:rPr>
          <w:rFonts w:ascii="Futura Bk BT" w:eastAsia="DejaVu Sans" w:hAnsi="Futura Bk BT" w:cs="Times New Roman"/>
          <w:sz w:val="22"/>
          <w:szCs w:val="22"/>
          <w:lang w:bidi="hi-IN"/>
        </w:rPr>
        <w:t>el cambio de la estructura de categorías pasando de cinco (5) a siete (7) categorías</w:t>
      </w:r>
      <w:r w:rsidR="00FB57A5" w:rsidRPr="00BF17FF">
        <w:rPr>
          <w:rFonts w:ascii="Futura Bk BT" w:eastAsia="DejaVu Sans" w:hAnsi="Futura Bk BT" w:cs="Times New Roman"/>
          <w:sz w:val="22"/>
          <w:szCs w:val="22"/>
          <w:lang w:bidi="hi-IN"/>
        </w:rPr>
        <w:t xml:space="preserve"> y las tarifas de cada una de las mismas</w:t>
      </w:r>
      <w:r w:rsidRPr="00BF17FF">
        <w:rPr>
          <w:rFonts w:ascii="Futura Bk BT" w:eastAsia="DejaVu Sans" w:hAnsi="Futura Bk BT" w:cs="Times New Roman"/>
          <w:sz w:val="22"/>
          <w:szCs w:val="22"/>
          <w:lang w:bidi="hi-IN"/>
        </w:rPr>
        <w:t>, sin embargo se incluyen, para estas dos estaciones de peaje</w:t>
      </w:r>
      <w:r w:rsidR="00655F54" w:rsidRPr="00BF17FF">
        <w:rPr>
          <w:rFonts w:ascii="Futura Bk BT" w:eastAsia="DejaVu Sans" w:hAnsi="Futura Bk BT" w:cs="Times New Roman"/>
          <w:sz w:val="22"/>
          <w:szCs w:val="22"/>
          <w:lang w:bidi="hi-IN"/>
        </w:rPr>
        <w:t xml:space="preserve"> CaseTabla y Yucao,</w:t>
      </w:r>
      <w:r w:rsidRPr="00BF17FF">
        <w:rPr>
          <w:rFonts w:ascii="Futura Bk BT" w:eastAsia="DejaVu Sans" w:hAnsi="Futura Bk BT" w:cs="Times New Roman"/>
          <w:sz w:val="22"/>
          <w:szCs w:val="22"/>
          <w:lang w:bidi="hi-IN"/>
        </w:rPr>
        <w:t xml:space="preserve"> tarifas diferenciales para todas </w:t>
      </w:r>
      <w:r w:rsidRPr="00BF17FF">
        <w:rPr>
          <w:rFonts w:ascii="Futura Bk BT" w:eastAsia="DejaVu Sans" w:hAnsi="Futura Bk BT" w:cs="Times New Roman"/>
          <w:sz w:val="22"/>
          <w:szCs w:val="22"/>
          <w:lang w:bidi="hi-IN"/>
        </w:rPr>
        <w:commentReference w:id="1"/>
      </w:r>
      <w:r w:rsidRPr="00BF17FF">
        <w:rPr>
          <w:rFonts w:ascii="Futura Bk BT" w:eastAsia="DejaVu Sans" w:hAnsi="Futura Bk BT" w:cs="Times New Roman"/>
          <w:sz w:val="22"/>
          <w:szCs w:val="22"/>
          <w:lang w:bidi="hi-IN"/>
        </w:rPr>
        <w:t xml:space="preserve">y cada una de las categorías, siendo los beneficiarios de estas los habitantes de Puerto López y Puerto Gaitán. </w:t>
      </w:r>
    </w:p>
    <w:p w:rsidR="00D01D9C" w:rsidRPr="00BF17FF" w:rsidRDefault="00D01D9C" w:rsidP="007C547A">
      <w:pPr>
        <w:pStyle w:val="Standard"/>
        <w:autoSpaceDE w:val="0"/>
        <w:jc w:val="both"/>
        <w:rPr>
          <w:rFonts w:ascii="Futura Bk BT" w:eastAsia="DejaVu Sans" w:hAnsi="Futura Bk BT" w:cs="Times New Roman"/>
          <w:sz w:val="22"/>
          <w:szCs w:val="22"/>
          <w:lang w:bidi="hi-IN"/>
        </w:rPr>
      </w:pPr>
    </w:p>
    <w:p w:rsidR="007C547A" w:rsidRPr="00BF17FF" w:rsidRDefault="00D01D9C"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el día 11 de noviembre de 2015 se realizó socialización de la nueva propuesta de tarifas para los Peajes Yucao y Casetabla</w:t>
      </w:r>
      <w:r w:rsidR="008730E3">
        <w:rPr>
          <w:rFonts w:ascii="Futura Bk BT" w:eastAsia="DejaVu Sans" w:hAnsi="Futura Bk BT" w:cs="Times New Roman"/>
          <w:sz w:val="22"/>
          <w:szCs w:val="22"/>
          <w:lang w:bidi="hi-IN"/>
        </w:rPr>
        <w:t xml:space="preserve"> </w:t>
      </w:r>
      <w:r w:rsidRPr="00BF17FF">
        <w:rPr>
          <w:rFonts w:ascii="Futura Bk BT" w:eastAsia="DejaVu Sans" w:hAnsi="Futura Bk BT" w:cs="Times New Roman"/>
          <w:sz w:val="22"/>
          <w:szCs w:val="22"/>
          <w:lang w:bidi="hi-IN"/>
        </w:rPr>
        <w:t>en los Municipios de Puerto López y Puerto Gaitán, evento que contó con el acompañamiento de funcionarios de la ANI y el INVIAS</w:t>
      </w:r>
      <w:r w:rsidR="00A70FDC" w:rsidRPr="00BF17FF">
        <w:rPr>
          <w:rFonts w:ascii="Futura Bk BT" w:eastAsia="DejaVu Sans" w:hAnsi="Futura Bk BT" w:cs="Times New Roman"/>
          <w:sz w:val="22"/>
          <w:szCs w:val="22"/>
          <w:lang w:bidi="hi-IN"/>
        </w:rPr>
        <w:t>.</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Que </w:t>
      </w:r>
      <w:r w:rsidR="00F36491" w:rsidRPr="00BF17FF">
        <w:rPr>
          <w:rFonts w:ascii="Futura Bk BT" w:eastAsia="DejaVu Sans" w:hAnsi="Futura Bk BT" w:cs="Times New Roman"/>
          <w:sz w:val="22"/>
          <w:szCs w:val="22"/>
          <w:lang w:bidi="hi-IN"/>
        </w:rPr>
        <w:t>mediante comunicación</w:t>
      </w:r>
      <w:r w:rsidR="00326523" w:rsidRPr="00BF17FF">
        <w:rPr>
          <w:rFonts w:ascii="Futura Bk BT" w:eastAsia="DejaVu Sans" w:hAnsi="Futura Bk BT" w:cs="Times New Roman"/>
          <w:sz w:val="22"/>
          <w:szCs w:val="22"/>
          <w:lang w:bidi="hi-IN"/>
        </w:rPr>
        <w:t xml:space="preserve"> con</w:t>
      </w:r>
      <w:r w:rsidR="00F36491" w:rsidRPr="00BF17FF">
        <w:rPr>
          <w:rFonts w:ascii="Futura Bk BT" w:eastAsia="DejaVu Sans" w:hAnsi="Futura Bk BT" w:cs="Times New Roman"/>
          <w:sz w:val="22"/>
          <w:szCs w:val="22"/>
          <w:lang w:bidi="hi-IN"/>
        </w:rPr>
        <w:t xml:space="preserve"> </w:t>
      </w:r>
      <w:r w:rsidR="00FB57A5" w:rsidRPr="00BF17FF">
        <w:rPr>
          <w:rFonts w:ascii="Futura Bk BT" w:eastAsia="DejaVu Sans" w:hAnsi="Futura Bk BT" w:cs="Times New Roman"/>
          <w:sz w:val="22"/>
          <w:szCs w:val="22"/>
          <w:lang w:bidi="hi-IN"/>
        </w:rPr>
        <w:t>radicado</w:t>
      </w:r>
      <w:r w:rsidR="00F36491" w:rsidRPr="00BF17FF">
        <w:rPr>
          <w:rFonts w:ascii="Futura Bk BT" w:eastAsia="DejaVu Sans" w:hAnsi="Futura Bk BT" w:cs="Times New Roman"/>
          <w:sz w:val="22"/>
          <w:szCs w:val="22"/>
          <w:lang w:bidi="hi-IN"/>
        </w:rPr>
        <w:t xml:space="preserve"> ANI</w:t>
      </w:r>
      <w:r w:rsidR="00FB57A5" w:rsidRPr="00BF17FF">
        <w:rPr>
          <w:rFonts w:ascii="Futura Bk BT" w:eastAsia="DejaVu Sans" w:hAnsi="Futura Bk BT" w:cs="Times New Roman"/>
          <w:sz w:val="22"/>
          <w:szCs w:val="22"/>
          <w:lang w:bidi="hi-IN"/>
        </w:rPr>
        <w:t xml:space="preserve"> No. 2015-409-083677-2 de fecha 16 de diciembre de 2015</w:t>
      </w:r>
      <w:r w:rsidR="00F36491" w:rsidRPr="00BF17FF">
        <w:rPr>
          <w:rFonts w:ascii="Futura Bk BT" w:eastAsia="DejaVu Sans" w:hAnsi="Futura Bk BT" w:cs="Times New Roman"/>
          <w:sz w:val="22"/>
          <w:szCs w:val="22"/>
          <w:lang w:bidi="hi-IN"/>
        </w:rPr>
        <w:t>, la Concesión Vial de los Llanos hizo alusión a los acuerdos logrados respecto a</w:t>
      </w:r>
      <w:r w:rsidR="004526A9" w:rsidRPr="00BF17FF">
        <w:rPr>
          <w:rFonts w:ascii="Futura Bk BT" w:eastAsia="DejaVu Sans" w:hAnsi="Futura Bk BT" w:cs="Times New Roman"/>
          <w:sz w:val="22"/>
          <w:szCs w:val="22"/>
          <w:lang w:bidi="hi-IN"/>
        </w:rPr>
        <w:t xml:space="preserve"> la modificación de tarifas para el proyecto de Concesión Malla Vial del Meta I.P. y remitió el listado de las nuevas tarifas </w:t>
      </w:r>
      <w:r w:rsidR="00F36491" w:rsidRPr="00BF17FF">
        <w:rPr>
          <w:rFonts w:ascii="Futura Bk BT" w:eastAsia="DejaVu Sans" w:hAnsi="Futura Bk BT" w:cs="Times New Roman"/>
          <w:sz w:val="22"/>
          <w:szCs w:val="22"/>
          <w:lang w:bidi="hi-IN"/>
        </w:rPr>
        <w:t xml:space="preserve">concertadas para </w:t>
      </w:r>
      <w:r w:rsidRPr="00BF17FF">
        <w:rPr>
          <w:rFonts w:ascii="Futura Bk BT" w:eastAsia="DejaVu Sans" w:hAnsi="Futura Bk BT" w:cs="Times New Roman"/>
          <w:sz w:val="22"/>
          <w:szCs w:val="22"/>
          <w:lang w:bidi="hi-IN"/>
        </w:rPr>
        <w:t xml:space="preserve">las estaciones de peaje de CaseTabla y Yucao, además de incluir las nuevas categorías con tarifas </w:t>
      </w:r>
      <w:r w:rsidR="00326523" w:rsidRPr="00BF17FF">
        <w:rPr>
          <w:rFonts w:ascii="Futura Bk BT" w:eastAsia="DejaVu Sans" w:hAnsi="Futura Bk BT" w:cs="Times New Roman"/>
          <w:sz w:val="22"/>
          <w:szCs w:val="22"/>
          <w:lang w:bidi="hi-IN"/>
        </w:rPr>
        <w:t xml:space="preserve">especiales </w:t>
      </w:r>
      <w:r w:rsidRPr="00BF17FF">
        <w:rPr>
          <w:rFonts w:ascii="Futura Bk BT" w:eastAsia="DejaVu Sans" w:hAnsi="Futura Bk BT" w:cs="Times New Roman"/>
          <w:sz w:val="22"/>
          <w:szCs w:val="22"/>
          <w:lang w:bidi="hi-IN"/>
        </w:rPr>
        <w:t>diferenciales para la estación de peaje de Iracá. En las demás estaciones de peaje del proyecto no se modificará la estructura tarifaria descrita en la Resolución 1130 de 2015.</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Default="00470022" w:rsidP="007C547A">
      <w:pPr>
        <w:pStyle w:val="Standard"/>
        <w:autoSpaceDE w:val="0"/>
        <w:jc w:val="both"/>
        <w:rPr>
          <w:rFonts w:ascii="Futura Bk BT" w:eastAsia="Futura Bk BT" w:hAnsi="Futura Bk BT" w:cs="Futura Bk BT"/>
          <w:sz w:val="22"/>
          <w:szCs w:val="22"/>
        </w:rPr>
      </w:pPr>
      <w:r w:rsidRPr="00470022">
        <w:rPr>
          <w:rFonts w:ascii="Futura Bk BT" w:eastAsia="DejaVu Sans" w:hAnsi="Futura Bk BT" w:cs="Times New Roman"/>
          <w:sz w:val="22"/>
          <w:szCs w:val="22"/>
          <w:lang w:bidi="hi-IN"/>
        </w:rPr>
        <w:t xml:space="preserve">Que </w:t>
      </w:r>
      <w:r>
        <w:rPr>
          <w:rFonts w:ascii="Futura Bk BT" w:eastAsia="DejaVu Sans" w:hAnsi="Futura Bk BT" w:cs="Times New Roman"/>
          <w:sz w:val="22"/>
          <w:szCs w:val="22"/>
          <w:lang w:bidi="hi-IN"/>
        </w:rPr>
        <w:t xml:space="preserve">la adopción de las tarifas resultantes de las mesas de trabajo con las comunidades de Puerto López y Puerto Gaitán </w:t>
      </w:r>
      <w:r>
        <w:rPr>
          <w:rFonts w:ascii="Futura Bk BT" w:eastAsia="Futura Bk BT" w:hAnsi="Futura Bk BT" w:cs="Futura Bk BT"/>
          <w:sz w:val="22"/>
          <w:szCs w:val="22"/>
        </w:rPr>
        <w:t xml:space="preserve">mantienen </w:t>
      </w:r>
      <w:r w:rsidRPr="00365D20">
        <w:rPr>
          <w:rFonts w:ascii="Futura Bk BT" w:eastAsia="Futura Bk BT" w:hAnsi="Futura Bk BT" w:cs="Futura Bk BT"/>
          <w:sz w:val="22"/>
          <w:szCs w:val="22"/>
        </w:rPr>
        <w:t>las condiciones del modelo financiero y la ecuación financiera del contrato, por lo que la implementación de</w:t>
      </w:r>
      <w:r>
        <w:rPr>
          <w:rFonts w:ascii="Futura Bk BT" w:eastAsia="Futura Bk BT" w:hAnsi="Futura Bk BT" w:cs="Futura Bk BT"/>
          <w:sz w:val="22"/>
          <w:szCs w:val="22"/>
        </w:rPr>
        <w:t xml:space="preserve"> estas </w:t>
      </w:r>
      <w:r w:rsidRPr="00365D20">
        <w:rPr>
          <w:rFonts w:ascii="Futura Bk BT" w:eastAsia="Futura Bk BT" w:hAnsi="Futura Bk BT" w:cs="Futura Bk BT"/>
          <w:sz w:val="22"/>
          <w:szCs w:val="22"/>
        </w:rPr>
        <w:t>nuevas tarifas en el Contrato de Concesión, no representa desequilibrio financiero para el Contrato.</w:t>
      </w:r>
    </w:p>
    <w:p w:rsidR="00470022" w:rsidRDefault="00470022" w:rsidP="007C547A">
      <w:pPr>
        <w:pStyle w:val="Standard"/>
        <w:autoSpaceDE w:val="0"/>
        <w:jc w:val="both"/>
        <w:rPr>
          <w:rFonts w:ascii="Futura Bk BT" w:eastAsia="Futura Bk BT" w:hAnsi="Futura Bk BT" w:cs="Futura Bk BT"/>
          <w:sz w:val="22"/>
          <w:szCs w:val="22"/>
        </w:rPr>
      </w:pPr>
    </w:p>
    <w:p w:rsidR="00470022" w:rsidRPr="00BF17FF" w:rsidRDefault="00470022"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el contenido de la presente Resolución, fue publicado en la página web de la Agencia Nacional de Infraestructura (ANI), desde el día xx de xxxxxx hasta el xx de xxxxxxx de 2015 en cumplimiento a lo determinado en el numeral 8 del artículo 8° de la Ley 1437 de 2011, con el objeto de recibir opiniones, sugerencias o propuestas alternativas.</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los comentarios recibidos fueron evaluados, atendidos y los pertinentes fueron incorporados en el contenido del presente acto administrativo.</w:t>
      </w:r>
    </w:p>
    <w:p w:rsidR="00C450A8" w:rsidRPr="00BF17FF" w:rsidRDefault="00C450A8" w:rsidP="007C547A">
      <w:pPr>
        <w:pStyle w:val="Standard"/>
        <w:autoSpaceDE w:val="0"/>
        <w:jc w:val="both"/>
        <w:rPr>
          <w:rFonts w:ascii="Futura Bk BT" w:eastAsia="DejaVu Sans" w:hAnsi="Futura Bk BT" w:cs="Times New Roman"/>
          <w:sz w:val="22"/>
          <w:szCs w:val="22"/>
          <w:lang w:bidi="hi-IN"/>
        </w:rPr>
      </w:pPr>
    </w:p>
    <w:p w:rsidR="00C450A8" w:rsidRPr="00BF17FF" w:rsidRDefault="00C450A8"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Que el Ministerio de Transporte, considerando el impacto socioeconómico en la región, encuentra necesario adoptar medida</w:t>
      </w:r>
      <w:r w:rsidR="000F6F83" w:rsidRPr="00BF17FF">
        <w:rPr>
          <w:rFonts w:ascii="Futura Bk BT" w:eastAsia="DejaVu Sans" w:hAnsi="Futura Bk BT" w:cs="Times New Roman"/>
          <w:sz w:val="22"/>
          <w:szCs w:val="22"/>
          <w:lang w:bidi="hi-IN"/>
        </w:rPr>
        <w:t>s</w:t>
      </w:r>
      <w:r w:rsidRPr="00BF17FF">
        <w:rPr>
          <w:rFonts w:ascii="Futura Bk BT" w:eastAsia="DejaVu Sans" w:hAnsi="Futura Bk BT" w:cs="Times New Roman"/>
          <w:sz w:val="22"/>
          <w:szCs w:val="22"/>
          <w:lang w:bidi="hi-IN"/>
        </w:rPr>
        <w:t xml:space="preserve"> que debilite</w:t>
      </w:r>
      <w:r w:rsidR="000F6F83" w:rsidRPr="00BF17FF">
        <w:rPr>
          <w:rFonts w:ascii="Futura Bk BT" w:eastAsia="DejaVu Sans" w:hAnsi="Futura Bk BT" w:cs="Times New Roman"/>
          <w:sz w:val="22"/>
          <w:szCs w:val="22"/>
          <w:lang w:bidi="hi-IN"/>
        </w:rPr>
        <w:t>n</w:t>
      </w:r>
      <w:r w:rsidRPr="00BF17FF">
        <w:rPr>
          <w:rFonts w:ascii="Futura Bk BT" w:eastAsia="DejaVu Sans" w:hAnsi="Futura Bk BT" w:cs="Times New Roman"/>
          <w:sz w:val="22"/>
          <w:szCs w:val="22"/>
          <w:lang w:bidi="hi-IN"/>
        </w:rPr>
        <w:t xml:space="preserve"> los efectos sociales y económicos.</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En mérito de lo expuesto,</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center"/>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RESUELVE:</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ARTÍCULO </w:t>
      </w:r>
      <w:r w:rsidR="000755BA" w:rsidRPr="00BF17FF">
        <w:rPr>
          <w:rFonts w:ascii="Futura Bk BT" w:eastAsia="DejaVu Sans" w:hAnsi="Futura Bk BT" w:cs="Times New Roman"/>
          <w:sz w:val="22"/>
          <w:szCs w:val="22"/>
          <w:lang w:bidi="hi-IN"/>
        </w:rPr>
        <w:t>1</w:t>
      </w:r>
      <w:r w:rsidRPr="00BF17FF">
        <w:rPr>
          <w:rFonts w:ascii="Futura Bk BT" w:eastAsia="DejaVu Sans" w:hAnsi="Futura Bk BT" w:cs="Times New Roman"/>
          <w:sz w:val="22"/>
          <w:szCs w:val="22"/>
          <w:lang w:bidi="hi-IN"/>
        </w:rPr>
        <w:t>.-  Modificar parcialmente el Artículo Tercero de la Resolución No. 0001130 de 28 de abril de 2015 quedando así:</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Establecer las siguientes categorías vehiculares y tarifas que podrá cobrar el Concesionario a partir de la entrada en vigencia de la presente Resolución, a todos los usuarios en las estaciones de peaje de CaseTabla y Yucao. </w:t>
      </w:r>
      <w:r w:rsidR="00470022">
        <w:rPr>
          <w:rFonts w:ascii="Futura Bk BT" w:eastAsia="DejaVu Sans" w:hAnsi="Futura Bk BT" w:cs="Times New Roman"/>
          <w:sz w:val="22"/>
          <w:szCs w:val="22"/>
          <w:lang w:bidi="hi-IN"/>
        </w:rPr>
        <w:t xml:space="preserve"> </w:t>
      </w:r>
      <w:r w:rsidRPr="00BF17FF">
        <w:rPr>
          <w:rFonts w:ascii="Futura Bk BT" w:eastAsia="DejaVu Sans" w:hAnsi="Futura Bk BT" w:cs="Times New Roman"/>
          <w:sz w:val="22"/>
          <w:szCs w:val="22"/>
          <w:lang w:bidi="hi-IN"/>
        </w:rPr>
        <w:t xml:space="preserve">La estructura tarifaria se expresa en pesos del 1° de enero del año 2015 y para establecer la tarifa que será cobrada, ésta deberá ser indexada con el Indicie de Precios al Consumidor (IPC) registrado entre el primero de enero de 2015 y </w:t>
      </w:r>
      <w:r w:rsidR="006C30DB" w:rsidRPr="00BF17FF">
        <w:rPr>
          <w:rFonts w:ascii="Futura Bk BT" w:eastAsia="DejaVu Sans" w:hAnsi="Futura Bk BT" w:cs="Times New Roman"/>
          <w:sz w:val="22"/>
          <w:szCs w:val="22"/>
          <w:lang w:bidi="hi-IN"/>
        </w:rPr>
        <w:t xml:space="preserve">el </w:t>
      </w:r>
      <w:r w:rsidRPr="00BF17FF">
        <w:rPr>
          <w:rFonts w:ascii="Futura Bk BT" w:eastAsia="DejaVu Sans" w:hAnsi="Futura Bk BT" w:cs="Times New Roman"/>
          <w:sz w:val="22"/>
          <w:szCs w:val="22"/>
          <w:lang w:bidi="hi-IN"/>
        </w:rPr>
        <w:t xml:space="preserve">mes en que el concesionario comience el cobro de estas nuevas tarifas según las categorías vehiculares en cada una de las estaciones de peaje y de conformidad con las </w:t>
      </w:r>
      <w:r w:rsidR="006C30DB" w:rsidRPr="00BF17FF">
        <w:rPr>
          <w:rFonts w:ascii="Futura Bk BT" w:eastAsia="DejaVu Sans" w:hAnsi="Futura Bk BT" w:cs="Times New Roman"/>
          <w:sz w:val="22"/>
          <w:szCs w:val="22"/>
          <w:lang w:bidi="hi-IN"/>
        </w:rPr>
        <w:t>estipulaciones</w:t>
      </w:r>
      <w:r w:rsidRPr="00BF17FF">
        <w:rPr>
          <w:rFonts w:ascii="Futura Bk BT" w:eastAsia="DejaVu Sans" w:hAnsi="Futura Bk BT" w:cs="Times New Roman"/>
          <w:sz w:val="22"/>
          <w:szCs w:val="22"/>
          <w:lang w:bidi="hi-IN"/>
        </w:rPr>
        <w:t xml:space="preserve"> definidas en el Contrato de Concesión No. 004 de 2015</w:t>
      </w:r>
      <w:r w:rsidR="006C30DB" w:rsidRPr="00BF17FF">
        <w:rPr>
          <w:rFonts w:ascii="Futura Bk BT" w:eastAsia="DejaVu Sans" w:hAnsi="Futura Bk BT" w:cs="Times New Roman"/>
          <w:sz w:val="22"/>
          <w:szCs w:val="22"/>
          <w:lang w:bidi="hi-IN"/>
        </w:rPr>
        <w:t xml:space="preserve"> y en especial en el otrosí </w:t>
      </w:r>
      <w:r w:rsidR="00D72A12" w:rsidRPr="00BF17FF">
        <w:rPr>
          <w:rFonts w:ascii="Futura Bk BT" w:eastAsia="DejaVu Sans" w:hAnsi="Futura Bk BT" w:cs="Times New Roman"/>
          <w:sz w:val="22"/>
          <w:szCs w:val="22"/>
          <w:lang w:bidi="hi-IN"/>
        </w:rPr>
        <w:t xml:space="preserve">al contrato </w:t>
      </w:r>
      <w:r w:rsidR="006C30DB" w:rsidRPr="00BF17FF">
        <w:rPr>
          <w:rFonts w:ascii="Futura Bk BT" w:eastAsia="DejaVu Sans" w:hAnsi="Futura Bk BT" w:cs="Times New Roman"/>
          <w:sz w:val="22"/>
          <w:szCs w:val="22"/>
          <w:lang w:bidi="hi-IN"/>
        </w:rPr>
        <w:t>que se suscriba para adoptar la presente resolución,</w:t>
      </w:r>
      <w:r w:rsidRPr="00BF17FF">
        <w:rPr>
          <w:rFonts w:ascii="Futura Bk BT" w:eastAsia="DejaVu Sans" w:hAnsi="Futura Bk BT" w:cs="Times New Roman"/>
          <w:sz w:val="22"/>
          <w:szCs w:val="22"/>
          <w:lang w:bidi="hi-IN"/>
        </w:rPr>
        <w:t xml:space="preserve"> así:</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tbl>
      <w:tblPr>
        <w:tblW w:w="7648" w:type="dxa"/>
        <w:jc w:val="center"/>
        <w:tblCellMar>
          <w:left w:w="10" w:type="dxa"/>
          <w:right w:w="10" w:type="dxa"/>
        </w:tblCellMar>
        <w:tblLook w:val="0000" w:firstRow="0" w:lastRow="0" w:firstColumn="0" w:lastColumn="0" w:noHBand="0" w:noVBand="0"/>
      </w:tblPr>
      <w:tblGrid>
        <w:gridCol w:w="1355"/>
        <w:gridCol w:w="1643"/>
        <w:gridCol w:w="2575"/>
        <w:gridCol w:w="2075"/>
      </w:tblGrid>
      <w:tr w:rsidR="007C547A" w:rsidRPr="00BF17FF" w:rsidTr="00C66A31">
        <w:trPr>
          <w:trHeight w:val="202"/>
          <w:jc w:val="center"/>
        </w:trPr>
        <w:tc>
          <w:tcPr>
            <w:tcW w:w="1389"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202"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Estaciones de  Peaje</w:t>
            </w:r>
          </w:p>
        </w:tc>
        <w:tc>
          <w:tcPr>
            <w:tcW w:w="1527"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202"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CATEGORÍAS</w:t>
            </w:r>
          </w:p>
        </w:tc>
        <w:tc>
          <w:tcPr>
            <w:tcW w:w="3041"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202"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DESCRIPCIÓN</w:t>
            </w:r>
          </w:p>
        </w:tc>
        <w:tc>
          <w:tcPr>
            <w:tcW w:w="1691"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Tarifa *</w:t>
            </w:r>
          </w:p>
        </w:tc>
      </w:tr>
      <w:tr w:rsidR="007C547A" w:rsidRPr="00BF17FF" w:rsidTr="00C66A31">
        <w:trPr>
          <w:trHeight w:val="432"/>
          <w:jc w:val="center"/>
        </w:trPr>
        <w:tc>
          <w:tcPr>
            <w:tcW w:w="1389" w:type="dxa"/>
            <w:vMerge w:val="restart"/>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 xml:space="preserve">Casetabla </w:t>
            </w:r>
          </w:p>
          <w:p w:rsidR="007C547A" w:rsidRPr="00BF17FF" w:rsidRDefault="007C547A" w:rsidP="00C66A31">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y Yucao</w:t>
            </w:r>
          </w:p>
          <w:p w:rsidR="007C547A" w:rsidRPr="00BF17FF" w:rsidRDefault="007C547A" w:rsidP="00C66A31">
            <w:pPr>
              <w:spacing w:line="105"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 </w:t>
            </w:r>
          </w:p>
        </w:tc>
        <w:tc>
          <w:tcPr>
            <w:tcW w:w="1527"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I</w:t>
            </w:r>
          </w:p>
        </w:tc>
        <w:tc>
          <w:tcPr>
            <w:tcW w:w="3041"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Automóviles, camperos y camionetas</w:t>
            </w:r>
          </w:p>
        </w:tc>
        <w:tc>
          <w:tcPr>
            <w:tcW w:w="1691"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5.700</w:t>
            </w:r>
          </w:p>
        </w:tc>
      </w:tr>
      <w:tr w:rsidR="007C547A" w:rsidRPr="00BF17FF" w:rsidTr="00C66A31">
        <w:trPr>
          <w:trHeight w:val="201"/>
          <w:jc w:val="center"/>
        </w:trPr>
        <w:tc>
          <w:tcPr>
            <w:tcW w:w="1389"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rPr>
                <w:rFonts w:ascii="Futura Bk BT" w:eastAsia="DejaVu Sans" w:hAnsi="Futura Bk BT"/>
                <w:kern w:val="3"/>
                <w:sz w:val="22"/>
                <w:szCs w:val="22"/>
                <w:lang w:val="es-ES" w:eastAsia="zh-CN" w:bidi="hi-IN"/>
              </w:rPr>
            </w:pPr>
          </w:p>
        </w:tc>
        <w:tc>
          <w:tcPr>
            <w:tcW w:w="1527"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201"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IE</w:t>
            </w:r>
          </w:p>
        </w:tc>
        <w:tc>
          <w:tcPr>
            <w:tcW w:w="3041"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201" w:lineRule="atLeast"/>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Automóviles, camperos y camionetas con Beneficio de Tarifa diferencial</w:t>
            </w:r>
          </w:p>
        </w:tc>
        <w:tc>
          <w:tcPr>
            <w:tcW w:w="1691"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201"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3.600</w:t>
            </w:r>
          </w:p>
        </w:tc>
      </w:tr>
      <w:tr w:rsidR="007C547A" w:rsidRPr="00BF17FF" w:rsidTr="00C66A31">
        <w:trPr>
          <w:trHeight w:val="201"/>
          <w:jc w:val="center"/>
        </w:trPr>
        <w:tc>
          <w:tcPr>
            <w:tcW w:w="1389"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rPr>
                <w:rFonts w:ascii="Futura Bk BT" w:eastAsia="DejaVu Sans" w:hAnsi="Futura Bk BT"/>
                <w:kern w:val="3"/>
                <w:sz w:val="22"/>
                <w:szCs w:val="22"/>
                <w:lang w:val="es-ES" w:eastAsia="zh-CN" w:bidi="hi-IN"/>
              </w:rPr>
            </w:pPr>
          </w:p>
        </w:tc>
        <w:tc>
          <w:tcPr>
            <w:tcW w:w="1527"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201"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II</w:t>
            </w:r>
          </w:p>
        </w:tc>
        <w:tc>
          <w:tcPr>
            <w:tcW w:w="3041"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201" w:lineRule="atLeast"/>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Buses, busetas, microbuses con eje trasero de doble llanta</w:t>
            </w:r>
          </w:p>
        </w:tc>
        <w:tc>
          <w:tcPr>
            <w:tcW w:w="1691"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201"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5.700</w:t>
            </w:r>
          </w:p>
        </w:tc>
      </w:tr>
      <w:tr w:rsidR="007C547A" w:rsidRPr="00BF17FF" w:rsidTr="00C66A31">
        <w:trPr>
          <w:trHeight w:val="105"/>
          <w:jc w:val="center"/>
        </w:trPr>
        <w:tc>
          <w:tcPr>
            <w:tcW w:w="1389"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rPr>
                <w:rFonts w:ascii="Futura Bk BT" w:eastAsia="DejaVu Sans" w:hAnsi="Futura Bk BT"/>
                <w:kern w:val="3"/>
                <w:sz w:val="22"/>
                <w:szCs w:val="22"/>
                <w:lang w:val="es-ES" w:eastAsia="zh-CN" w:bidi="hi-IN"/>
              </w:rPr>
            </w:pPr>
          </w:p>
        </w:tc>
        <w:tc>
          <w:tcPr>
            <w:tcW w:w="1527"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IIE</w:t>
            </w:r>
          </w:p>
        </w:tc>
        <w:tc>
          <w:tcPr>
            <w:tcW w:w="3041"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Buses, busetas, microbuses con eje trasero de doble llanta con Beneficio de Tarifa diferencial</w:t>
            </w:r>
          </w:p>
        </w:tc>
        <w:tc>
          <w:tcPr>
            <w:tcW w:w="1691"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3.400</w:t>
            </w:r>
          </w:p>
        </w:tc>
      </w:tr>
      <w:tr w:rsidR="007C547A" w:rsidRPr="00BF17FF" w:rsidTr="00C66A31">
        <w:trPr>
          <w:trHeight w:val="105"/>
          <w:jc w:val="center"/>
        </w:trPr>
        <w:tc>
          <w:tcPr>
            <w:tcW w:w="1389"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rPr>
                <w:rFonts w:ascii="Futura Bk BT" w:eastAsia="DejaVu Sans" w:hAnsi="Futura Bk BT"/>
                <w:kern w:val="3"/>
                <w:sz w:val="22"/>
                <w:szCs w:val="22"/>
                <w:lang w:val="es-ES" w:eastAsia="zh-CN" w:bidi="hi-IN"/>
              </w:rPr>
            </w:pPr>
          </w:p>
        </w:tc>
        <w:tc>
          <w:tcPr>
            <w:tcW w:w="1527"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III</w:t>
            </w:r>
          </w:p>
        </w:tc>
        <w:tc>
          <w:tcPr>
            <w:tcW w:w="3041"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Camiones pequeños de dos ejes</w:t>
            </w:r>
          </w:p>
        </w:tc>
        <w:tc>
          <w:tcPr>
            <w:tcW w:w="1691"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14.200</w:t>
            </w:r>
          </w:p>
        </w:tc>
      </w:tr>
      <w:tr w:rsidR="007C547A" w:rsidRPr="00BF17FF" w:rsidTr="00C66A31">
        <w:trPr>
          <w:trHeight w:val="105"/>
          <w:jc w:val="center"/>
        </w:trPr>
        <w:tc>
          <w:tcPr>
            <w:tcW w:w="1389"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rPr>
                <w:rFonts w:ascii="Futura Bk BT" w:eastAsia="DejaVu Sans" w:hAnsi="Futura Bk BT"/>
                <w:kern w:val="3"/>
                <w:sz w:val="22"/>
                <w:szCs w:val="22"/>
                <w:lang w:val="es-ES" w:eastAsia="zh-CN" w:bidi="hi-IN"/>
              </w:rPr>
            </w:pPr>
          </w:p>
        </w:tc>
        <w:tc>
          <w:tcPr>
            <w:tcW w:w="1527"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IIIE</w:t>
            </w:r>
          </w:p>
        </w:tc>
        <w:tc>
          <w:tcPr>
            <w:tcW w:w="3041"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Camiones pequeños de dos ejes con Beneficio de Tarifa diferencial</w:t>
            </w:r>
          </w:p>
        </w:tc>
        <w:tc>
          <w:tcPr>
            <w:tcW w:w="1691"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9.100</w:t>
            </w:r>
          </w:p>
        </w:tc>
      </w:tr>
      <w:tr w:rsidR="007C547A" w:rsidRPr="00BF17FF" w:rsidTr="00C66A31">
        <w:trPr>
          <w:trHeight w:val="105"/>
          <w:jc w:val="center"/>
        </w:trPr>
        <w:tc>
          <w:tcPr>
            <w:tcW w:w="1389"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rPr>
                <w:rFonts w:ascii="Futura Bk BT" w:eastAsia="DejaVu Sans" w:hAnsi="Futura Bk BT"/>
                <w:kern w:val="3"/>
                <w:sz w:val="22"/>
                <w:szCs w:val="22"/>
                <w:lang w:val="es-ES" w:eastAsia="zh-CN" w:bidi="hi-IN"/>
              </w:rPr>
            </w:pPr>
          </w:p>
        </w:tc>
        <w:tc>
          <w:tcPr>
            <w:tcW w:w="1527"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IV</w:t>
            </w:r>
          </w:p>
        </w:tc>
        <w:tc>
          <w:tcPr>
            <w:tcW w:w="3041"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Camiones grandes de dos ejes</w:t>
            </w:r>
          </w:p>
        </w:tc>
        <w:tc>
          <w:tcPr>
            <w:tcW w:w="1691"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23.800</w:t>
            </w:r>
          </w:p>
        </w:tc>
      </w:tr>
      <w:tr w:rsidR="007C547A" w:rsidRPr="00BF17FF" w:rsidTr="00C66A31">
        <w:trPr>
          <w:trHeight w:val="105"/>
          <w:jc w:val="center"/>
        </w:trPr>
        <w:tc>
          <w:tcPr>
            <w:tcW w:w="1389"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rPr>
                <w:rFonts w:ascii="Futura Bk BT" w:eastAsia="DejaVu Sans" w:hAnsi="Futura Bk BT"/>
                <w:kern w:val="3"/>
                <w:sz w:val="22"/>
                <w:szCs w:val="22"/>
                <w:lang w:val="es-ES" w:eastAsia="zh-CN" w:bidi="hi-IN"/>
              </w:rPr>
            </w:pPr>
          </w:p>
        </w:tc>
        <w:tc>
          <w:tcPr>
            <w:tcW w:w="1527"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IVE</w:t>
            </w:r>
          </w:p>
        </w:tc>
        <w:tc>
          <w:tcPr>
            <w:tcW w:w="3041"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Camiones grandes de dos ejes con Beneficio de Tarifa diferencial</w:t>
            </w:r>
          </w:p>
        </w:tc>
        <w:tc>
          <w:tcPr>
            <w:tcW w:w="1691"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15.300</w:t>
            </w:r>
          </w:p>
        </w:tc>
      </w:tr>
      <w:tr w:rsidR="007C547A" w:rsidRPr="00BF17FF" w:rsidTr="00C66A31">
        <w:trPr>
          <w:trHeight w:val="105"/>
          <w:jc w:val="center"/>
        </w:trPr>
        <w:tc>
          <w:tcPr>
            <w:tcW w:w="1389"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rPr>
                <w:rFonts w:ascii="Futura Bk BT" w:eastAsia="DejaVu Sans" w:hAnsi="Futura Bk BT"/>
                <w:kern w:val="3"/>
                <w:sz w:val="22"/>
                <w:szCs w:val="22"/>
                <w:lang w:val="es-ES" w:eastAsia="zh-CN" w:bidi="hi-IN"/>
              </w:rPr>
            </w:pPr>
          </w:p>
        </w:tc>
        <w:tc>
          <w:tcPr>
            <w:tcW w:w="1527"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V</w:t>
            </w:r>
          </w:p>
        </w:tc>
        <w:tc>
          <w:tcPr>
            <w:tcW w:w="3041"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Camiones de tres y cuatro ejes</w:t>
            </w:r>
          </w:p>
        </w:tc>
        <w:tc>
          <w:tcPr>
            <w:tcW w:w="1691"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35.600</w:t>
            </w:r>
          </w:p>
        </w:tc>
      </w:tr>
      <w:tr w:rsidR="007C547A" w:rsidRPr="00BF17FF" w:rsidTr="00C66A31">
        <w:trPr>
          <w:trHeight w:val="105"/>
          <w:jc w:val="center"/>
        </w:trPr>
        <w:tc>
          <w:tcPr>
            <w:tcW w:w="1389"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rPr>
                <w:rFonts w:ascii="Futura Bk BT" w:eastAsia="DejaVu Sans" w:hAnsi="Futura Bk BT"/>
                <w:kern w:val="3"/>
                <w:sz w:val="22"/>
                <w:szCs w:val="22"/>
                <w:lang w:val="es-ES" w:eastAsia="zh-CN" w:bidi="hi-IN"/>
              </w:rPr>
            </w:pPr>
          </w:p>
        </w:tc>
        <w:tc>
          <w:tcPr>
            <w:tcW w:w="1527"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VE</w:t>
            </w:r>
          </w:p>
        </w:tc>
        <w:tc>
          <w:tcPr>
            <w:tcW w:w="3041"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Camiones de tres y cuatro ejes con Beneficio de Tarifa diferencial</w:t>
            </w:r>
          </w:p>
        </w:tc>
        <w:tc>
          <w:tcPr>
            <w:tcW w:w="1691"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17.700</w:t>
            </w:r>
          </w:p>
        </w:tc>
      </w:tr>
      <w:tr w:rsidR="007C547A" w:rsidRPr="00BF17FF" w:rsidTr="00C66A31">
        <w:trPr>
          <w:trHeight w:val="105"/>
          <w:jc w:val="center"/>
        </w:trPr>
        <w:tc>
          <w:tcPr>
            <w:tcW w:w="1389"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rPr>
                <w:rFonts w:ascii="Futura Bk BT" w:eastAsia="DejaVu Sans" w:hAnsi="Futura Bk BT"/>
                <w:kern w:val="3"/>
                <w:sz w:val="22"/>
                <w:szCs w:val="22"/>
                <w:lang w:val="es-ES" w:eastAsia="zh-CN" w:bidi="hi-IN"/>
              </w:rPr>
            </w:pPr>
          </w:p>
        </w:tc>
        <w:tc>
          <w:tcPr>
            <w:tcW w:w="1527"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VI</w:t>
            </w:r>
          </w:p>
        </w:tc>
        <w:tc>
          <w:tcPr>
            <w:tcW w:w="3041"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Camiones de cinco ejes</w:t>
            </w:r>
          </w:p>
        </w:tc>
        <w:tc>
          <w:tcPr>
            <w:tcW w:w="1691"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46.900</w:t>
            </w:r>
          </w:p>
        </w:tc>
      </w:tr>
      <w:tr w:rsidR="007C547A" w:rsidRPr="00BF17FF" w:rsidTr="00C66A31">
        <w:trPr>
          <w:trHeight w:val="105"/>
          <w:jc w:val="center"/>
        </w:trPr>
        <w:tc>
          <w:tcPr>
            <w:tcW w:w="1389"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rPr>
                <w:rFonts w:ascii="Futura Bk BT" w:eastAsia="DejaVu Sans" w:hAnsi="Futura Bk BT"/>
                <w:kern w:val="3"/>
                <w:sz w:val="22"/>
                <w:szCs w:val="22"/>
                <w:lang w:val="es-ES" w:eastAsia="zh-CN" w:bidi="hi-IN"/>
              </w:rPr>
            </w:pPr>
          </w:p>
        </w:tc>
        <w:tc>
          <w:tcPr>
            <w:tcW w:w="1527"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VIE</w:t>
            </w:r>
          </w:p>
        </w:tc>
        <w:tc>
          <w:tcPr>
            <w:tcW w:w="3041"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Camiones de cinco ejes con Beneficio de Tarifa diferencial</w:t>
            </w:r>
          </w:p>
        </w:tc>
        <w:tc>
          <w:tcPr>
            <w:tcW w:w="1691"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30.300</w:t>
            </w:r>
          </w:p>
        </w:tc>
      </w:tr>
      <w:tr w:rsidR="007C547A" w:rsidRPr="00BF17FF" w:rsidTr="00C66A31">
        <w:trPr>
          <w:trHeight w:val="105"/>
          <w:jc w:val="center"/>
        </w:trPr>
        <w:tc>
          <w:tcPr>
            <w:tcW w:w="1389"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rPr>
                <w:rFonts w:ascii="Futura Bk BT" w:eastAsia="DejaVu Sans" w:hAnsi="Futura Bk BT"/>
                <w:kern w:val="3"/>
                <w:sz w:val="22"/>
                <w:szCs w:val="22"/>
                <w:lang w:val="es-ES" w:eastAsia="zh-CN" w:bidi="hi-IN"/>
              </w:rPr>
            </w:pPr>
          </w:p>
        </w:tc>
        <w:tc>
          <w:tcPr>
            <w:tcW w:w="1527" w:type="dxa"/>
            <w:tcBorders>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VII</w:t>
            </w:r>
          </w:p>
        </w:tc>
        <w:tc>
          <w:tcPr>
            <w:tcW w:w="3041" w:type="dxa"/>
            <w:tcBorders>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Camiones de seis ejes o más</w:t>
            </w:r>
          </w:p>
        </w:tc>
        <w:tc>
          <w:tcPr>
            <w:tcW w:w="1691" w:type="dxa"/>
            <w:tcBorders>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53.800</w:t>
            </w:r>
          </w:p>
        </w:tc>
      </w:tr>
      <w:tr w:rsidR="007C547A" w:rsidRPr="00BF17FF" w:rsidTr="00C66A31">
        <w:trPr>
          <w:trHeight w:val="105"/>
          <w:jc w:val="center"/>
        </w:trPr>
        <w:tc>
          <w:tcPr>
            <w:tcW w:w="1389" w:type="dxa"/>
            <w:vMerge/>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rPr>
                <w:rFonts w:ascii="Futura Bk BT" w:eastAsia="DejaVu Sans" w:hAnsi="Futura Bk BT"/>
                <w:kern w:val="3"/>
                <w:sz w:val="22"/>
                <w:szCs w:val="22"/>
                <w:lang w:val="es-ES" w:eastAsia="zh-CN" w:bidi="hi-IN"/>
              </w:rPr>
            </w:pPr>
          </w:p>
        </w:tc>
        <w:tc>
          <w:tcPr>
            <w:tcW w:w="1527"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Categoría VIIE</w:t>
            </w:r>
          </w:p>
        </w:tc>
        <w:tc>
          <w:tcPr>
            <w:tcW w:w="3041"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Camiones de seis ejes o más con Beneficio de Tarifa diferencial</w:t>
            </w:r>
          </w:p>
        </w:tc>
        <w:tc>
          <w:tcPr>
            <w:tcW w:w="1691"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BF17FF" w:rsidRDefault="007C547A" w:rsidP="00C66A31">
            <w:pPr>
              <w:spacing w:line="105" w:lineRule="atLeast"/>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34.800</w:t>
            </w:r>
            <w:r w:rsidRPr="00BF17FF">
              <w:rPr>
                <w:rFonts w:ascii="Futura Bk BT" w:eastAsia="DejaVu Sans" w:hAnsi="Futura Bk BT"/>
                <w:kern w:val="3"/>
                <w:sz w:val="22"/>
                <w:szCs w:val="22"/>
                <w:lang w:val="es-ES" w:eastAsia="zh-CN" w:bidi="hi-IN"/>
              </w:rPr>
              <w:commentReference w:id="2"/>
            </w:r>
          </w:p>
        </w:tc>
      </w:tr>
    </w:tbl>
    <w:p w:rsidR="007C547A"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*No incluye Fosevi – Tarifas expresadas en pesos del 1° de enero de 2015</w:t>
      </w:r>
    </w:p>
    <w:p w:rsidR="001C431A" w:rsidRDefault="001C431A" w:rsidP="007C547A">
      <w:pPr>
        <w:pStyle w:val="Standard"/>
        <w:autoSpaceDE w:val="0"/>
        <w:jc w:val="both"/>
        <w:rPr>
          <w:rFonts w:ascii="Futura Bk BT" w:eastAsia="DejaVu Sans" w:hAnsi="Futura Bk BT" w:cs="Times New Roman"/>
          <w:sz w:val="22"/>
          <w:szCs w:val="22"/>
          <w:lang w:bidi="hi-IN"/>
        </w:rPr>
      </w:pPr>
    </w:p>
    <w:p w:rsidR="001C431A" w:rsidRPr="00BF17FF" w:rsidRDefault="001C431A" w:rsidP="001C431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Parágrafo 1°. Las tarifas de peaje de que trata el presente Artículo se actualizarán cada año a partir del mes de enero del 2017</w:t>
      </w:r>
      <w:r w:rsidR="008730E3">
        <w:rPr>
          <w:rFonts w:ascii="Futura Bk BT" w:eastAsia="DejaVu Sans" w:hAnsi="Futura Bk BT" w:cs="Times New Roman"/>
          <w:sz w:val="22"/>
          <w:szCs w:val="22"/>
          <w:lang w:bidi="hi-IN"/>
        </w:rPr>
        <w:t xml:space="preserve">, </w:t>
      </w:r>
      <w:r w:rsidRPr="00BF17FF">
        <w:rPr>
          <w:rFonts w:ascii="Futura Bk BT" w:eastAsia="DejaVu Sans" w:hAnsi="Futura Bk BT" w:cs="Times New Roman"/>
          <w:sz w:val="22"/>
          <w:szCs w:val="22"/>
          <w:lang w:bidi="hi-IN"/>
        </w:rPr>
        <w:t xml:space="preserve">de acuerdo </w:t>
      </w:r>
      <w:r w:rsidR="008730E3">
        <w:rPr>
          <w:rFonts w:ascii="Futura Bk BT" w:eastAsia="DejaVu Sans" w:hAnsi="Futura Bk BT" w:cs="Times New Roman"/>
          <w:sz w:val="22"/>
          <w:szCs w:val="22"/>
          <w:lang w:bidi="hi-IN"/>
        </w:rPr>
        <w:t xml:space="preserve">con </w:t>
      </w:r>
      <w:r w:rsidRPr="00BF17FF">
        <w:rPr>
          <w:rFonts w:ascii="Futura Bk BT" w:eastAsia="DejaVu Sans" w:hAnsi="Futura Bk BT" w:cs="Times New Roman"/>
          <w:sz w:val="22"/>
          <w:szCs w:val="22"/>
          <w:lang w:bidi="hi-IN"/>
        </w:rPr>
        <w:t xml:space="preserve">lo establecido en Contrato de Concesión </w:t>
      </w:r>
      <w:r w:rsidR="008730E3">
        <w:rPr>
          <w:rFonts w:ascii="Futura Bk BT" w:eastAsia="DejaVu Sans" w:hAnsi="Futura Bk BT" w:cs="Times New Roman"/>
          <w:sz w:val="22"/>
          <w:szCs w:val="22"/>
          <w:lang w:bidi="hi-IN"/>
        </w:rPr>
        <w:t xml:space="preserve">No. </w:t>
      </w:r>
      <w:r w:rsidRPr="00BF17FF">
        <w:rPr>
          <w:rFonts w:ascii="Futura Bk BT" w:eastAsia="DejaVu Sans" w:hAnsi="Futura Bk BT" w:cs="Times New Roman"/>
          <w:sz w:val="22"/>
          <w:szCs w:val="22"/>
          <w:lang w:bidi="hi-IN"/>
        </w:rPr>
        <w:t xml:space="preserve">004 del 5 de mayo de 2015 y deberán ser ajustadas a la centena más cercana con el fin de facilitar el recaudo por parte del concesionario.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Default="00470022" w:rsidP="007C547A">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ART</w:t>
      </w:r>
      <w:r>
        <w:rPr>
          <w:rFonts w:ascii="Futura Bk BT" w:eastAsia="DejaVu Sans" w:hAnsi="Futura Bk BT" w:cs="Times New Roman" w:hint="cs"/>
          <w:sz w:val="22"/>
          <w:szCs w:val="22"/>
          <w:lang w:bidi="hi-IN"/>
        </w:rPr>
        <w:t>Í</w:t>
      </w:r>
      <w:r>
        <w:rPr>
          <w:rFonts w:ascii="Futura Bk BT" w:eastAsia="DejaVu Sans" w:hAnsi="Futura Bk BT" w:cs="Times New Roman"/>
          <w:sz w:val="22"/>
          <w:szCs w:val="22"/>
          <w:lang w:bidi="hi-IN"/>
        </w:rPr>
        <w:t>CULO</w:t>
      </w:r>
      <w:r w:rsidR="006B6E86">
        <w:rPr>
          <w:rFonts w:ascii="Futura Bk BT" w:eastAsia="DejaVu Sans" w:hAnsi="Futura Bk BT" w:cs="Times New Roman"/>
          <w:sz w:val="22"/>
          <w:szCs w:val="22"/>
          <w:lang w:bidi="hi-IN"/>
        </w:rPr>
        <w:t xml:space="preserve"> 2. </w:t>
      </w:r>
      <w:r w:rsidR="006C3655">
        <w:rPr>
          <w:rFonts w:ascii="Futura Bk BT" w:eastAsia="DejaVu Sans" w:hAnsi="Futura Bk BT" w:cs="Times New Roman"/>
          <w:sz w:val="22"/>
          <w:szCs w:val="22"/>
          <w:lang w:bidi="hi-IN"/>
        </w:rPr>
        <w:t>Modificar el Artículo 4 de la Resolución No.1130 en el sentido de adicionar las siguientes tarifas diferenciales especiales</w:t>
      </w:r>
      <w:r w:rsidR="007C547A" w:rsidRPr="00BF17FF">
        <w:rPr>
          <w:rFonts w:ascii="Futura Bk BT" w:eastAsia="DejaVu Sans" w:hAnsi="Futura Bk BT" w:cs="Times New Roman"/>
          <w:sz w:val="22"/>
          <w:szCs w:val="22"/>
          <w:lang w:bidi="hi-IN"/>
        </w:rPr>
        <w:t xml:space="preserve">, </w:t>
      </w:r>
      <w:r w:rsidR="006C3655">
        <w:rPr>
          <w:rFonts w:ascii="Futura Bk BT" w:eastAsia="DejaVu Sans" w:hAnsi="Futura Bk BT" w:cs="Times New Roman"/>
          <w:sz w:val="22"/>
          <w:szCs w:val="22"/>
          <w:lang w:bidi="hi-IN"/>
        </w:rPr>
        <w:t xml:space="preserve">para dar continuidad al beneficio otorgado desde </w:t>
      </w:r>
      <w:r w:rsidR="00F72752">
        <w:rPr>
          <w:rFonts w:ascii="Futura Bk BT" w:eastAsia="DejaVu Sans" w:hAnsi="Futura Bk BT" w:cs="Times New Roman"/>
          <w:sz w:val="22"/>
          <w:szCs w:val="22"/>
          <w:lang w:bidi="hi-IN"/>
        </w:rPr>
        <w:t>la concesión anterior, de la siguiente manera:</w:t>
      </w:r>
    </w:p>
    <w:p w:rsidR="00F72752" w:rsidRDefault="00F72752" w:rsidP="007C547A">
      <w:pPr>
        <w:pStyle w:val="Standard"/>
        <w:autoSpaceDE w:val="0"/>
        <w:jc w:val="both"/>
        <w:rPr>
          <w:rFonts w:ascii="Futura Bk BT" w:eastAsia="DejaVu Sans" w:hAnsi="Futura Bk BT" w:cs="Times New Roman"/>
          <w:sz w:val="22"/>
          <w:szCs w:val="22"/>
          <w:lang w:bidi="hi-IN"/>
        </w:rPr>
      </w:pPr>
    </w:p>
    <w:p w:rsidR="00F72752" w:rsidRPr="00BF17FF" w:rsidRDefault="00F72752" w:rsidP="007C547A">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Para el peaje IRACA:</w:t>
      </w:r>
    </w:p>
    <w:p w:rsidR="00C450A8" w:rsidRPr="00BF17FF" w:rsidRDefault="00C450A8" w:rsidP="007C547A">
      <w:pPr>
        <w:pStyle w:val="Standard"/>
        <w:autoSpaceDE w:val="0"/>
        <w:jc w:val="both"/>
        <w:rPr>
          <w:rFonts w:ascii="Futura Bk BT" w:eastAsia="DejaVu Sans" w:hAnsi="Futura Bk BT" w:cs="Times New Roman"/>
          <w:sz w:val="22"/>
          <w:szCs w:val="22"/>
          <w:lang w:bidi="hi-IN"/>
        </w:rPr>
      </w:pPr>
    </w:p>
    <w:tbl>
      <w:tblPr>
        <w:tblW w:w="6938" w:type="dxa"/>
        <w:jc w:val="center"/>
        <w:tblLayout w:type="fixed"/>
        <w:tblCellMar>
          <w:left w:w="70" w:type="dxa"/>
          <w:right w:w="70" w:type="dxa"/>
        </w:tblCellMar>
        <w:tblLook w:val="04A0" w:firstRow="1" w:lastRow="0" w:firstColumn="1" w:lastColumn="0" w:noHBand="0" w:noVBand="1"/>
      </w:tblPr>
      <w:tblGrid>
        <w:gridCol w:w="240"/>
        <w:gridCol w:w="1675"/>
        <w:gridCol w:w="3969"/>
        <w:gridCol w:w="1054"/>
      </w:tblGrid>
      <w:tr w:rsidR="00C450A8" w:rsidRPr="00365D20" w:rsidTr="004F7270">
        <w:trPr>
          <w:trHeight w:val="649"/>
          <w:jc w:val="center"/>
        </w:trPr>
        <w:tc>
          <w:tcPr>
            <w:tcW w:w="240" w:type="dxa"/>
            <w:tcBorders>
              <w:top w:val="nil"/>
              <w:left w:val="nil"/>
              <w:bottom w:val="nil"/>
              <w:right w:val="nil"/>
            </w:tcBorders>
            <w:shd w:val="clear" w:color="auto" w:fill="auto"/>
            <w:noWrap/>
            <w:vAlign w:val="bottom"/>
            <w:hideMark/>
          </w:tcPr>
          <w:p w:rsidR="00C450A8" w:rsidRPr="00365D20" w:rsidRDefault="00C450A8" w:rsidP="004F7270">
            <w:pPr>
              <w:rPr>
                <w:rFonts w:ascii="Futura Bk BT" w:eastAsia="DejaVu Sans" w:hAnsi="Futura Bk BT"/>
                <w:kern w:val="3"/>
                <w:sz w:val="20"/>
                <w:lang w:val="es-ES" w:eastAsia="zh-CN" w:bidi="hi-IN"/>
              </w:rPr>
            </w:pPr>
          </w:p>
        </w:tc>
        <w:tc>
          <w:tcPr>
            <w:tcW w:w="1675" w:type="dxa"/>
            <w:tcBorders>
              <w:top w:val="double" w:sz="6" w:space="0" w:color="auto"/>
              <w:left w:val="double" w:sz="6" w:space="0" w:color="auto"/>
              <w:bottom w:val="single" w:sz="8" w:space="0" w:color="auto"/>
              <w:right w:val="single" w:sz="4" w:space="0" w:color="auto"/>
            </w:tcBorders>
            <w:shd w:val="clear" w:color="auto" w:fill="auto"/>
            <w:vAlign w:val="center"/>
            <w:hideMark/>
          </w:tcPr>
          <w:p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CATEGORIA</w:t>
            </w:r>
          </w:p>
        </w:tc>
        <w:tc>
          <w:tcPr>
            <w:tcW w:w="3969" w:type="dxa"/>
            <w:tcBorders>
              <w:top w:val="double" w:sz="6" w:space="0" w:color="auto"/>
              <w:left w:val="nil"/>
              <w:bottom w:val="single" w:sz="8" w:space="0" w:color="auto"/>
              <w:right w:val="single" w:sz="4" w:space="0" w:color="auto"/>
            </w:tcBorders>
            <w:shd w:val="clear" w:color="auto" w:fill="auto"/>
            <w:vAlign w:val="center"/>
            <w:hideMark/>
          </w:tcPr>
          <w:p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DESCRIPCION</w:t>
            </w:r>
          </w:p>
        </w:tc>
        <w:tc>
          <w:tcPr>
            <w:tcW w:w="1054" w:type="dxa"/>
            <w:tcBorders>
              <w:top w:val="double" w:sz="6" w:space="0" w:color="auto"/>
              <w:left w:val="nil"/>
              <w:bottom w:val="single" w:sz="8" w:space="0" w:color="auto"/>
              <w:right w:val="double" w:sz="6" w:space="0" w:color="auto"/>
            </w:tcBorders>
            <w:shd w:val="clear" w:color="auto" w:fill="auto"/>
            <w:vAlign w:val="center"/>
            <w:hideMark/>
          </w:tcPr>
          <w:p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TARIFA*</w:t>
            </w:r>
          </w:p>
        </w:tc>
      </w:tr>
      <w:tr w:rsidR="00C450A8" w:rsidRPr="00365D20" w:rsidTr="004F7270">
        <w:trPr>
          <w:trHeight w:val="315"/>
          <w:jc w:val="center"/>
        </w:trPr>
        <w:tc>
          <w:tcPr>
            <w:tcW w:w="240" w:type="dxa"/>
            <w:tcBorders>
              <w:top w:val="nil"/>
              <w:left w:val="nil"/>
              <w:bottom w:val="nil"/>
              <w:right w:val="nil"/>
            </w:tcBorders>
            <w:shd w:val="clear" w:color="auto" w:fill="auto"/>
            <w:noWrap/>
            <w:vAlign w:val="bottom"/>
          </w:tcPr>
          <w:p w:rsidR="00C450A8" w:rsidRPr="00365D20" w:rsidRDefault="00C450A8" w:rsidP="004F7270">
            <w:pPr>
              <w:rPr>
                <w:rFonts w:ascii="Futura Bk BT" w:eastAsia="DejaVu Sans" w:hAnsi="Futura Bk BT"/>
                <w:kern w:val="3"/>
                <w:sz w:val="20"/>
                <w:lang w:val="es-ES" w:eastAsia="zh-CN" w:bidi="hi-IN"/>
              </w:rPr>
            </w:pPr>
          </w:p>
        </w:tc>
        <w:tc>
          <w:tcPr>
            <w:tcW w:w="1675" w:type="dxa"/>
            <w:tcBorders>
              <w:top w:val="single" w:sz="4" w:space="0" w:color="auto"/>
              <w:left w:val="double" w:sz="6" w:space="0" w:color="auto"/>
              <w:bottom w:val="single" w:sz="4" w:space="0" w:color="auto"/>
              <w:right w:val="single" w:sz="4" w:space="0" w:color="auto"/>
            </w:tcBorders>
            <w:shd w:val="clear" w:color="auto" w:fill="auto"/>
            <w:noWrap/>
            <w:vAlign w:val="bottom"/>
          </w:tcPr>
          <w:p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CATEGORIA IE</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cincuenta y nueve (59) vehículos categoría I de servicio público taxi</w:t>
            </w:r>
            <w:r w:rsidR="00470022" w:rsidRPr="00365D20">
              <w:rPr>
                <w:rFonts w:ascii="Futura Bk BT" w:eastAsia="DejaVu Sans" w:hAnsi="Futura Bk BT"/>
                <w:kern w:val="3"/>
                <w:sz w:val="20"/>
                <w:lang w:val="es-ES" w:eastAsia="zh-CN" w:bidi="hi-IN"/>
              </w:rPr>
              <w:t xml:space="preserve"> </w:t>
            </w:r>
          </w:p>
        </w:tc>
        <w:tc>
          <w:tcPr>
            <w:tcW w:w="1054" w:type="dxa"/>
            <w:tcBorders>
              <w:top w:val="single" w:sz="4" w:space="0" w:color="auto"/>
              <w:left w:val="nil"/>
              <w:bottom w:val="single" w:sz="4" w:space="0" w:color="auto"/>
              <w:right w:val="double" w:sz="6" w:space="0" w:color="auto"/>
            </w:tcBorders>
            <w:shd w:val="clear" w:color="auto" w:fill="auto"/>
            <w:noWrap/>
            <w:vAlign w:val="bottom"/>
          </w:tcPr>
          <w:p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3.200,00</w:t>
            </w:r>
          </w:p>
        </w:tc>
      </w:tr>
    </w:tbl>
    <w:p w:rsidR="007C547A" w:rsidRPr="00BF17FF" w:rsidRDefault="006C3655" w:rsidP="007C547A">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 xml:space="preserve"> </w:t>
      </w:r>
      <w:r w:rsidR="007C547A" w:rsidRPr="00BF17FF">
        <w:rPr>
          <w:rFonts w:ascii="Futura Bk BT" w:eastAsia="DejaVu Sans" w:hAnsi="Futura Bk BT" w:cs="Times New Roman"/>
          <w:sz w:val="22"/>
          <w:szCs w:val="22"/>
          <w:lang w:bidi="hi-IN"/>
        </w:rPr>
        <w:t>*No incluye Fosevi – Tarifas expresadas en pesos del 1° de enero de 2015</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F72752" w:rsidRDefault="00F72752" w:rsidP="007C547A">
      <w:pPr>
        <w:pStyle w:val="Standard"/>
        <w:autoSpaceDE w:val="0"/>
        <w:jc w:val="both"/>
        <w:rPr>
          <w:rFonts w:ascii="Futura Bk BT" w:eastAsia="DejaVu Sans" w:hAnsi="Futura Bk BT" w:cs="Times New Roman"/>
          <w:sz w:val="22"/>
          <w:szCs w:val="22"/>
          <w:lang w:bidi="hi-IN"/>
        </w:rPr>
      </w:pPr>
    </w:p>
    <w:p w:rsidR="00F72752" w:rsidRDefault="00F72752" w:rsidP="007C547A">
      <w:pPr>
        <w:pStyle w:val="Standard"/>
        <w:autoSpaceDE w:val="0"/>
        <w:jc w:val="both"/>
        <w:rPr>
          <w:rFonts w:ascii="Futura Bk BT" w:eastAsia="DejaVu Sans" w:hAnsi="Futura Bk BT" w:cs="Times New Roman"/>
          <w:sz w:val="22"/>
          <w:szCs w:val="22"/>
          <w:lang w:bidi="hi-IN"/>
        </w:rPr>
      </w:pPr>
    </w:p>
    <w:p w:rsidR="00F72752" w:rsidRDefault="00F72752" w:rsidP="007C547A">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 xml:space="preserve">Para los peajes Iraca y Ocoa </w:t>
      </w:r>
      <w:r w:rsidR="007C547A" w:rsidRPr="00BF17FF">
        <w:rPr>
          <w:rFonts w:ascii="Futura Bk BT" w:eastAsia="DejaVu Sans" w:hAnsi="Futura Bk BT" w:cs="Times New Roman"/>
          <w:sz w:val="22"/>
          <w:szCs w:val="22"/>
          <w:lang w:bidi="hi-IN"/>
        </w:rPr>
        <w:t xml:space="preserve"> </w:t>
      </w:r>
    </w:p>
    <w:p w:rsidR="00F72752" w:rsidRDefault="00F72752" w:rsidP="007C547A">
      <w:pPr>
        <w:pStyle w:val="Standard"/>
        <w:autoSpaceDE w:val="0"/>
        <w:jc w:val="both"/>
        <w:rPr>
          <w:rFonts w:ascii="Futura Bk BT" w:eastAsia="DejaVu Sans" w:hAnsi="Futura Bk BT" w:cs="Times New Roman"/>
          <w:sz w:val="22"/>
          <w:szCs w:val="22"/>
          <w:lang w:bidi="hi-IN"/>
        </w:rPr>
      </w:pPr>
    </w:p>
    <w:p w:rsidR="007E5DAB" w:rsidRPr="00BF17FF" w:rsidRDefault="00F72752" w:rsidP="007E5DAB">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Categoría IEE</w:t>
      </w:r>
      <w:r w:rsidR="007C547A" w:rsidRPr="00BF17FF">
        <w:rPr>
          <w:rFonts w:ascii="Futura Bk BT" w:eastAsia="DejaVu Sans" w:hAnsi="Futura Bk BT" w:cs="Times New Roman"/>
          <w:sz w:val="22"/>
          <w:szCs w:val="22"/>
          <w:lang w:bidi="hi-IN"/>
        </w:rPr>
        <w:t>.</w:t>
      </w:r>
      <w:r w:rsidR="007E5DAB">
        <w:rPr>
          <w:rFonts w:ascii="Futura Bk BT" w:eastAsia="DejaVu Sans" w:hAnsi="Futura Bk BT" w:cs="Times New Roman"/>
          <w:sz w:val="22"/>
          <w:szCs w:val="22"/>
          <w:lang w:bidi="hi-IN"/>
        </w:rPr>
        <w:t xml:space="preserve"> </w:t>
      </w:r>
      <w:r w:rsidR="007E5DAB" w:rsidRPr="00BF17FF">
        <w:rPr>
          <w:rFonts w:ascii="Futura Bk BT" w:eastAsia="DejaVu Sans" w:hAnsi="Futura Bk BT" w:cs="Times New Roman"/>
          <w:sz w:val="22"/>
          <w:szCs w:val="22"/>
          <w:lang w:bidi="hi-IN"/>
        </w:rPr>
        <w:t xml:space="preserve"> </w:t>
      </w:r>
      <w:r w:rsidR="007E5DAB">
        <w:rPr>
          <w:rFonts w:ascii="Futura Bk BT" w:eastAsia="DejaVu Sans" w:hAnsi="Futura Bk BT" w:cs="Times New Roman"/>
          <w:sz w:val="22"/>
          <w:szCs w:val="22"/>
          <w:lang w:bidi="hi-IN"/>
        </w:rPr>
        <w:t>P</w:t>
      </w:r>
      <w:r w:rsidR="007E5DAB" w:rsidRPr="00BF17FF">
        <w:rPr>
          <w:rFonts w:ascii="Futura Bk BT" w:eastAsia="DejaVu Sans" w:hAnsi="Futura Bk BT" w:cs="Times New Roman"/>
          <w:sz w:val="22"/>
          <w:szCs w:val="22"/>
          <w:lang w:bidi="hi-IN"/>
        </w:rPr>
        <w:t>odrán transitar por las estaciones de Ocoa e Iracá con este beneficio:</w:t>
      </w:r>
    </w:p>
    <w:p w:rsidR="007E5DAB" w:rsidRDefault="007E5DAB" w:rsidP="007E5DAB">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C450A8" w:rsidRPr="00BF17FF" w:rsidRDefault="00C450A8" w:rsidP="007C547A">
      <w:pPr>
        <w:pStyle w:val="Standard"/>
        <w:autoSpaceDE w:val="0"/>
        <w:jc w:val="both"/>
        <w:rPr>
          <w:rFonts w:ascii="Futura Bk BT" w:eastAsia="DejaVu Sans" w:hAnsi="Futura Bk BT" w:cs="Times New Roman"/>
          <w:sz w:val="22"/>
          <w:szCs w:val="22"/>
          <w:lang w:bidi="hi-IN"/>
        </w:rPr>
      </w:pPr>
    </w:p>
    <w:tbl>
      <w:tblPr>
        <w:tblW w:w="6938" w:type="dxa"/>
        <w:jc w:val="center"/>
        <w:tblLayout w:type="fixed"/>
        <w:tblCellMar>
          <w:left w:w="70" w:type="dxa"/>
          <w:right w:w="70" w:type="dxa"/>
        </w:tblCellMar>
        <w:tblLook w:val="04A0" w:firstRow="1" w:lastRow="0" w:firstColumn="1" w:lastColumn="0" w:noHBand="0" w:noVBand="1"/>
      </w:tblPr>
      <w:tblGrid>
        <w:gridCol w:w="240"/>
        <w:gridCol w:w="1675"/>
        <w:gridCol w:w="3969"/>
        <w:gridCol w:w="1054"/>
      </w:tblGrid>
      <w:tr w:rsidR="00C450A8" w:rsidRPr="00365D20" w:rsidTr="004F7270">
        <w:trPr>
          <w:trHeight w:val="649"/>
          <w:jc w:val="center"/>
        </w:trPr>
        <w:tc>
          <w:tcPr>
            <w:tcW w:w="240" w:type="dxa"/>
            <w:tcBorders>
              <w:top w:val="nil"/>
              <w:left w:val="nil"/>
              <w:bottom w:val="nil"/>
              <w:right w:val="nil"/>
            </w:tcBorders>
            <w:shd w:val="clear" w:color="auto" w:fill="auto"/>
            <w:noWrap/>
            <w:vAlign w:val="bottom"/>
            <w:hideMark/>
          </w:tcPr>
          <w:p w:rsidR="00C450A8" w:rsidRPr="00365D20" w:rsidRDefault="00C450A8" w:rsidP="004F7270">
            <w:pPr>
              <w:rPr>
                <w:rFonts w:ascii="Futura Bk BT" w:eastAsia="DejaVu Sans" w:hAnsi="Futura Bk BT"/>
                <w:kern w:val="3"/>
                <w:sz w:val="20"/>
                <w:lang w:val="es-ES" w:eastAsia="zh-CN" w:bidi="hi-IN"/>
              </w:rPr>
            </w:pPr>
          </w:p>
        </w:tc>
        <w:tc>
          <w:tcPr>
            <w:tcW w:w="1675" w:type="dxa"/>
            <w:tcBorders>
              <w:top w:val="double" w:sz="6" w:space="0" w:color="auto"/>
              <w:left w:val="double" w:sz="6" w:space="0" w:color="auto"/>
              <w:bottom w:val="single" w:sz="8" w:space="0" w:color="auto"/>
              <w:right w:val="single" w:sz="4" w:space="0" w:color="auto"/>
            </w:tcBorders>
            <w:shd w:val="clear" w:color="auto" w:fill="auto"/>
            <w:vAlign w:val="center"/>
            <w:hideMark/>
          </w:tcPr>
          <w:p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CATEGORIA</w:t>
            </w:r>
          </w:p>
        </w:tc>
        <w:tc>
          <w:tcPr>
            <w:tcW w:w="3969" w:type="dxa"/>
            <w:tcBorders>
              <w:top w:val="double" w:sz="6" w:space="0" w:color="auto"/>
              <w:left w:val="nil"/>
              <w:bottom w:val="single" w:sz="8" w:space="0" w:color="auto"/>
              <w:right w:val="single" w:sz="4" w:space="0" w:color="auto"/>
            </w:tcBorders>
            <w:shd w:val="clear" w:color="auto" w:fill="auto"/>
            <w:vAlign w:val="center"/>
            <w:hideMark/>
          </w:tcPr>
          <w:p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DESCRIPCION</w:t>
            </w:r>
          </w:p>
        </w:tc>
        <w:tc>
          <w:tcPr>
            <w:tcW w:w="1054" w:type="dxa"/>
            <w:tcBorders>
              <w:top w:val="double" w:sz="6" w:space="0" w:color="auto"/>
              <w:left w:val="nil"/>
              <w:bottom w:val="single" w:sz="8" w:space="0" w:color="auto"/>
              <w:right w:val="double" w:sz="6" w:space="0" w:color="auto"/>
            </w:tcBorders>
            <w:shd w:val="clear" w:color="auto" w:fill="auto"/>
            <w:vAlign w:val="center"/>
            <w:hideMark/>
          </w:tcPr>
          <w:p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TARIFA*</w:t>
            </w:r>
          </w:p>
        </w:tc>
      </w:tr>
      <w:tr w:rsidR="00C450A8" w:rsidRPr="00365D20" w:rsidTr="004F7270">
        <w:trPr>
          <w:trHeight w:val="315"/>
          <w:jc w:val="center"/>
        </w:trPr>
        <w:tc>
          <w:tcPr>
            <w:tcW w:w="240" w:type="dxa"/>
            <w:tcBorders>
              <w:top w:val="nil"/>
              <w:left w:val="nil"/>
              <w:bottom w:val="nil"/>
              <w:right w:val="nil"/>
            </w:tcBorders>
            <w:shd w:val="clear" w:color="auto" w:fill="auto"/>
            <w:noWrap/>
            <w:vAlign w:val="bottom"/>
          </w:tcPr>
          <w:p w:rsidR="00C450A8" w:rsidRPr="00365D20" w:rsidRDefault="00C450A8" w:rsidP="004F7270">
            <w:pPr>
              <w:rPr>
                <w:rFonts w:ascii="Futura Bk BT" w:eastAsia="DejaVu Sans" w:hAnsi="Futura Bk BT"/>
                <w:kern w:val="3"/>
                <w:sz w:val="20"/>
                <w:lang w:val="es-ES" w:eastAsia="zh-CN" w:bidi="hi-IN"/>
              </w:rPr>
            </w:pPr>
          </w:p>
        </w:tc>
        <w:tc>
          <w:tcPr>
            <w:tcW w:w="1675" w:type="dxa"/>
            <w:tcBorders>
              <w:top w:val="single" w:sz="4" w:space="0" w:color="auto"/>
              <w:left w:val="double" w:sz="6" w:space="0" w:color="auto"/>
              <w:bottom w:val="single" w:sz="4" w:space="0" w:color="auto"/>
              <w:right w:val="single" w:sz="4" w:space="0" w:color="auto"/>
            </w:tcBorders>
            <w:shd w:val="clear" w:color="auto" w:fill="auto"/>
            <w:noWrap/>
            <w:vAlign w:val="bottom"/>
          </w:tcPr>
          <w:p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CATEGORIA IEE</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diecinueve (19) vehículos categoría I de servicio público colectivo</w:t>
            </w:r>
          </w:p>
        </w:tc>
        <w:tc>
          <w:tcPr>
            <w:tcW w:w="1054" w:type="dxa"/>
            <w:tcBorders>
              <w:top w:val="single" w:sz="4" w:space="0" w:color="auto"/>
              <w:left w:val="nil"/>
              <w:bottom w:val="single" w:sz="4" w:space="0" w:color="auto"/>
              <w:right w:val="double" w:sz="6" w:space="0" w:color="auto"/>
            </w:tcBorders>
            <w:shd w:val="clear" w:color="auto" w:fill="auto"/>
            <w:noWrap/>
            <w:vAlign w:val="bottom"/>
          </w:tcPr>
          <w:p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5.900,00</w:t>
            </w:r>
          </w:p>
        </w:tc>
      </w:tr>
    </w:tbl>
    <w:p w:rsidR="00C450A8" w:rsidRPr="00BF17FF" w:rsidRDefault="00C450A8" w:rsidP="00C450A8">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*No incluye Fosevi – Tarifas expresadas en pesos del 1° de enero de 2015</w:t>
      </w:r>
    </w:p>
    <w:p w:rsidR="00C450A8" w:rsidRPr="00BF17FF" w:rsidRDefault="00C450A8"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F72752"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sz w:val="22"/>
          <w:szCs w:val="22"/>
          <w:lang w:bidi="hi-IN"/>
        </w:rPr>
        <w:t>CATEGORIA IIE</w:t>
      </w:r>
      <w:r>
        <w:rPr>
          <w:rFonts w:ascii="Futura Bk BT" w:eastAsia="DejaVu Sans" w:hAnsi="Futura Bk BT"/>
          <w:sz w:val="22"/>
          <w:szCs w:val="22"/>
          <w:lang w:bidi="hi-IN"/>
        </w:rPr>
        <w:t>.</w:t>
      </w:r>
    </w:p>
    <w:p w:rsidR="00C450A8" w:rsidRPr="00BF17FF" w:rsidRDefault="00C450A8" w:rsidP="007C547A">
      <w:pPr>
        <w:pStyle w:val="Standard"/>
        <w:autoSpaceDE w:val="0"/>
        <w:jc w:val="both"/>
        <w:rPr>
          <w:rFonts w:ascii="Futura Bk BT" w:eastAsia="DejaVu Sans" w:hAnsi="Futura Bk BT" w:cs="Times New Roman"/>
          <w:sz w:val="22"/>
          <w:szCs w:val="22"/>
          <w:lang w:bidi="hi-IN"/>
        </w:rPr>
      </w:pPr>
    </w:p>
    <w:tbl>
      <w:tblPr>
        <w:tblW w:w="6938" w:type="dxa"/>
        <w:jc w:val="center"/>
        <w:tblLayout w:type="fixed"/>
        <w:tblCellMar>
          <w:left w:w="70" w:type="dxa"/>
          <w:right w:w="70" w:type="dxa"/>
        </w:tblCellMar>
        <w:tblLook w:val="04A0" w:firstRow="1" w:lastRow="0" w:firstColumn="1" w:lastColumn="0" w:noHBand="0" w:noVBand="1"/>
      </w:tblPr>
      <w:tblGrid>
        <w:gridCol w:w="240"/>
        <w:gridCol w:w="1675"/>
        <w:gridCol w:w="3969"/>
        <w:gridCol w:w="1054"/>
      </w:tblGrid>
      <w:tr w:rsidR="00C450A8" w:rsidRPr="00365D20" w:rsidTr="004F7270">
        <w:trPr>
          <w:trHeight w:val="649"/>
          <w:jc w:val="center"/>
        </w:trPr>
        <w:tc>
          <w:tcPr>
            <w:tcW w:w="240" w:type="dxa"/>
            <w:tcBorders>
              <w:top w:val="nil"/>
              <w:left w:val="nil"/>
              <w:bottom w:val="nil"/>
              <w:right w:val="nil"/>
            </w:tcBorders>
            <w:shd w:val="clear" w:color="auto" w:fill="auto"/>
            <w:noWrap/>
            <w:vAlign w:val="bottom"/>
            <w:hideMark/>
          </w:tcPr>
          <w:p w:rsidR="00C450A8" w:rsidRPr="00365D20" w:rsidRDefault="00C450A8" w:rsidP="004F7270">
            <w:pPr>
              <w:rPr>
                <w:rFonts w:ascii="Futura Bk BT" w:eastAsia="DejaVu Sans" w:hAnsi="Futura Bk BT"/>
                <w:kern w:val="3"/>
                <w:sz w:val="20"/>
                <w:lang w:val="es-ES" w:eastAsia="zh-CN" w:bidi="hi-IN"/>
              </w:rPr>
            </w:pPr>
          </w:p>
        </w:tc>
        <w:tc>
          <w:tcPr>
            <w:tcW w:w="1675" w:type="dxa"/>
            <w:tcBorders>
              <w:top w:val="double" w:sz="6" w:space="0" w:color="auto"/>
              <w:left w:val="double" w:sz="6" w:space="0" w:color="auto"/>
              <w:bottom w:val="single" w:sz="8" w:space="0" w:color="auto"/>
              <w:right w:val="single" w:sz="4" w:space="0" w:color="auto"/>
            </w:tcBorders>
            <w:shd w:val="clear" w:color="auto" w:fill="auto"/>
            <w:vAlign w:val="center"/>
            <w:hideMark/>
          </w:tcPr>
          <w:p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CATEGORIA</w:t>
            </w:r>
          </w:p>
        </w:tc>
        <w:tc>
          <w:tcPr>
            <w:tcW w:w="3969" w:type="dxa"/>
            <w:tcBorders>
              <w:top w:val="double" w:sz="6" w:space="0" w:color="auto"/>
              <w:left w:val="nil"/>
              <w:bottom w:val="single" w:sz="8" w:space="0" w:color="auto"/>
              <w:right w:val="single" w:sz="4" w:space="0" w:color="auto"/>
            </w:tcBorders>
            <w:shd w:val="clear" w:color="auto" w:fill="auto"/>
            <w:vAlign w:val="center"/>
            <w:hideMark/>
          </w:tcPr>
          <w:p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DESCRIPCION</w:t>
            </w:r>
          </w:p>
        </w:tc>
        <w:tc>
          <w:tcPr>
            <w:tcW w:w="1054" w:type="dxa"/>
            <w:tcBorders>
              <w:top w:val="double" w:sz="6" w:space="0" w:color="auto"/>
              <w:left w:val="nil"/>
              <w:bottom w:val="single" w:sz="8" w:space="0" w:color="auto"/>
              <w:right w:val="double" w:sz="6" w:space="0" w:color="auto"/>
            </w:tcBorders>
            <w:shd w:val="clear" w:color="auto" w:fill="auto"/>
            <w:vAlign w:val="center"/>
            <w:hideMark/>
          </w:tcPr>
          <w:p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TARIFA*</w:t>
            </w:r>
          </w:p>
        </w:tc>
      </w:tr>
      <w:tr w:rsidR="00C450A8" w:rsidRPr="00365D20" w:rsidTr="004F7270">
        <w:trPr>
          <w:trHeight w:val="315"/>
          <w:jc w:val="center"/>
        </w:trPr>
        <w:tc>
          <w:tcPr>
            <w:tcW w:w="240" w:type="dxa"/>
            <w:tcBorders>
              <w:top w:val="nil"/>
              <w:left w:val="nil"/>
              <w:bottom w:val="nil"/>
              <w:right w:val="nil"/>
            </w:tcBorders>
            <w:shd w:val="clear" w:color="auto" w:fill="auto"/>
            <w:noWrap/>
            <w:vAlign w:val="bottom"/>
          </w:tcPr>
          <w:p w:rsidR="00C450A8" w:rsidRPr="00365D20" w:rsidRDefault="00C450A8" w:rsidP="004F7270">
            <w:pPr>
              <w:rPr>
                <w:rFonts w:ascii="Futura Bk BT" w:eastAsia="DejaVu Sans" w:hAnsi="Futura Bk BT"/>
                <w:kern w:val="3"/>
                <w:sz w:val="20"/>
                <w:lang w:val="es-ES" w:eastAsia="zh-CN" w:bidi="hi-IN"/>
              </w:rPr>
            </w:pPr>
          </w:p>
        </w:tc>
        <w:tc>
          <w:tcPr>
            <w:tcW w:w="1675" w:type="dxa"/>
            <w:tcBorders>
              <w:top w:val="single" w:sz="4" w:space="0" w:color="auto"/>
              <w:left w:val="double" w:sz="6" w:space="0" w:color="auto"/>
              <w:bottom w:val="single" w:sz="4" w:space="0" w:color="auto"/>
              <w:right w:val="single" w:sz="4" w:space="0" w:color="auto"/>
            </w:tcBorders>
            <w:shd w:val="clear" w:color="auto" w:fill="auto"/>
            <w:noWrap/>
            <w:vAlign w:val="bottom"/>
          </w:tcPr>
          <w:p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CATEGORIA IIE</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C450A8" w:rsidRPr="00365D20" w:rsidRDefault="00C450A8"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tarifa especial diferencial para dieciocho (18) vehículos de servicio público “buseta” de la categoría II</w:t>
            </w:r>
          </w:p>
        </w:tc>
        <w:tc>
          <w:tcPr>
            <w:tcW w:w="1054" w:type="dxa"/>
            <w:tcBorders>
              <w:top w:val="single" w:sz="4" w:space="0" w:color="auto"/>
              <w:left w:val="nil"/>
              <w:bottom w:val="single" w:sz="4" w:space="0" w:color="auto"/>
              <w:right w:val="double" w:sz="6" w:space="0" w:color="auto"/>
            </w:tcBorders>
            <w:shd w:val="clear" w:color="auto" w:fill="auto"/>
            <w:noWrap/>
            <w:vAlign w:val="bottom"/>
          </w:tcPr>
          <w:p w:rsidR="00C450A8" w:rsidRPr="00365D20" w:rsidRDefault="00C450A8" w:rsidP="00C450A8">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10.200</w:t>
            </w:r>
          </w:p>
        </w:tc>
      </w:tr>
    </w:tbl>
    <w:p w:rsidR="00C450A8" w:rsidRPr="00BF17FF" w:rsidRDefault="00C450A8" w:rsidP="007C547A">
      <w:pPr>
        <w:pStyle w:val="Standard"/>
        <w:autoSpaceDE w:val="0"/>
        <w:jc w:val="both"/>
        <w:rPr>
          <w:rFonts w:ascii="Futura Bk BT" w:eastAsia="DejaVu Sans" w:hAnsi="Futura Bk BT" w:cs="Times New Roman"/>
          <w:sz w:val="22"/>
          <w:szCs w:val="22"/>
          <w:lang w:bidi="hi-IN"/>
        </w:rPr>
      </w:pPr>
    </w:p>
    <w:p w:rsidR="007C547A"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*No incluye Fosevi – Tarifas expresadas en pesos del 1° de enero de 2015</w:t>
      </w:r>
    </w:p>
    <w:p w:rsidR="001C431A" w:rsidRDefault="001C431A" w:rsidP="007C547A">
      <w:pPr>
        <w:pStyle w:val="Standard"/>
        <w:autoSpaceDE w:val="0"/>
        <w:jc w:val="both"/>
        <w:rPr>
          <w:rFonts w:ascii="Futura Bk BT" w:eastAsia="DejaVu Sans" w:hAnsi="Futura Bk BT" w:cs="Times New Roman"/>
          <w:sz w:val="22"/>
          <w:szCs w:val="22"/>
          <w:lang w:bidi="hi-IN"/>
        </w:rPr>
      </w:pPr>
    </w:p>
    <w:p w:rsidR="001C431A" w:rsidRDefault="001C431A" w:rsidP="007C547A">
      <w:pPr>
        <w:pStyle w:val="Standard"/>
        <w:autoSpaceDE w:val="0"/>
        <w:jc w:val="both"/>
        <w:rPr>
          <w:rFonts w:ascii="Futura Bk BT" w:eastAsia="DejaVu Sans" w:hAnsi="Futura Bk BT" w:cs="Times New Roman"/>
          <w:sz w:val="22"/>
          <w:szCs w:val="22"/>
          <w:lang w:bidi="hi-IN"/>
        </w:rPr>
      </w:pPr>
    </w:p>
    <w:p w:rsidR="001C431A" w:rsidRDefault="001C431A" w:rsidP="007C547A">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Peaje Ocoa:</w:t>
      </w:r>
    </w:p>
    <w:p w:rsidR="001C431A" w:rsidRDefault="001C431A" w:rsidP="007C547A">
      <w:pPr>
        <w:pStyle w:val="Standard"/>
        <w:autoSpaceDE w:val="0"/>
        <w:jc w:val="both"/>
        <w:rPr>
          <w:rFonts w:ascii="Futura Bk BT" w:eastAsia="DejaVu Sans" w:hAnsi="Futura Bk BT" w:cs="Times New Roman"/>
          <w:sz w:val="22"/>
          <w:szCs w:val="22"/>
          <w:lang w:bidi="hi-IN"/>
        </w:rPr>
      </w:pPr>
    </w:p>
    <w:tbl>
      <w:tblPr>
        <w:tblW w:w="6938" w:type="dxa"/>
        <w:jc w:val="center"/>
        <w:tblLayout w:type="fixed"/>
        <w:tblCellMar>
          <w:left w:w="70" w:type="dxa"/>
          <w:right w:w="70" w:type="dxa"/>
        </w:tblCellMar>
        <w:tblLook w:val="04A0" w:firstRow="1" w:lastRow="0" w:firstColumn="1" w:lastColumn="0" w:noHBand="0" w:noVBand="1"/>
      </w:tblPr>
      <w:tblGrid>
        <w:gridCol w:w="240"/>
        <w:gridCol w:w="1675"/>
        <w:gridCol w:w="3969"/>
        <w:gridCol w:w="1054"/>
      </w:tblGrid>
      <w:tr w:rsidR="001C431A" w:rsidRPr="00365D20" w:rsidTr="004F7270">
        <w:trPr>
          <w:trHeight w:val="649"/>
          <w:jc w:val="center"/>
        </w:trPr>
        <w:tc>
          <w:tcPr>
            <w:tcW w:w="240" w:type="dxa"/>
            <w:tcBorders>
              <w:top w:val="nil"/>
              <w:left w:val="nil"/>
              <w:bottom w:val="nil"/>
              <w:right w:val="nil"/>
            </w:tcBorders>
            <w:shd w:val="clear" w:color="auto" w:fill="auto"/>
            <w:noWrap/>
            <w:vAlign w:val="bottom"/>
            <w:hideMark/>
          </w:tcPr>
          <w:p w:rsidR="001C431A" w:rsidRPr="00365D20" w:rsidRDefault="001C431A" w:rsidP="004F7270">
            <w:pPr>
              <w:rPr>
                <w:rFonts w:ascii="Futura Bk BT" w:eastAsia="DejaVu Sans" w:hAnsi="Futura Bk BT"/>
                <w:kern w:val="3"/>
                <w:sz w:val="20"/>
                <w:lang w:val="es-ES" w:eastAsia="zh-CN" w:bidi="hi-IN"/>
              </w:rPr>
            </w:pPr>
          </w:p>
        </w:tc>
        <w:tc>
          <w:tcPr>
            <w:tcW w:w="1675" w:type="dxa"/>
            <w:tcBorders>
              <w:top w:val="double" w:sz="6" w:space="0" w:color="auto"/>
              <w:left w:val="double" w:sz="6" w:space="0" w:color="auto"/>
              <w:bottom w:val="single" w:sz="8" w:space="0" w:color="auto"/>
              <w:right w:val="single" w:sz="4" w:space="0" w:color="auto"/>
            </w:tcBorders>
            <w:shd w:val="clear" w:color="auto" w:fill="auto"/>
            <w:vAlign w:val="center"/>
            <w:hideMark/>
          </w:tcPr>
          <w:p w:rsidR="001C431A" w:rsidRPr="00365D20" w:rsidRDefault="001C431A"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CATEGORIA</w:t>
            </w:r>
          </w:p>
        </w:tc>
        <w:tc>
          <w:tcPr>
            <w:tcW w:w="3969" w:type="dxa"/>
            <w:tcBorders>
              <w:top w:val="double" w:sz="6" w:space="0" w:color="auto"/>
              <w:left w:val="nil"/>
              <w:bottom w:val="single" w:sz="8" w:space="0" w:color="auto"/>
              <w:right w:val="single" w:sz="4" w:space="0" w:color="auto"/>
            </w:tcBorders>
            <w:shd w:val="clear" w:color="auto" w:fill="auto"/>
            <w:vAlign w:val="center"/>
            <w:hideMark/>
          </w:tcPr>
          <w:p w:rsidR="001C431A" w:rsidRPr="00365D20" w:rsidRDefault="001C431A"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DESCRIPCION</w:t>
            </w:r>
          </w:p>
        </w:tc>
        <w:tc>
          <w:tcPr>
            <w:tcW w:w="1054" w:type="dxa"/>
            <w:tcBorders>
              <w:top w:val="double" w:sz="6" w:space="0" w:color="auto"/>
              <w:left w:val="nil"/>
              <w:bottom w:val="single" w:sz="8" w:space="0" w:color="auto"/>
              <w:right w:val="double" w:sz="6" w:space="0" w:color="auto"/>
            </w:tcBorders>
            <w:shd w:val="clear" w:color="auto" w:fill="auto"/>
            <w:vAlign w:val="center"/>
            <w:hideMark/>
          </w:tcPr>
          <w:p w:rsidR="001C431A" w:rsidRPr="00365D20" w:rsidRDefault="001C431A"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TARIFA*</w:t>
            </w:r>
          </w:p>
        </w:tc>
      </w:tr>
      <w:tr w:rsidR="001C431A" w:rsidRPr="00365D20" w:rsidTr="004F7270">
        <w:trPr>
          <w:trHeight w:val="315"/>
          <w:jc w:val="center"/>
        </w:trPr>
        <w:tc>
          <w:tcPr>
            <w:tcW w:w="240" w:type="dxa"/>
            <w:tcBorders>
              <w:top w:val="nil"/>
              <w:left w:val="nil"/>
              <w:bottom w:val="nil"/>
              <w:right w:val="nil"/>
            </w:tcBorders>
            <w:shd w:val="clear" w:color="auto" w:fill="auto"/>
            <w:noWrap/>
            <w:vAlign w:val="bottom"/>
          </w:tcPr>
          <w:p w:rsidR="001C431A" w:rsidRPr="00365D20" w:rsidRDefault="001C431A" w:rsidP="004F7270">
            <w:pPr>
              <w:rPr>
                <w:rFonts w:ascii="Futura Bk BT" w:eastAsia="DejaVu Sans" w:hAnsi="Futura Bk BT"/>
                <w:kern w:val="3"/>
                <w:sz w:val="20"/>
                <w:lang w:val="es-ES" w:eastAsia="zh-CN" w:bidi="hi-IN"/>
              </w:rPr>
            </w:pPr>
          </w:p>
        </w:tc>
        <w:tc>
          <w:tcPr>
            <w:tcW w:w="1675" w:type="dxa"/>
            <w:tcBorders>
              <w:top w:val="single" w:sz="4" w:space="0" w:color="auto"/>
              <w:left w:val="double" w:sz="6" w:space="0" w:color="auto"/>
              <w:bottom w:val="single" w:sz="4" w:space="0" w:color="auto"/>
              <w:right w:val="single" w:sz="4" w:space="0" w:color="auto"/>
            </w:tcBorders>
            <w:shd w:val="clear" w:color="auto" w:fill="auto"/>
            <w:noWrap/>
            <w:vAlign w:val="bottom"/>
          </w:tcPr>
          <w:p w:rsidR="001C431A" w:rsidRPr="00365D20" w:rsidRDefault="001C431A"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CATEGORIA IE</w:t>
            </w:r>
          </w:p>
        </w:tc>
        <w:tc>
          <w:tcPr>
            <w:tcW w:w="3969" w:type="dxa"/>
            <w:tcBorders>
              <w:top w:val="single" w:sz="4" w:space="0" w:color="auto"/>
              <w:left w:val="nil"/>
              <w:bottom w:val="single" w:sz="4" w:space="0" w:color="auto"/>
              <w:right w:val="single" w:sz="4" w:space="0" w:color="auto"/>
            </w:tcBorders>
            <w:shd w:val="clear" w:color="auto" w:fill="auto"/>
            <w:noWrap/>
            <w:vAlign w:val="bottom"/>
          </w:tcPr>
          <w:p w:rsidR="001C431A" w:rsidRPr="00365D20" w:rsidRDefault="001C431A" w:rsidP="001C431A">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Ocho (8) vehículos categoría I de servicio público colectivo</w:t>
            </w:r>
          </w:p>
        </w:tc>
        <w:tc>
          <w:tcPr>
            <w:tcW w:w="1054" w:type="dxa"/>
            <w:tcBorders>
              <w:top w:val="single" w:sz="4" w:space="0" w:color="auto"/>
              <w:left w:val="nil"/>
              <w:bottom w:val="single" w:sz="4" w:space="0" w:color="auto"/>
              <w:right w:val="double" w:sz="6" w:space="0" w:color="auto"/>
            </w:tcBorders>
            <w:shd w:val="clear" w:color="auto" w:fill="auto"/>
            <w:noWrap/>
            <w:vAlign w:val="bottom"/>
          </w:tcPr>
          <w:p w:rsidR="001C431A" w:rsidRPr="00365D20" w:rsidRDefault="001C431A" w:rsidP="004F7270">
            <w:pPr>
              <w:tabs>
                <w:tab w:val="left" w:pos="709"/>
              </w:tabs>
              <w:autoSpaceDE w:val="0"/>
              <w:autoSpaceDN w:val="0"/>
              <w:adjustRightInd w:val="0"/>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3.200,00</w:t>
            </w:r>
          </w:p>
        </w:tc>
      </w:tr>
    </w:tbl>
    <w:p w:rsidR="001C431A" w:rsidRPr="00BF17FF" w:rsidRDefault="001C431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E5DAB" w:rsidP="007C547A">
      <w:pPr>
        <w:pStyle w:val="Standard"/>
        <w:autoSpaceDE w:val="0"/>
        <w:jc w:val="both"/>
        <w:rPr>
          <w:rFonts w:ascii="Futura Bk BT" w:eastAsia="DejaVu Sans" w:hAnsi="Futura Bk BT" w:cs="Times New Roman"/>
          <w:sz w:val="22"/>
          <w:szCs w:val="22"/>
          <w:lang w:bidi="hi-IN"/>
        </w:rPr>
      </w:pPr>
      <w:r>
        <w:rPr>
          <w:rFonts w:ascii="Futura Bk BT" w:eastAsia="DejaVu Sans" w:hAnsi="Futura Bk BT" w:cs="Times New Roman"/>
          <w:sz w:val="22"/>
          <w:szCs w:val="22"/>
          <w:lang w:bidi="hi-IN"/>
        </w:rPr>
        <w:t>Parágrafo1.</w:t>
      </w:r>
      <w:r w:rsidR="007C547A" w:rsidRPr="00BF17FF">
        <w:rPr>
          <w:rFonts w:ascii="Futura Bk BT" w:eastAsia="DejaVu Sans" w:hAnsi="Futura Bk BT" w:cs="Times New Roman"/>
          <w:sz w:val="22"/>
          <w:szCs w:val="22"/>
          <w:lang w:bidi="hi-IN"/>
        </w:rPr>
        <w:t>-</w:t>
      </w:r>
      <w:r w:rsidRPr="00BF17FF">
        <w:rPr>
          <w:rFonts w:ascii="Futura Bk BT" w:eastAsia="DejaVu Sans" w:hAnsi="Futura Bk BT" w:cs="Times New Roman"/>
          <w:sz w:val="22"/>
          <w:szCs w:val="22"/>
          <w:lang w:bidi="hi-IN"/>
        </w:rPr>
        <w:t>: Establecer</w:t>
      </w:r>
      <w:r w:rsidR="007C547A" w:rsidRPr="00BF17FF">
        <w:rPr>
          <w:rFonts w:ascii="Futura Bk BT" w:eastAsia="DejaVu Sans" w:hAnsi="Futura Bk BT" w:cs="Times New Roman"/>
          <w:sz w:val="22"/>
          <w:szCs w:val="22"/>
          <w:lang w:bidi="hi-IN"/>
        </w:rPr>
        <w:t xml:space="preserve"> el número </w:t>
      </w:r>
      <w:r w:rsidR="000B0A3F" w:rsidRPr="00BF17FF">
        <w:rPr>
          <w:rFonts w:ascii="Futura Bk BT" w:eastAsia="DejaVu Sans" w:hAnsi="Futura Bk BT" w:cs="Times New Roman"/>
          <w:sz w:val="22"/>
          <w:szCs w:val="22"/>
          <w:lang w:bidi="hi-IN"/>
        </w:rPr>
        <w:t xml:space="preserve">máximo </w:t>
      </w:r>
      <w:r w:rsidR="007C547A" w:rsidRPr="00BF17FF">
        <w:rPr>
          <w:rFonts w:ascii="Futura Bk BT" w:eastAsia="DejaVu Sans" w:hAnsi="Futura Bk BT" w:cs="Times New Roman"/>
          <w:sz w:val="22"/>
          <w:szCs w:val="22"/>
          <w:lang w:bidi="hi-IN"/>
        </w:rPr>
        <w:t>de beneficiarios, para cada una de las categorías de cobro en las estaciones de peajes de CaseTabla y Yucao descritos en la presente Resolución, así:</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tbl>
      <w:tblPr>
        <w:tblW w:w="7417" w:type="dxa"/>
        <w:jc w:val="center"/>
        <w:tblCellMar>
          <w:left w:w="10" w:type="dxa"/>
          <w:right w:w="10" w:type="dxa"/>
        </w:tblCellMar>
        <w:tblLook w:val="0000" w:firstRow="0" w:lastRow="0" w:firstColumn="0" w:lastColumn="0" w:noHBand="0" w:noVBand="0"/>
      </w:tblPr>
      <w:tblGrid>
        <w:gridCol w:w="1747"/>
        <w:gridCol w:w="5670"/>
      </w:tblGrid>
      <w:tr w:rsidR="007C547A" w:rsidRPr="00365D20" w:rsidTr="00C66A31">
        <w:trPr>
          <w:trHeight w:val="111"/>
          <w:jc w:val="center"/>
        </w:trPr>
        <w:tc>
          <w:tcPr>
            <w:tcW w:w="1747"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365D20" w:rsidRDefault="007C547A" w:rsidP="00C66A31">
            <w:pPr>
              <w:spacing w:line="106" w:lineRule="atLeast"/>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Categoría</w:t>
            </w:r>
          </w:p>
        </w:tc>
        <w:tc>
          <w:tcPr>
            <w:tcW w:w="5670" w:type="dxa"/>
            <w:tcBorders>
              <w:top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365D20" w:rsidRDefault="007C547A" w:rsidP="00C66A31">
            <w:pPr>
              <w:spacing w:line="106" w:lineRule="atLeast"/>
              <w:jc w:val="cente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Cantidad de Beneficios para el paso por las estaciones de peaje de Case Tabla y Yucao</w:t>
            </w:r>
          </w:p>
        </w:tc>
      </w:tr>
      <w:tr w:rsidR="007C547A" w:rsidRPr="00365D20" w:rsidTr="00C66A31">
        <w:trPr>
          <w:trHeight w:val="1553"/>
          <w:jc w:val="center"/>
        </w:trPr>
        <w:tc>
          <w:tcPr>
            <w:tcW w:w="174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365D20" w:rsidRDefault="007C547A" w:rsidP="00C66A31">
            <w:pP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Categoría IE</w:t>
            </w:r>
          </w:p>
        </w:tc>
        <w:tc>
          <w:tcPr>
            <w:tcW w:w="5670"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365D20" w:rsidRDefault="007C547A" w:rsidP="00C66A31">
            <w:pPr>
              <w:jc w:val="both"/>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 xml:space="preserve">Residentes de Puerto López: 159 Automóviles y 12 vehículos de servicio público de transporte individual con planilla de viaje ocasional </w:t>
            </w:r>
          </w:p>
          <w:p w:rsidR="007C547A" w:rsidRPr="00365D20" w:rsidRDefault="007C547A" w:rsidP="00C66A31">
            <w:pPr>
              <w:jc w:val="both"/>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 xml:space="preserve">Residentes de Puerto Gaitán: 132 Automóviles y 7 vehículos de servicio público de transporte individual con planilla de viaje ocasional. </w:t>
            </w:r>
          </w:p>
        </w:tc>
      </w:tr>
      <w:tr w:rsidR="007C547A" w:rsidRPr="00365D20" w:rsidTr="00C66A31">
        <w:trPr>
          <w:trHeight w:val="541"/>
          <w:jc w:val="center"/>
        </w:trPr>
        <w:tc>
          <w:tcPr>
            <w:tcW w:w="174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365D20" w:rsidRDefault="007C547A" w:rsidP="00C66A31">
            <w:pP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Categoría IIE</w:t>
            </w:r>
          </w:p>
        </w:tc>
        <w:tc>
          <w:tcPr>
            <w:tcW w:w="5670"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365D20" w:rsidRDefault="007C547A" w:rsidP="00C66A31">
            <w:pPr>
              <w:jc w:val="both"/>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100 beneficios para buses de servicio público que realizan el recorrido entre Puerto López y Puerto Gaitán</w:t>
            </w:r>
          </w:p>
        </w:tc>
      </w:tr>
      <w:tr w:rsidR="007C547A" w:rsidRPr="00365D20" w:rsidTr="00C66A31">
        <w:trPr>
          <w:trHeight w:val="549"/>
          <w:jc w:val="center"/>
        </w:trPr>
        <w:tc>
          <w:tcPr>
            <w:tcW w:w="174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365D20" w:rsidRDefault="007C547A" w:rsidP="00C66A31">
            <w:pP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Categoría IIIE</w:t>
            </w:r>
          </w:p>
        </w:tc>
        <w:tc>
          <w:tcPr>
            <w:tcW w:w="5670"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365D20" w:rsidRDefault="007C547A" w:rsidP="00C66A31">
            <w:pPr>
              <w:jc w:val="both"/>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30 beneficios para vehículos de esta categoría que realizan el recorrido entre Puerto López y Puerto Gaitán</w:t>
            </w:r>
          </w:p>
        </w:tc>
      </w:tr>
      <w:tr w:rsidR="007C547A" w:rsidRPr="00365D20" w:rsidTr="00C66A31">
        <w:trPr>
          <w:trHeight w:val="557"/>
          <w:jc w:val="center"/>
        </w:trPr>
        <w:tc>
          <w:tcPr>
            <w:tcW w:w="174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365D20" w:rsidRDefault="007C547A" w:rsidP="00C66A31">
            <w:pP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Categoría IVE</w:t>
            </w:r>
          </w:p>
        </w:tc>
        <w:tc>
          <w:tcPr>
            <w:tcW w:w="5670"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365D20" w:rsidRDefault="007C547A" w:rsidP="00C66A31">
            <w:pPr>
              <w:jc w:val="both"/>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60 beneficios para vehículos de esta categoría que realizan el recorrido entre Puerto López y Puerto Gaitán</w:t>
            </w:r>
          </w:p>
        </w:tc>
      </w:tr>
      <w:tr w:rsidR="007C547A" w:rsidRPr="00365D20" w:rsidTr="00C66A31">
        <w:trPr>
          <w:trHeight w:val="537"/>
          <w:jc w:val="center"/>
        </w:trPr>
        <w:tc>
          <w:tcPr>
            <w:tcW w:w="174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365D20" w:rsidRDefault="007C547A" w:rsidP="00C66A31">
            <w:pP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Categoría VE</w:t>
            </w:r>
          </w:p>
        </w:tc>
        <w:tc>
          <w:tcPr>
            <w:tcW w:w="5670"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365D20" w:rsidRDefault="007C547A" w:rsidP="00C66A31">
            <w:pPr>
              <w:jc w:val="both"/>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60 beneficios para vehículos de esta categoría que realizan el recorrido entre Puerto López y Puerto Gaitán</w:t>
            </w:r>
          </w:p>
        </w:tc>
      </w:tr>
      <w:tr w:rsidR="007C547A" w:rsidRPr="00365D20" w:rsidTr="00C66A31">
        <w:trPr>
          <w:trHeight w:val="601"/>
          <w:jc w:val="center"/>
        </w:trPr>
        <w:tc>
          <w:tcPr>
            <w:tcW w:w="174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365D20" w:rsidRDefault="007C547A" w:rsidP="00C66A31">
            <w:pP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Categoría VIE</w:t>
            </w:r>
          </w:p>
        </w:tc>
        <w:tc>
          <w:tcPr>
            <w:tcW w:w="5670"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365D20" w:rsidRDefault="007C547A" w:rsidP="00C66A31">
            <w:pPr>
              <w:jc w:val="both"/>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70 beneficios para vehículos de esta categoría que realizan el recorrido entre Puerto López y Puerto Gaitán</w:t>
            </w:r>
          </w:p>
        </w:tc>
      </w:tr>
      <w:tr w:rsidR="007C547A" w:rsidRPr="00365D20" w:rsidTr="00C66A31">
        <w:trPr>
          <w:trHeight w:val="703"/>
          <w:jc w:val="center"/>
        </w:trPr>
        <w:tc>
          <w:tcPr>
            <w:tcW w:w="1747" w:type="dxa"/>
            <w:tcBorders>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rsidR="007C547A" w:rsidRPr="00365D20" w:rsidRDefault="007C547A" w:rsidP="00C66A31">
            <w:pPr>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Categoría VIIE</w:t>
            </w:r>
          </w:p>
        </w:tc>
        <w:tc>
          <w:tcPr>
            <w:tcW w:w="5670" w:type="dxa"/>
            <w:tcBorders>
              <w:bottom w:val="single" w:sz="8" w:space="0" w:color="000000"/>
              <w:right w:val="single" w:sz="8" w:space="0" w:color="000000"/>
            </w:tcBorders>
            <w:shd w:val="clear" w:color="auto" w:fill="auto"/>
            <w:tcMar>
              <w:top w:w="0" w:type="dxa"/>
              <w:left w:w="108" w:type="dxa"/>
              <w:bottom w:w="0" w:type="dxa"/>
              <w:right w:w="108" w:type="dxa"/>
            </w:tcMar>
          </w:tcPr>
          <w:p w:rsidR="007C547A" w:rsidRPr="00365D20" w:rsidRDefault="007C547A" w:rsidP="00C66A31">
            <w:pPr>
              <w:jc w:val="both"/>
              <w:rPr>
                <w:rFonts w:ascii="Futura Bk BT" w:eastAsia="DejaVu Sans" w:hAnsi="Futura Bk BT"/>
                <w:kern w:val="3"/>
                <w:sz w:val="20"/>
                <w:lang w:val="es-ES" w:eastAsia="zh-CN" w:bidi="hi-IN"/>
              </w:rPr>
            </w:pPr>
            <w:r w:rsidRPr="00365D20">
              <w:rPr>
                <w:rFonts w:ascii="Futura Bk BT" w:eastAsia="DejaVu Sans" w:hAnsi="Futura Bk BT"/>
                <w:kern w:val="3"/>
                <w:sz w:val="20"/>
                <w:lang w:val="es-ES" w:eastAsia="zh-CN" w:bidi="hi-IN"/>
              </w:rPr>
              <w:t xml:space="preserve">2 beneficios para vehículos de esta categoría que realizan el recorrido entre Puerto López y Puerto Gaitán </w:t>
            </w:r>
          </w:p>
        </w:tc>
      </w:tr>
    </w:tbl>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ARTÍCULO </w:t>
      </w:r>
      <w:r w:rsidR="000755BA" w:rsidRPr="00BF17FF">
        <w:rPr>
          <w:rFonts w:ascii="Futura Bk BT" w:eastAsia="DejaVu Sans" w:hAnsi="Futura Bk BT" w:cs="Times New Roman"/>
          <w:sz w:val="22"/>
          <w:szCs w:val="22"/>
          <w:lang w:bidi="hi-IN"/>
        </w:rPr>
        <w:t>3</w:t>
      </w:r>
      <w:r w:rsidRPr="00BF17FF">
        <w:rPr>
          <w:rFonts w:ascii="Futura Bk BT" w:eastAsia="DejaVu Sans" w:hAnsi="Futura Bk BT" w:cs="Times New Roman"/>
          <w:sz w:val="22"/>
          <w:szCs w:val="22"/>
          <w:lang w:bidi="hi-IN"/>
        </w:rPr>
        <w:t>.- Modificar parcialmente el Artículo Séptimo de la Resolución 1130 de 2015  Requisitos para obtener el beneficio de tarifa diferencial, específicamente los literales e) y f) para el caso de los vehículos de servicio público y los literales a), b), d) y e) para el caso de los vehículos de servicio particular así:</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l. REQUISITOS PARA OBTENER EL BENEFICIO</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VEHÍCULOS SERVICIO PÚBLICO</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Los propietarios de vehículos de servicio público y/o con contrato de leasing indicados en el Artículo 4° de la presente Resolución, que soliciten el derecho al beneficio de la tarifa especial en los peajes de Casetabla, Yucao, la Libertad, Ocoa e Iracá deberán entregar los siguientes documentos:</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e) Licencia de tránsito a nombre del titular del vehículo y fotocopia del SOAT del Vehículo vigente. En los eventos en los cuales el vehículo se adquirió por leasing se deberá acreditar la calidad de locatario mediante la correspondiente certificación de la entidad financiera.</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f) Certificado de vinculación de los vehículos a las cooperativas o empresas antes mencionadas,</w:t>
      </w:r>
      <w:r w:rsidRPr="00BF17FF">
        <w:rPr>
          <w:rFonts w:ascii="Futura Bk BT" w:eastAsia="DejaVu Sans" w:hAnsi="Futura Bk BT" w:cs="Times New Roman"/>
          <w:sz w:val="22"/>
          <w:szCs w:val="22"/>
          <w:lang w:bidi="hi-IN"/>
        </w:rPr>
        <w:commentReference w:id="3"/>
      </w:r>
      <w:r w:rsidRPr="00BF17FF">
        <w:rPr>
          <w:rFonts w:ascii="Futura Bk BT" w:eastAsia="DejaVu Sans" w:hAnsi="Futura Bk BT" w:cs="Times New Roman"/>
          <w:sz w:val="22"/>
          <w:szCs w:val="22"/>
          <w:lang w:bidi="hi-IN"/>
        </w:rPr>
        <w:t xml:space="preserve"> donde se especifique la estación de peaje sobre la cual está solicitando el beneficio de tarifa especial diferencial, el cual deberá se expedido por el representante legal de la empresa;</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VEHÍCULOS PARTICULARES</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Los documentos que deberán presentarse para solicitar el beneficio de tarifa especial diferencial son:</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a) Certificado de tradición y libertad del inmueble del solicitante (titular del vehículo) o copia auténtica del contrato de arrendamiento a nombre del solicitante o su conyugue o familiar en primer grado de consanguinidad;</w:t>
      </w:r>
    </w:p>
    <w:p w:rsidR="007C547A" w:rsidRPr="00BF17FF" w:rsidRDefault="007C547A" w:rsidP="007C547A">
      <w:pPr>
        <w:pStyle w:val="Standard"/>
        <w:autoSpaceDE w:val="0"/>
        <w:ind w:left="360"/>
        <w:jc w:val="both"/>
        <w:rPr>
          <w:rFonts w:ascii="Futura Bk BT" w:eastAsia="DejaVu Sans" w:hAnsi="Futura Bk BT" w:cs="Times New Roman"/>
          <w:sz w:val="22"/>
          <w:szCs w:val="22"/>
          <w:lang w:bidi="hi-IN"/>
        </w:rPr>
      </w:pPr>
    </w:p>
    <w:p w:rsidR="007C547A" w:rsidRPr="00BF17FF" w:rsidRDefault="007C547A" w:rsidP="007C547A">
      <w:pPr>
        <w:autoSpaceDE w:val="0"/>
        <w:jc w:val="both"/>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b) Acreditar la titularidad de máximo un (1) vehículo de servicio particular por solicitante ya sea propietario del bien inmueble o arrendatario, en su defecto a nombre de su cónyuge o familiar en primer grado de consanguinidad;</w:t>
      </w:r>
    </w:p>
    <w:p w:rsidR="007C547A" w:rsidRPr="00BF17FF" w:rsidRDefault="007C547A" w:rsidP="007C547A">
      <w:pPr>
        <w:autoSpaceDE w:val="0"/>
        <w:jc w:val="both"/>
        <w:rPr>
          <w:rFonts w:ascii="Futura Bk BT" w:eastAsia="DejaVu Sans" w:hAnsi="Futura Bk BT"/>
          <w:kern w:val="3"/>
          <w:sz w:val="22"/>
          <w:szCs w:val="22"/>
          <w:lang w:val="es-ES" w:eastAsia="zh-CN"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d) Fotocopia de la Licencia de tránsito a nombre del titular del vehículo y del SOAT del Vehículo vigente. En los eventos en los cuales el vehículo se adquirió por leasing se deberá acreditar la calidad de locatario mediante la correspondiente certificación de la entidad financiera;</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e) No tener sanciones vigentes por infracción a las normas de tránsito ni acuerdos de pago.</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Parágrafo 2°. Si el titular del beneficio de tarifa especial diferencial llegase a cambiar el lugar de residencia reportado en la solicitud presentada inicialmente para adquirir el beneficio, deberá reportarlo a las oficinas de la Concesión, con el fin de actualizar la información y contacto del titular.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II. FRECUENCIA MÍNIMA</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Para acceder y mantener el beneficio de la tarifa especial diferencial el propietario del vehículo deberá transitar por la estación de peaje sobre la cual tiene el beneficio, con una frecuencia mínima de ocho (8) viajes (ida y vuelta) al mes</w:t>
      </w:r>
      <w:r w:rsidRPr="00BF17FF">
        <w:rPr>
          <w:rFonts w:ascii="Futura Bk BT" w:eastAsia="DejaVu Sans" w:hAnsi="Futura Bk BT" w:cs="Times New Roman"/>
          <w:sz w:val="22"/>
          <w:szCs w:val="22"/>
          <w:lang w:bidi="hi-IN"/>
        </w:rPr>
        <w:commentReference w:id="4"/>
      </w:r>
      <w:r w:rsidRPr="00BF17FF">
        <w:rPr>
          <w:rFonts w:ascii="Futura Bk BT" w:eastAsia="DejaVu Sans" w:hAnsi="Futura Bk BT" w:cs="Times New Roman"/>
          <w:sz w:val="22"/>
          <w:szCs w:val="22"/>
          <w:lang w:bidi="hi-IN"/>
        </w:rPr>
        <w:t>, equivalente a dieciséis (16) pasadas por el peaje al mes. En el evento de no cumplir con un mínimo de cuarenta (40) viajes (ida y vuelta) durante los últimos seis (6) meses, el beneficio otorgado será suspendido por la Agencia Nacional de Infraestructura, quien informará del hecho al beneficiario de la tarifa, en el término de quince (15) días siguientes al recibo de la comunicación, para que aporte los documentos que justifiquen el no cumplimiento de los pasos mensuales requeridos.</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Vencido este término la Agencia Nacional de Infraestructura decidirá si se mantiene o no el beneficio de la tarifa especial diferencial. En todo caso, la decisión deberá ser informada al Concesionario y al beneficiario. El usuario que ha perdido el beneficio podrá enviar nuevamente su solicitud a la Agencia transcurridos seis (6) meses de retirado el beneficio. Así mismo, para reasignación de un beneficio, el solicitante podrá enviar su solicitud a la Agencia Nacional de Infraestructura, remitiendo los documentos descritos en el presente artículo según el caso para acceder y mantener la tarifa especial diferencial.</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En caso de no existir disponibilidad de beneficio, el solicitante ingresará a una lista de espera. Una vez cumplidos los requisitos anteriores, se procede con la autorización, emisión y entrega de la tarjeta por parte del concesionario.</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III. PROCEDIMIENTO PARA ACCEDER AL BENEFICIO</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1.</w:t>
      </w:r>
      <w:r w:rsidRPr="00BF17FF">
        <w:rPr>
          <w:rFonts w:ascii="Futura Bk BT" w:eastAsia="DejaVu Sans" w:hAnsi="Futura Bk BT" w:cs="Times New Roman"/>
          <w:sz w:val="22"/>
          <w:szCs w:val="22"/>
          <w:lang w:bidi="hi-IN"/>
        </w:rPr>
        <w:tab/>
        <w:t>El beneficiario directamente o a través de una tercera persona debidamente autorizada deberá radicar en las oficinas de la Concesión Vial de los Llanos, los documentos requeridos en la presente Resolución.</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2.</w:t>
      </w:r>
      <w:r w:rsidRPr="00BF17FF">
        <w:rPr>
          <w:rFonts w:ascii="Futura Bk BT" w:eastAsia="DejaVu Sans" w:hAnsi="Futura Bk BT" w:cs="Times New Roman"/>
          <w:sz w:val="22"/>
          <w:szCs w:val="22"/>
          <w:lang w:bidi="hi-IN"/>
        </w:rPr>
        <w:tab/>
        <w:t>En un plazo no superior a treinta (30) días hábiles, el concesionario y la interventoría, verificarán el estado de los cupos y el cumplimiento de los requisitos establecidos en el presente acto administrativo, informando a la Agencia Nacional de Infraestructura quien a su vez avalará el otorgamiento o no del beneficio.</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3.</w:t>
      </w:r>
      <w:r w:rsidRPr="00BF17FF">
        <w:rPr>
          <w:rFonts w:ascii="Futura Bk BT" w:eastAsia="DejaVu Sans" w:hAnsi="Futura Bk BT" w:cs="Times New Roman"/>
          <w:sz w:val="22"/>
          <w:szCs w:val="22"/>
          <w:lang w:bidi="hi-IN"/>
        </w:rPr>
        <w:tab/>
        <w:t xml:space="preserve">Vencido este término el beneficiario deberá consultar en la página WEB de la Concesión Vial de los Llanos </w:t>
      </w:r>
      <w:hyperlink r:id="rId12" w:history="1">
        <w:r w:rsidRPr="00365D20">
          <w:rPr>
            <w:rFonts w:ascii="Futura Bk BT" w:eastAsia="DejaVu Sans" w:hAnsi="Futura Bk BT" w:cs="Times New Roman"/>
            <w:sz w:val="22"/>
            <w:szCs w:val="22"/>
            <w:lang w:bidi="hi-IN"/>
          </w:rPr>
          <w:t>www.cllanos.co</w:t>
        </w:r>
      </w:hyperlink>
      <w:r w:rsidRPr="00BF17FF">
        <w:rPr>
          <w:rFonts w:ascii="Futura Bk BT" w:eastAsia="DejaVu Sans" w:hAnsi="Futura Bk BT" w:cs="Times New Roman"/>
          <w:sz w:val="22"/>
          <w:szCs w:val="22"/>
          <w:lang w:bidi="hi-IN"/>
        </w:rPr>
        <w:t xml:space="preserve"> o </w:t>
      </w:r>
      <w:hyperlink r:id="rId13" w:history="1">
        <w:r w:rsidRPr="00365D20">
          <w:rPr>
            <w:rFonts w:ascii="Futura Bk BT" w:eastAsia="DejaVu Sans" w:hAnsi="Futura Bk BT" w:cs="Times New Roman"/>
            <w:sz w:val="22"/>
            <w:szCs w:val="22"/>
            <w:lang w:bidi="hi-IN"/>
          </w:rPr>
          <w:t>www.concesionvialdelosllanos.co</w:t>
        </w:r>
      </w:hyperlink>
      <w:r w:rsidRPr="00BF17FF">
        <w:rPr>
          <w:rFonts w:ascii="Futura Bk BT" w:eastAsia="DejaVu Sans" w:hAnsi="Futura Bk BT" w:cs="Times New Roman"/>
          <w:sz w:val="22"/>
          <w:szCs w:val="22"/>
          <w:lang w:bidi="hi-IN"/>
        </w:rPr>
        <w:t xml:space="preserve">  acerca de su trámite.</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4.</w:t>
      </w:r>
      <w:r w:rsidRPr="00BF17FF">
        <w:rPr>
          <w:rFonts w:ascii="Futura Bk BT" w:eastAsia="DejaVu Sans" w:hAnsi="Futura Bk BT" w:cs="Times New Roman"/>
          <w:sz w:val="22"/>
          <w:szCs w:val="22"/>
          <w:lang w:bidi="hi-IN"/>
        </w:rPr>
        <w:tab/>
        <w:t>En el evento que sea otorgado el beneficio, el titular del beneficio deberá presentarse al Concesionario en un plazo no superior a los treinta (30) días hábiles siguientes a la publicación en la página WEB, con el propósito de agendar cita para la instalación y pago de la TIE, previa validación de identidad tanto del titular del beneficiario como del vehículo.</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5. </w:t>
      </w:r>
      <w:r w:rsidRPr="00BF17FF">
        <w:rPr>
          <w:rFonts w:ascii="Futura Bk BT" w:eastAsia="DejaVu Sans" w:hAnsi="Futura Bk BT" w:cs="Times New Roman"/>
          <w:sz w:val="22"/>
          <w:szCs w:val="22"/>
          <w:lang w:bidi="hi-IN"/>
        </w:rPr>
        <w:tab/>
        <w:t>En el evento que sea otorgado el beneficio y se encuentre alguna irregularidad en el cumplimiento de los requisitos mínimos, el Concesionario informará a la Agencia Nacional de Infraestructura, quien informará del hecho al beneficiario de la tarifa dentro de los quince (15) días calendario, otorgando una sanción de doce (12) meses del beneficio otorgado. En caso de fraude, se informara a las autoridades competentes.</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Vencido este término la Agencia Nacional de Infraestructura decidirá si se mantiene o no el beneficio de la tarifa especial diferencial. En todo caso, la decisión deberá ser informada al Concesionario y al beneficiario. El usuario que ha perdido el beneficio podrá enviar nuevamente su solicitud a la Agencia transcurridos los doce (12) meses de retirado el beneficio. Así mismo, para reasignación de un beneficio, el solicitante podrá enviar su solicitud a la Agencia Nacional de Infraestructura, remitiendo los documentos descritos en el presente artículo según el caso para acceder y mantener la tarifa especial diferencial.</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ARTÍCULO </w:t>
      </w:r>
      <w:r w:rsidR="000755BA" w:rsidRPr="00BF17FF">
        <w:rPr>
          <w:rFonts w:ascii="Futura Bk BT" w:eastAsia="DejaVu Sans" w:hAnsi="Futura Bk BT" w:cs="Times New Roman"/>
          <w:sz w:val="22"/>
          <w:szCs w:val="22"/>
          <w:lang w:bidi="hi-IN"/>
        </w:rPr>
        <w:t>4</w:t>
      </w:r>
      <w:r w:rsidRPr="00BF17FF">
        <w:rPr>
          <w:rFonts w:ascii="Futura Bk BT" w:eastAsia="DejaVu Sans" w:hAnsi="Futura Bk BT" w:cs="Times New Roman"/>
          <w:sz w:val="22"/>
          <w:szCs w:val="22"/>
          <w:lang w:bidi="hi-IN"/>
        </w:rPr>
        <w:t>.- Modificar parcialmente los literales d y e del Parágrafo 1 del Artículo Octavo de la Resolución 0001130 de 28 de abril de 2015 quedando así:</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d) Fotocopia de la Licencia de Tránsito del nuevo vehículo que se encuentre a nombre del Titular beneficiario de la tarifa especial diferencial;</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e) Soporte de inscripción al Registro Único Nacional de Tránsito (RUNT);</w:t>
      </w:r>
      <w:r w:rsidRPr="00BF17FF">
        <w:rPr>
          <w:rFonts w:ascii="Futura Bk BT" w:eastAsia="DejaVu Sans" w:hAnsi="Futura Bk BT" w:cs="Times New Roman"/>
          <w:sz w:val="22"/>
          <w:szCs w:val="22"/>
          <w:lang w:bidi="hi-IN"/>
        </w:rPr>
        <w:commentReference w:id="5"/>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Además del cumplimiento de los requisitos señalados anteriormente, deberán:</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C66A31">
      <w:pPr>
        <w:pStyle w:val="Standard"/>
        <w:numPr>
          <w:ilvl w:val="0"/>
          <w:numId w:val="21"/>
        </w:numPr>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No haber incurrido en ninguna de las causales de pérdida del beneficio de la tarifa especial diferencial descritos en el Artículo Noveno de la resolución 1130 de 2015.</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7C547A" w:rsidP="00C66A31">
      <w:pPr>
        <w:pStyle w:val="Standard"/>
        <w:numPr>
          <w:ilvl w:val="0"/>
          <w:numId w:val="21"/>
        </w:numPr>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A partir de la fecha de expedición de la presente Resolución se otorgará un (1) solo beneficio por unidad familiar. La presente situación tendrá vigencia solo para las nuevas solicitudes radicadas con posterioridad a la entrada vigencia de la presente Resolución.</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ARTÍCULO </w:t>
      </w:r>
      <w:r w:rsidR="000755BA" w:rsidRPr="00BF17FF">
        <w:rPr>
          <w:rFonts w:ascii="Futura Bk BT" w:eastAsia="DejaVu Sans" w:hAnsi="Futura Bk BT" w:cs="Times New Roman"/>
          <w:sz w:val="22"/>
          <w:szCs w:val="22"/>
          <w:lang w:bidi="hi-IN"/>
        </w:rPr>
        <w:t>5</w:t>
      </w:r>
      <w:r w:rsidRPr="00BF17FF">
        <w:rPr>
          <w:rFonts w:ascii="Futura Bk BT" w:eastAsia="DejaVu Sans" w:hAnsi="Futura Bk BT" w:cs="Times New Roman"/>
          <w:sz w:val="22"/>
          <w:szCs w:val="22"/>
          <w:lang w:bidi="hi-IN"/>
        </w:rPr>
        <w:t xml:space="preserve">: La tarifa especial diferencial que se otorgue, no constituye un derecho adquirido y es intransferible.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 </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 xml:space="preserve">ARTÍCULO </w:t>
      </w:r>
      <w:r w:rsidR="000755BA" w:rsidRPr="00BF17FF">
        <w:rPr>
          <w:rFonts w:ascii="Futura Bk BT" w:eastAsia="DejaVu Sans" w:hAnsi="Futura Bk BT" w:cs="Times New Roman"/>
          <w:sz w:val="22"/>
          <w:szCs w:val="22"/>
          <w:lang w:bidi="hi-IN"/>
        </w:rPr>
        <w:t>6</w:t>
      </w:r>
      <w:r w:rsidRPr="00BF17FF">
        <w:rPr>
          <w:rFonts w:ascii="Futura Bk BT" w:eastAsia="DejaVu Sans" w:hAnsi="Futura Bk BT" w:cs="Times New Roman"/>
          <w:sz w:val="22"/>
          <w:szCs w:val="22"/>
          <w:lang w:bidi="hi-IN"/>
        </w:rPr>
        <w:t>.- La presente Resolución rige a partir de la fecha de su publicación y se hará efectiva en el</w:t>
      </w:r>
      <w:r w:rsidR="00DF3480" w:rsidRPr="00BF17FF">
        <w:rPr>
          <w:rFonts w:ascii="Futura Bk BT" w:eastAsia="DejaVu Sans" w:hAnsi="Futura Bk BT" w:cs="Times New Roman"/>
          <w:sz w:val="22"/>
          <w:szCs w:val="22"/>
          <w:lang w:bidi="hi-IN"/>
        </w:rPr>
        <w:t xml:space="preserve"> momento que se suscriba </w:t>
      </w:r>
      <w:r w:rsidR="00892CC3" w:rsidRPr="00BF17FF">
        <w:rPr>
          <w:rFonts w:ascii="Futura Bk BT" w:eastAsia="DejaVu Sans" w:hAnsi="Futura Bk BT" w:cs="Times New Roman"/>
          <w:sz w:val="22"/>
          <w:szCs w:val="22"/>
          <w:lang w:bidi="hi-IN"/>
        </w:rPr>
        <w:t xml:space="preserve">el </w:t>
      </w:r>
      <w:r w:rsidR="00DF3480" w:rsidRPr="00BF17FF">
        <w:rPr>
          <w:rFonts w:ascii="Futura Bk BT" w:eastAsia="DejaVu Sans" w:hAnsi="Futura Bk BT" w:cs="Times New Roman"/>
          <w:sz w:val="22"/>
          <w:szCs w:val="22"/>
          <w:lang w:bidi="hi-IN"/>
        </w:rPr>
        <w:t>Otrosí modificatorio al C</w:t>
      </w:r>
      <w:r w:rsidRPr="00BF17FF">
        <w:rPr>
          <w:rFonts w:ascii="Futura Bk BT" w:eastAsia="DejaVu Sans" w:hAnsi="Futura Bk BT" w:cs="Times New Roman"/>
          <w:sz w:val="22"/>
          <w:szCs w:val="22"/>
          <w:lang w:bidi="hi-IN"/>
        </w:rPr>
        <w:t xml:space="preserve">ontrato de </w:t>
      </w:r>
      <w:r w:rsidR="00DF3480" w:rsidRPr="00BF17FF">
        <w:rPr>
          <w:rFonts w:ascii="Futura Bk BT" w:eastAsia="DejaVu Sans" w:hAnsi="Futura Bk BT" w:cs="Times New Roman"/>
          <w:sz w:val="22"/>
          <w:szCs w:val="22"/>
          <w:lang w:bidi="hi-IN"/>
        </w:rPr>
        <w:t>C</w:t>
      </w:r>
      <w:r w:rsidRPr="00BF17FF">
        <w:rPr>
          <w:rFonts w:ascii="Futura Bk BT" w:eastAsia="DejaVu Sans" w:hAnsi="Futura Bk BT" w:cs="Times New Roman"/>
          <w:sz w:val="22"/>
          <w:szCs w:val="22"/>
          <w:lang w:bidi="hi-IN"/>
        </w:rPr>
        <w:t xml:space="preserve">oncesión </w:t>
      </w:r>
      <w:r w:rsidR="00DF3480" w:rsidRPr="00BF17FF">
        <w:rPr>
          <w:rFonts w:ascii="Futura Bk BT" w:eastAsia="DejaVu Sans" w:hAnsi="Futura Bk BT" w:cs="Times New Roman"/>
          <w:sz w:val="22"/>
          <w:szCs w:val="22"/>
          <w:lang w:bidi="hi-IN"/>
        </w:rPr>
        <w:t>en el que se plasmen todas las modificaciones aquí dispuestas</w:t>
      </w:r>
      <w:r w:rsidRPr="00BF17FF">
        <w:rPr>
          <w:rFonts w:ascii="Futura Bk BT" w:eastAsia="DejaVu Sans" w:hAnsi="Futura Bk BT" w:cs="Times New Roman"/>
          <w:sz w:val="22"/>
          <w:szCs w:val="22"/>
          <w:lang w:bidi="hi-IN"/>
        </w:rPr>
        <w:t>, también deroga aquellas disposiciones que le sean contrarias y mantiene vigente las disposiciones que no fueron modificadas de la Resolución número 3126 de 2014 y la Resolución 1130 de 2015.</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PUBLÍQUESE Y CÚMPLASE,</w:t>
      </w: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p>
    <w:p w:rsidR="007C547A" w:rsidRPr="00BF17FF" w:rsidRDefault="007C547A" w:rsidP="007C547A">
      <w:pPr>
        <w:pStyle w:val="Standard"/>
        <w:autoSpaceDE w:val="0"/>
        <w:jc w:val="both"/>
        <w:rPr>
          <w:rFonts w:ascii="Futura Bk BT" w:eastAsia="DejaVu Sans" w:hAnsi="Futura Bk BT" w:cs="Times New Roman"/>
          <w:sz w:val="22"/>
          <w:szCs w:val="22"/>
          <w:lang w:bidi="hi-IN"/>
        </w:rPr>
      </w:pPr>
      <w:r w:rsidRPr="00BF17FF">
        <w:rPr>
          <w:rFonts w:ascii="Futura Bk BT" w:eastAsia="DejaVu Sans" w:hAnsi="Futura Bk BT" w:cs="Times New Roman"/>
          <w:sz w:val="22"/>
          <w:szCs w:val="22"/>
          <w:lang w:bidi="hi-IN"/>
        </w:rPr>
        <w:t>Dada en Bogotá, D. C  a</w:t>
      </w:r>
    </w:p>
    <w:p w:rsidR="007C547A" w:rsidRPr="00BF17FF" w:rsidRDefault="007C547A" w:rsidP="007C547A">
      <w:pPr>
        <w:tabs>
          <w:tab w:val="left" w:pos="0"/>
        </w:tabs>
        <w:jc w:val="center"/>
        <w:rPr>
          <w:rFonts w:ascii="Futura Bk BT" w:eastAsia="DejaVu Sans" w:hAnsi="Futura Bk BT"/>
          <w:kern w:val="3"/>
          <w:sz w:val="22"/>
          <w:szCs w:val="22"/>
          <w:lang w:val="es-ES" w:eastAsia="zh-CN" w:bidi="hi-IN"/>
        </w:rPr>
      </w:pPr>
    </w:p>
    <w:p w:rsidR="007C547A" w:rsidRPr="00BF17FF" w:rsidRDefault="007C547A" w:rsidP="007C547A">
      <w:pPr>
        <w:tabs>
          <w:tab w:val="left" w:pos="0"/>
        </w:tabs>
        <w:jc w:val="center"/>
        <w:rPr>
          <w:rFonts w:ascii="Futura Bk BT" w:eastAsia="DejaVu Sans" w:hAnsi="Futura Bk BT"/>
          <w:kern w:val="3"/>
          <w:sz w:val="22"/>
          <w:szCs w:val="22"/>
          <w:lang w:val="es-ES" w:eastAsia="zh-CN" w:bidi="hi-IN"/>
        </w:rPr>
      </w:pPr>
    </w:p>
    <w:p w:rsidR="007C547A" w:rsidRPr="00BF17FF" w:rsidRDefault="007C547A" w:rsidP="007C547A">
      <w:pPr>
        <w:tabs>
          <w:tab w:val="left" w:pos="0"/>
        </w:tabs>
        <w:jc w:val="center"/>
        <w:rPr>
          <w:rFonts w:ascii="Futura Bk BT" w:eastAsia="DejaVu Sans" w:hAnsi="Futura Bk BT"/>
          <w:kern w:val="3"/>
          <w:sz w:val="22"/>
          <w:szCs w:val="22"/>
          <w:lang w:val="es-ES" w:eastAsia="zh-CN" w:bidi="hi-IN"/>
        </w:rPr>
      </w:pPr>
    </w:p>
    <w:p w:rsidR="007C547A" w:rsidRPr="00BF17FF" w:rsidRDefault="007C547A" w:rsidP="007C547A">
      <w:pPr>
        <w:tabs>
          <w:tab w:val="left" w:pos="0"/>
        </w:tabs>
        <w:jc w:val="center"/>
        <w:rPr>
          <w:rFonts w:ascii="Futura Bk BT" w:eastAsia="DejaVu Sans" w:hAnsi="Futura Bk BT"/>
          <w:kern w:val="3"/>
          <w:sz w:val="22"/>
          <w:szCs w:val="22"/>
          <w:lang w:val="es-ES" w:eastAsia="zh-CN" w:bidi="hi-IN"/>
        </w:rPr>
      </w:pPr>
    </w:p>
    <w:p w:rsidR="007C547A" w:rsidRPr="00BF17FF" w:rsidRDefault="007C547A" w:rsidP="007C547A">
      <w:pPr>
        <w:tabs>
          <w:tab w:val="left" w:pos="0"/>
        </w:tabs>
        <w:jc w:val="center"/>
        <w:rPr>
          <w:rFonts w:ascii="Futura Bk BT" w:eastAsia="DejaVu Sans" w:hAnsi="Futura Bk BT"/>
          <w:kern w:val="3"/>
          <w:sz w:val="22"/>
          <w:szCs w:val="22"/>
          <w:lang w:val="es-ES" w:eastAsia="zh-CN" w:bidi="hi-IN"/>
        </w:rPr>
      </w:pPr>
    </w:p>
    <w:p w:rsidR="007C547A" w:rsidRPr="00BF17FF" w:rsidRDefault="007C547A" w:rsidP="007C547A">
      <w:pPr>
        <w:tabs>
          <w:tab w:val="left" w:pos="0"/>
        </w:tabs>
        <w:jc w:val="center"/>
        <w:rPr>
          <w:rFonts w:ascii="Futura Bk BT" w:eastAsia="DejaVu Sans" w:hAnsi="Futura Bk BT"/>
          <w:kern w:val="3"/>
          <w:sz w:val="22"/>
          <w:szCs w:val="22"/>
          <w:lang w:val="es-ES" w:eastAsia="zh-CN" w:bidi="hi-IN"/>
        </w:rPr>
      </w:pPr>
    </w:p>
    <w:p w:rsidR="007C547A" w:rsidRPr="00BF17FF" w:rsidRDefault="007C547A" w:rsidP="007C547A">
      <w:pPr>
        <w:tabs>
          <w:tab w:val="left" w:pos="0"/>
        </w:tabs>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NATALIA ABELLO VIVES</w:t>
      </w:r>
    </w:p>
    <w:p w:rsidR="007C547A" w:rsidRPr="00BF17FF" w:rsidRDefault="007C547A" w:rsidP="007C547A">
      <w:pPr>
        <w:tabs>
          <w:tab w:val="left" w:pos="0"/>
        </w:tabs>
        <w:jc w:val="center"/>
        <w:rPr>
          <w:rFonts w:ascii="Futura Bk BT" w:eastAsia="DejaVu Sans" w:hAnsi="Futura Bk BT"/>
          <w:kern w:val="3"/>
          <w:sz w:val="22"/>
          <w:szCs w:val="22"/>
          <w:lang w:val="es-ES" w:eastAsia="zh-CN" w:bidi="hi-IN"/>
        </w:rPr>
      </w:pPr>
      <w:r w:rsidRPr="00BF17FF">
        <w:rPr>
          <w:rFonts w:ascii="Futura Bk BT" w:eastAsia="DejaVu Sans" w:hAnsi="Futura Bk BT"/>
          <w:kern w:val="3"/>
          <w:sz w:val="22"/>
          <w:szCs w:val="22"/>
          <w:lang w:val="es-ES" w:eastAsia="zh-CN" w:bidi="hi-IN"/>
        </w:rPr>
        <w:t>Ministra de Transporte</w:t>
      </w:r>
    </w:p>
    <w:p w:rsidR="007C547A" w:rsidRPr="00BF17FF" w:rsidRDefault="007C547A" w:rsidP="007C547A">
      <w:pPr>
        <w:tabs>
          <w:tab w:val="left" w:pos="0"/>
        </w:tabs>
        <w:rPr>
          <w:rFonts w:ascii="Futura Bk BT" w:eastAsia="DejaVu Sans" w:hAnsi="Futura Bk BT"/>
          <w:kern w:val="3"/>
          <w:sz w:val="22"/>
          <w:szCs w:val="22"/>
          <w:lang w:val="es-ES" w:eastAsia="zh-CN" w:bidi="hi-IN"/>
        </w:rPr>
      </w:pPr>
    </w:p>
    <w:p w:rsidR="007C547A" w:rsidRPr="00BF17FF" w:rsidRDefault="007C547A" w:rsidP="007C547A">
      <w:pPr>
        <w:shd w:val="clear" w:color="auto" w:fill="FFFFFF"/>
        <w:autoSpaceDE w:val="0"/>
        <w:jc w:val="both"/>
        <w:rPr>
          <w:rFonts w:ascii="Futura Bk BT" w:eastAsia="DejaVu Sans" w:hAnsi="Futura Bk BT"/>
          <w:kern w:val="3"/>
          <w:sz w:val="22"/>
          <w:szCs w:val="22"/>
          <w:lang w:val="es-ES" w:eastAsia="zh-CN" w:bidi="hi-IN"/>
        </w:rPr>
      </w:pPr>
    </w:p>
    <w:p w:rsidR="007C547A" w:rsidRPr="00BF17FF" w:rsidRDefault="007C547A" w:rsidP="007C547A">
      <w:pPr>
        <w:shd w:val="clear" w:color="auto" w:fill="FFFFFF"/>
        <w:autoSpaceDE w:val="0"/>
        <w:jc w:val="both"/>
        <w:rPr>
          <w:rFonts w:ascii="Futura Bk BT" w:eastAsia="DejaVu Sans" w:hAnsi="Futura Bk BT"/>
          <w:kern w:val="3"/>
          <w:sz w:val="22"/>
          <w:szCs w:val="22"/>
          <w:lang w:val="es-ES" w:eastAsia="zh-CN" w:bidi="hi-IN"/>
        </w:rPr>
      </w:pPr>
    </w:p>
    <w:p w:rsidR="007C547A" w:rsidRPr="00BF17FF" w:rsidRDefault="007C547A" w:rsidP="007C547A">
      <w:pPr>
        <w:shd w:val="clear" w:color="auto" w:fill="FFFFFF"/>
        <w:autoSpaceDE w:val="0"/>
        <w:jc w:val="both"/>
        <w:rPr>
          <w:rFonts w:ascii="Futura Bk BT" w:eastAsia="DejaVu Sans" w:hAnsi="Futura Bk BT"/>
          <w:kern w:val="3"/>
          <w:sz w:val="22"/>
          <w:szCs w:val="22"/>
          <w:lang w:val="es-ES" w:eastAsia="zh-CN" w:bidi="hi-IN"/>
        </w:rPr>
      </w:pPr>
    </w:p>
    <w:p w:rsidR="007C547A" w:rsidRPr="00BF17FF" w:rsidRDefault="007C547A" w:rsidP="007C547A">
      <w:pPr>
        <w:spacing w:after="120"/>
        <w:rPr>
          <w:rFonts w:ascii="Futura Bk BT" w:eastAsia="DejaVu Sans" w:hAnsi="Futura Bk BT"/>
          <w:kern w:val="3"/>
          <w:sz w:val="22"/>
          <w:szCs w:val="22"/>
          <w:lang w:val="es-ES" w:eastAsia="zh-CN" w:bidi="hi-IN"/>
        </w:rPr>
      </w:pPr>
    </w:p>
    <w:p w:rsidR="007C547A" w:rsidRPr="00365D20" w:rsidRDefault="007C547A" w:rsidP="007C547A">
      <w:pPr>
        <w:rPr>
          <w:rFonts w:ascii="Futura Bk BT" w:eastAsia="DejaVu Sans" w:hAnsi="Futura Bk BT"/>
          <w:kern w:val="3"/>
          <w:sz w:val="18"/>
          <w:szCs w:val="18"/>
          <w:lang w:val="es-ES" w:eastAsia="zh-CN" w:bidi="hi-IN"/>
          <w:rPrChange w:id="6" w:author="Sonia Jaqueline Angarita Salazar" w:date="2015-12-30T10:46:00Z">
            <w:rPr>
              <w:rFonts w:ascii="Futura Bk BT" w:eastAsia="DejaVu Sans" w:hAnsi="Futura Bk BT"/>
              <w:kern w:val="3"/>
              <w:sz w:val="22"/>
              <w:szCs w:val="22"/>
              <w:lang w:val="es-ES" w:eastAsia="zh-CN" w:bidi="hi-IN"/>
            </w:rPr>
          </w:rPrChange>
        </w:rPr>
      </w:pPr>
      <w:r w:rsidRPr="00365D20">
        <w:rPr>
          <w:rFonts w:ascii="Futura Bk BT" w:eastAsia="DejaVu Sans" w:hAnsi="Futura Bk BT"/>
          <w:kern w:val="3"/>
          <w:sz w:val="18"/>
          <w:szCs w:val="18"/>
          <w:lang w:val="es-ES" w:eastAsia="zh-CN" w:bidi="hi-IN"/>
          <w:rPrChange w:id="7" w:author="Sonia Jaqueline Angarita Salazar" w:date="2015-12-30T10:46:00Z">
            <w:rPr>
              <w:rFonts w:ascii="Futura Bk BT" w:eastAsia="DejaVu Sans" w:hAnsi="Futura Bk BT"/>
              <w:kern w:val="3"/>
              <w:sz w:val="22"/>
              <w:szCs w:val="22"/>
              <w:lang w:val="es-ES" w:eastAsia="zh-CN" w:bidi="hi-IN"/>
            </w:rPr>
          </w:rPrChange>
        </w:rPr>
        <w:t>Andres Figueredo Serpa    – Vicepresidente de Gestión Contractual, ANI.</w:t>
      </w:r>
    </w:p>
    <w:p w:rsidR="007C547A" w:rsidRPr="00365D20" w:rsidRDefault="00F6160E" w:rsidP="007C547A">
      <w:pPr>
        <w:shd w:val="clear" w:color="auto" w:fill="FFFFFF"/>
        <w:autoSpaceDE w:val="0"/>
        <w:jc w:val="both"/>
        <w:rPr>
          <w:rFonts w:ascii="Futura Bk BT" w:eastAsia="DejaVu Sans" w:hAnsi="Futura Bk BT"/>
          <w:kern w:val="3"/>
          <w:sz w:val="18"/>
          <w:szCs w:val="18"/>
          <w:lang w:val="es-ES" w:eastAsia="zh-CN" w:bidi="hi-IN"/>
          <w:rPrChange w:id="8" w:author="Sonia Jaqueline Angarita Salazar" w:date="2015-12-30T10:46:00Z">
            <w:rPr>
              <w:rFonts w:ascii="Futura Bk BT" w:eastAsia="DejaVu Sans" w:hAnsi="Futura Bk BT"/>
              <w:kern w:val="3"/>
              <w:sz w:val="22"/>
              <w:szCs w:val="22"/>
              <w:lang w:val="es-ES" w:eastAsia="zh-CN" w:bidi="hi-IN"/>
            </w:rPr>
          </w:rPrChange>
        </w:rPr>
      </w:pPr>
      <w:r w:rsidRPr="00365D20">
        <w:rPr>
          <w:rFonts w:ascii="Futura Bk BT" w:eastAsia="DejaVu Sans" w:hAnsi="Futura Bk BT"/>
          <w:kern w:val="3"/>
          <w:sz w:val="18"/>
          <w:szCs w:val="18"/>
          <w:lang w:val="es-ES" w:eastAsia="zh-CN" w:bidi="hi-IN"/>
          <w:rPrChange w:id="9" w:author="Sonia Jaqueline Angarita Salazar" w:date="2015-12-30T10:46:00Z">
            <w:rPr>
              <w:rFonts w:ascii="Futura Bk BT" w:eastAsia="DejaVu Sans" w:hAnsi="Futura Bk BT"/>
              <w:kern w:val="3"/>
              <w:sz w:val="22"/>
              <w:szCs w:val="22"/>
              <w:lang w:val="es-ES" w:eastAsia="zh-CN" w:bidi="hi-IN"/>
            </w:rPr>
          </w:rPrChange>
        </w:rPr>
        <w:t>Alfredo</w:t>
      </w:r>
      <w:r w:rsidR="00365D20">
        <w:rPr>
          <w:rFonts w:ascii="Futura Bk BT" w:eastAsia="DejaVu Sans" w:hAnsi="Futura Bk BT"/>
          <w:kern w:val="3"/>
          <w:sz w:val="18"/>
          <w:szCs w:val="18"/>
          <w:lang w:val="es-ES" w:eastAsia="zh-CN" w:bidi="hi-IN"/>
        </w:rPr>
        <w:t xml:space="preserve"> </w:t>
      </w:r>
      <w:r w:rsidR="007C547A" w:rsidRPr="00365D20">
        <w:rPr>
          <w:rFonts w:ascii="Futura Bk BT" w:eastAsia="DejaVu Sans" w:hAnsi="Futura Bk BT"/>
          <w:kern w:val="3"/>
          <w:sz w:val="18"/>
          <w:szCs w:val="18"/>
          <w:lang w:val="es-ES" w:eastAsia="zh-CN" w:bidi="hi-IN"/>
          <w:rPrChange w:id="10" w:author="Sonia Jaqueline Angarita Salazar" w:date="2015-12-30T10:46:00Z">
            <w:rPr>
              <w:rFonts w:ascii="Futura Bk BT" w:eastAsia="DejaVu Sans" w:hAnsi="Futura Bk BT"/>
              <w:kern w:val="3"/>
              <w:sz w:val="22"/>
              <w:szCs w:val="22"/>
              <w:lang w:val="es-ES" w:eastAsia="zh-CN" w:bidi="hi-IN"/>
            </w:rPr>
          </w:rPrChange>
        </w:rPr>
        <w:t>Bocanegra             – Vicepresidente Jurídico - ANI</w:t>
      </w:r>
    </w:p>
    <w:p w:rsidR="007C547A" w:rsidRPr="00365D20" w:rsidRDefault="007C547A" w:rsidP="007C547A">
      <w:pPr>
        <w:shd w:val="clear" w:color="auto" w:fill="FFFFFF"/>
        <w:autoSpaceDE w:val="0"/>
        <w:jc w:val="both"/>
        <w:rPr>
          <w:rFonts w:ascii="Futura Bk BT" w:eastAsia="DejaVu Sans" w:hAnsi="Futura Bk BT"/>
          <w:kern w:val="3"/>
          <w:sz w:val="18"/>
          <w:szCs w:val="18"/>
          <w:lang w:val="es-ES" w:eastAsia="zh-CN" w:bidi="hi-IN"/>
          <w:rPrChange w:id="11" w:author="Sonia Jaqueline Angarita Salazar" w:date="2015-12-30T10:46:00Z">
            <w:rPr>
              <w:rFonts w:ascii="Futura Bk BT" w:eastAsia="DejaVu Sans" w:hAnsi="Futura Bk BT"/>
              <w:kern w:val="3"/>
              <w:sz w:val="22"/>
              <w:szCs w:val="22"/>
              <w:lang w:val="es-ES" w:eastAsia="zh-CN" w:bidi="hi-IN"/>
            </w:rPr>
          </w:rPrChange>
        </w:rPr>
      </w:pPr>
      <w:r w:rsidRPr="00365D20">
        <w:rPr>
          <w:rFonts w:ascii="Futura Bk BT" w:eastAsia="DejaVu Sans" w:hAnsi="Futura Bk BT"/>
          <w:kern w:val="3"/>
          <w:sz w:val="18"/>
          <w:szCs w:val="18"/>
          <w:lang w:val="es-ES" w:eastAsia="zh-CN" w:bidi="hi-IN"/>
          <w:rPrChange w:id="12" w:author="Sonia Jaqueline Angarita Salazar" w:date="2015-12-30T10:46:00Z">
            <w:rPr>
              <w:rFonts w:ascii="Futura Bk BT" w:eastAsia="DejaVu Sans" w:hAnsi="Futura Bk BT"/>
              <w:kern w:val="3"/>
              <w:sz w:val="22"/>
              <w:szCs w:val="22"/>
              <w:lang w:val="es-ES" w:eastAsia="zh-CN" w:bidi="hi-IN"/>
            </w:rPr>
          </w:rPrChange>
        </w:rPr>
        <w:t>Luis Eduardo Gutierrez    – Gerente Modo Carretero 2 ANI</w:t>
      </w:r>
    </w:p>
    <w:p w:rsidR="007C547A" w:rsidRPr="00365D20" w:rsidRDefault="007C547A" w:rsidP="007C547A">
      <w:pPr>
        <w:rPr>
          <w:rFonts w:ascii="Futura Bk BT" w:eastAsia="DejaVu Sans" w:hAnsi="Futura Bk BT"/>
          <w:kern w:val="3"/>
          <w:sz w:val="18"/>
          <w:szCs w:val="18"/>
          <w:lang w:val="es-ES" w:eastAsia="zh-CN" w:bidi="hi-IN"/>
          <w:rPrChange w:id="13" w:author="Sonia Jaqueline Angarita Salazar" w:date="2015-12-30T10:46:00Z">
            <w:rPr>
              <w:rFonts w:ascii="Futura Bk BT" w:eastAsia="DejaVu Sans" w:hAnsi="Futura Bk BT"/>
              <w:kern w:val="3"/>
              <w:sz w:val="22"/>
              <w:szCs w:val="22"/>
              <w:lang w:val="es-ES" w:eastAsia="zh-CN" w:bidi="hi-IN"/>
            </w:rPr>
          </w:rPrChange>
        </w:rPr>
      </w:pPr>
      <w:r w:rsidRPr="00365D20">
        <w:rPr>
          <w:rFonts w:ascii="Futura Bk BT" w:eastAsia="DejaVu Sans" w:hAnsi="Futura Bk BT"/>
          <w:kern w:val="3"/>
          <w:sz w:val="18"/>
          <w:szCs w:val="18"/>
          <w:lang w:val="es-ES" w:eastAsia="zh-CN" w:bidi="hi-IN"/>
          <w:rPrChange w:id="14" w:author="Sonia Jaqueline Angarita Salazar" w:date="2015-12-30T10:46:00Z">
            <w:rPr>
              <w:rFonts w:ascii="Futura Bk BT" w:eastAsia="DejaVu Sans" w:hAnsi="Futura Bk BT"/>
              <w:kern w:val="3"/>
              <w:sz w:val="22"/>
              <w:szCs w:val="22"/>
              <w:lang w:val="es-ES" w:eastAsia="zh-CN" w:bidi="hi-IN"/>
            </w:rPr>
          </w:rPrChange>
        </w:rPr>
        <w:t xml:space="preserve">Priscila Sanchez  </w:t>
      </w:r>
      <w:r w:rsidRPr="00365D20">
        <w:rPr>
          <w:rFonts w:ascii="Futura Bk BT" w:eastAsia="DejaVu Sans" w:hAnsi="Futura Bk BT"/>
          <w:kern w:val="3"/>
          <w:sz w:val="18"/>
          <w:szCs w:val="18"/>
          <w:lang w:val="es-ES" w:eastAsia="zh-CN" w:bidi="hi-IN"/>
          <w:rPrChange w:id="15" w:author="Sonia Jaqueline Angarita Salazar" w:date="2015-12-30T10:46:00Z">
            <w:rPr>
              <w:rFonts w:ascii="Futura Bk BT" w:eastAsia="DejaVu Sans" w:hAnsi="Futura Bk BT"/>
              <w:kern w:val="3"/>
              <w:sz w:val="22"/>
              <w:szCs w:val="22"/>
              <w:lang w:val="es-ES" w:eastAsia="zh-CN" w:bidi="hi-IN"/>
            </w:rPr>
          </w:rPrChange>
        </w:rPr>
        <w:tab/>
        <w:t xml:space="preserve">   – Gerente Gestión Contractual 2 – Vicepresidencia Jurídica ANI</w:t>
      </w:r>
    </w:p>
    <w:p w:rsidR="007C547A" w:rsidRPr="00365D20" w:rsidRDefault="007C547A" w:rsidP="007C547A">
      <w:pPr>
        <w:rPr>
          <w:rFonts w:ascii="Futura Bk BT" w:eastAsia="DejaVu Sans" w:hAnsi="Futura Bk BT"/>
          <w:kern w:val="3"/>
          <w:sz w:val="18"/>
          <w:szCs w:val="18"/>
          <w:lang w:val="es-ES" w:eastAsia="zh-CN" w:bidi="hi-IN"/>
          <w:rPrChange w:id="16" w:author="Sonia Jaqueline Angarita Salazar" w:date="2015-12-30T10:46:00Z">
            <w:rPr>
              <w:rFonts w:ascii="Futura Bk BT" w:eastAsia="DejaVu Sans" w:hAnsi="Futura Bk BT"/>
              <w:kern w:val="3"/>
              <w:sz w:val="22"/>
              <w:szCs w:val="22"/>
              <w:lang w:val="es-ES" w:eastAsia="zh-CN" w:bidi="hi-IN"/>
            </w:rPr>
          </w:rPrChange>
        </w:rPr>
      </w:pPr>
      <w:r w:rsidRPr="00365D20">
        <w:rPr>
          <w:rFonts w:ascii="Futura Bk BT" w:eastAsia="DejaVu Sans" w:hAnsi="Futura Bk BT"/>
          <w:kern w:val="3"/>
          <w:sz w:val="18"/>
          <w:szCs w:val="18"/>
          <w:lang w:val="es-ES" w:eastAsia="zh-CN" w:bidi="hi-IN"/>
          <w:rPrChange w:id="17" w:author="Sonia Jaqueline Angarita Salazar" w:date="2015-12-30T10:46:00Z">
            <w:rPr>
              <w:rFonts w:ascii="Futura Bk BT" w:eastAsia="DejaVu Sans" w:hAnsi="Futura Bk BT"/>
              <w:kern w:val="3"/>
              <w:sz w:val="22"/>
              <w:szCs w:val="22"/>
              <w:lang w:val="es-ES" w:eastAsia="zh-CN" w:bidi="hi-IN"/>
            </w:rPr>
          </w:rPrChange>
        </w:rPr>
        <w:t xml:space="preserve">Diana Corredor    </w:t>
      </w:r>
      <w:r w:rsidRPr="00365D20">
        <w:rPr>
          <w:rFonts w:ascii="Futura Bk BT" w:eastAsia="DejaVu Sans" w:hAnsi="Futura Bk BT"/>
          <w:kern w:val="3"/>
          <w:sz w:val="18"/>
          <w:szCs w:val="18"/>
          <w:lang w:val="es-ES" w:eastAsia="zh-CN" w:bidi="hi-IN"/>
          <w:rPrChange w:id="18" w:author="Sonia Jaqueline Angarita Salazar" w:date="2015-12-30T10:46:00Z">
            <w:rPr>
              <w:rFonts w:ascii="Futura Bk BT" w:eastAsia="DejaVu Sans" w:hAnsi="Futura Bk BT"/>
              <w:kern w:val="3"/>
              <w:sz w:val="22"/>
              <w:szCs w:val="22"/>
              <w:lang w:val="es-ES" w:eastAsia="zh-CN" w:bidi="hi-IN"/>
            </w:rPr>
          </w:rPrChange>
        </w:rPr>
        <w:tab/>
        <w:t xml:space="preserve">   – Gerente Financiero, Vicepresidencia de Gestión Contractual ANI</w:t>
      </w:r>
    </w:p>
    <w:p w:rsidR="00DF3480" w:rsidRPr="00365D20" w:rsidRDefault="007C547A" w:rsidP="007C547A">
      <w:pPr>
        <w:rPr>
          <w:rFonts w:ascii="Futura Bk BT" w:eastAsia="DejaVu Sans" w:hAnsi="Futura Bk BT"/>
          <w:kern w:val="3"/>
          <w:sz w:val="18"/>
          <w:szCs w:val="18"/>
          <w:lang w:val="es-ES" w:eastAsia="zh-CN" w:bidi="hi-IN"/>
          <w:rPrChange w:id="19" w:author="Sonia Jaqueline Angarita Salazar" w:date="2015-12-30T10:46:00Z">
            <w:rPr>
              <w:rFonts w:ascii="Futura Bk BT" w:eastAsia="DejaVu Sans" w:hAnsi="Futura Bk BT"/>
              <w:kern w:val="3"/>
              <w:sz w:val="22"/>
              <w:szCs w:val="22"/>
              <w:lang w:val="es-ES" w:eastAsia="zh-CN" w:bidi="hi-IN"/>
            </w:rPr>
          </w:rPrChange>
        </w:rPr>
      </w:pPr>
      <w:r w:rsidRPr="00365D20">
        <w:rPr>
          <w:rFonts w:ascii="Futura Bk BT" w:eastAsia="DejaVu Sans" w:hAnsi="Futura Bk BT"/>
          <w:kern w:val="3"/>
          <w:sz w:val="18"/>
          <w:szCs w:val="18"/>
          <w:lang w:val="es-ES" w:eastAsia="zh-CN" w:bidi="hi-IN"/>
          <w:rPrChange w:id="20" w:author="Sonia Jaqueline Angarita Salazar" w:date="2015-12-30T10:46:00Z">
            <w:rPr>
              <w:rFonts w:ascii="Futura Bk BT" w:eastAsia="DejaVu Sans" w:hAnsi="Futura Bk BT"/>
              <w:kern w:val="3"/>
              <w:sz w:val="22"/>
              <w:szCs w:val="22"/>
              <w:lang w:val="es-ES" w:eastAsia="zh-CN" w:bidi="hi-IN"/>
            </w:rPr>
          </w:rPrChange>
        </w:rPr>
        <w:t xml:space="preserve">Frank López </w:t>
      </w:r>
      <w:r w:rsidR="00326523" w:rsidRPr="00365D20">
        <w:rPr>
          <w:rFonts w:ascii="Futura Bk BT" w:eastAsia="DejaVu Sans" w:hAnsi="Futura Bk BT"/>
          <w:kern w:val="3"/>
          <w:sz w:val="18"/>
          <w:szCs w:val="18"/>
          <w:lang w:val="es-ES" w:eastAsia="zh-CN" w:bidi="hi-IN"/>
          <w:rPrChange w:id="21" w:author="Sonia Jaqueline Angarita Salazar" w:date="2015-12-30T10:46:00Z">
            <w:rPr>
              <w:rFonts w:ascii="Futura Bk BT" w:eastAsia="DejaVu Sans" w:hAnsi="Futura Bk BT"/>
              <w:kern w:val="3"/>
              <w:sz w:val="22"/>
              <w:szCs w:val="22"/>
              <w:lang w:val="es-ES" w:eastAsia="zh-CN" w:bidi="hi-IN"/>
            </w:rPr>
          </w:rPrChange>
        </w:rPr>
        <w:t>Jimenez</w:t>
      </w:r>
      <w:r w:rsidRPr="00365D20">
        <w:rPr>
          <w:rFonts w:ascii="Futura Bk BT" w:eastAsia="DejaVu Sans" w:hAnsi="Futura Bk BT"/>
          <w:kern w:val="3"/>
          <w:sz w:val="18"/>
          <w:szCs w:val="18"/>
          <w:lang w:val="es-ES" w:eastAsia="zh-CN" w:bidi="hi-IN"/>
          <w:rPrChange w:id="22" w:author="Sonia Jaqueline Angarita Salazar" w:date="2015-12-30T10:46:00Z">
            <w:rPr>
              <w:rFonts w:ascii="Futura Bk BT" w:eastAsia="DejaVu Sans" w:hAnsi="Futura Bk BT"/>
              <w:kern w:val="3"/>
              <w:sz w:val="22"/>
              <w:szCs w:val="22"/>
              <w:lang w:val="es-ES" w:eastAsia="zh-CN" w:bidi="hi-IN"/>
            </w:rPr>
          </w:rPrChange>
        </w:rPr>
        <w:t xml:space="preserve">        –  Apoyo a la supervisión del Proyecto SMRP</w:t>
      </w:r>
    </w:p>
    <w:p w:rsidR="00DF3480" w:rsidRPr="00365D20" w:rsidRDefault="00DF3480" w:rsidP="007C547A">
      <w:pPr>
        <w:rPr>
          <w:rFonts w:ascii="Futura Bk BT" w:eastAsia="DejaVu Sans" w:hAnsi="Futura Bk BT"/>
          <w:kern w:val="3"/>
          <w:sz w:val="18"/>
          <w:szCs w:val="18"/>
          <w:lang w:val="es-ES" w:eastAsia="zh-CN" w:bidi="hi-IN"/>
          <w:rPrChange w:id="23" w:author="Sonia Jaqueline Angarita Salazar" w:date="2015-12-30T10:46:00Z">
            <w:rPr>
              <w:rFonts w:ascii="Futura Bk BT" w:eastAsia="DejaVu Sans" w:hAnsi="Futura Bk BT"/>
              <w:kern w:val="3"/>
              <w:sz w:val="22"/>
              <w:szCs w:val="22"/>
              <w:lang w:val="es-ES" w:eastAsia="zh-CN" w:bidi="hi-IN"/>
            </w:rPr>
          </w:rPrChange>
        </w:rPr>
      </w:pPr>
      <w:r w:rsidRPr="00365D20">
        <w:rPr>
          <w:rFonts w:ascii="Futura Bk BT" w:eastAsia="DejaVu Sans" w:hAnsi="Futura Bk BT"/>
          <w:kern w:val="3"/>
          <w:sz w:val="18"/>
          <w:szCs w:val="18"/>
          <w:lang w:val="es-ES" w:eastAsia="zh-CN" w:bidi="hi-IN"/>
          <w:rPrChange w:id="24" w:author="Sonia Jaqueline Angarita Salazar" w:date="2015-12-30T10:46:00Z">
            <w:rPr>
              <w:rFonts w:ascii="Futura Bk BT" w:eastAsia="DejaVu Sans" w:hAnsi="Futura Bk BT"/>
              <w:kern w:val="3"/>
              <w:sz w:val="22"/>
              <w:szCs w:val="22"/>
              <w:lang w:val="es-ES" w:eastAsia="zh-CN" w:bidi="hi-IN"/>
            </w:rPr>
          </w:rPrChange>
        </w:rPr>
        <w:t xml:space="preserve">Martha Castellanos </w:t>
      </w:r>
      <w:r w:rsidRPr="00365D20">
        <w:rPr>
          <w:rFonts w:ascii="Futura Bk BT" w:eastAsia="DejaVu Sans" w:hAnsi="Futura Bk BT"/>
          <w:kern w:val="3"/>
          <w:sz w:val="18"/>
          <w:szCs w:val="18"/>
          <w:lang w:val="es-ES" w:eastAsia="zh-CN" w:bidi="hi-IN"/>
          <w:rPrChange w:id="25" w:author="Sonia Jaqueline Angarita Salazar" w:date="2015-12-30T10:46:00Z">
            <w:rPr>
              <w:rFonts w:ascii="Futura Bk BT" w:eastAsia="DejaVu Sans" w:hAnsi="Futura Bk BT"/>
              <w:kern w:val="3"/>
              <w:sz w:val="22"/>
              <w:szCs w:val="22"/>
              <w:lang w:val="es-ES" w:eastAsia="zh-CN" w:bidi="hi-IN"/>
            </w:rPr>
          </w:rPrChange>
        </w:rPr>
        <w:tab/>
        <w:t xml:space="preserve">   -   Apoyo a la Supervisión Proyecto MVM IP.</w:t>
      </w:r>
    </w:p>
    <w:p w:rsidR="007C547A" w:rsidRPr="00365D20" w:rsidRDefault="007C547A" w:rsidP="007C547A">
      <w:pPr>
        <w:rPr>
          <w:rFonts w:ascii="Futura Bk BT" w:eastAsia="DejaVu Sans" w:hAnsi="Futura Bk BT"/>
          <w:kern w:val="3"/>
          <w:sz w:val="18"/>
          <w:szCs w:val="18"/>
          <w:lang w:val="es-ES" w:eastAsia="zh-CN" w:bidi="hi-IN"/>
          <w:rPrChange w:id="26" w:author="Sonia Jaqueline Angarita Salazar" w:date="2015-12-30T10:46:00Z">
            <w:rPr>
              <w:rFonts w:ascii="Futura Bk BT" w:eastAsia="DejaVu Sans" w:hAnsi="Futura Bk BT"/>
              <w:kern w:val="3"/>
              <w:sz w:val="22"/>
              <w:szCs w:val="22"/>
              <w:lang w:val="es-ES" w:eastAsia="zh-CN" w:bidi="hi-IN"/>
            </w:rPr>
          </w:rPrChange>
        </w:rPr>
      </w:pPr>
      <w:r w:rsidRPr="00365D20">
        <w:rPr>
          <w:rFonts w:ascii="Futura Bk BT" w:eastAsia="DejaVu Sans" w:hAnsi="Futura Bk BT"/>
          <w:kern w:val="3"/>
          <w:sz w:val="18"/>
          <w:szCs w:val="18"/>
          <w:lang w:val="es-ES" w:eastAsia="zh-CN" w:bidi="hi-IN"/>
          <w:rPrChange w:id="27" w:author="Sonia Jaqueline Angarita Salazar" w:date="2015-12-30T10:46:00Z">
            <w:rPr>
              <w:rFonts w:ascii="Futura Bk BT" w:eastAsia="DejaVu Sans" w:hAnsi="Futura Bk BT"/>
              <w:kern w:val="3"/>
              <w:sz w:val="22"/>
              <w:szCs w:val="22"/>
              <w:lang w:val="es-ES" w:eastAsia="zh-CN" w:bidi="hi-IN"/>
            </w:rPr>
          </w:rPrChange>
        </w:rPr>
        <w:t>Sonia Angarita Salazar    – Experto G3 grado 7 – Gerencia Jurídica, ANI</w:t>
      </w:r>
    </w:p>
    <w:p w:rsidR="007C547A" w:rsidRPr="00365D20" w:rsidRDefault="007C547A" w:rsidP="007C547A">
      <w:pPr>
        <w:rPr>
          <w:rFonts w:ascii="Futura Bk BT" w:eastAsia="DejaVu Sans" w:hAnsi="Futura Bk BT"/>
          <w:kern w:val="3"/>
          <w:sz w:val="18"/>
          <w:szCs w:val="18"/>
          <w:lang w:val="es-ES" w:eastAsia="zh-CN" w:bidi="hi-IN"/>
          <w:rPrChange w:id="28" w:author="Sonia Jaqueline Angarita Salazar" w:date="2015-12-30T10:46:00Z">
            <w:rPr>
              <w:rFonts w:ascii="Futura Bk BT" w:eastAsia="DejaVu Sans" w:hAnsi="Futura Bk BT"/>
              <w:kern w:val="3"/>
              <w:sz w:val="22"/>
              <w:szCs w:val="22"/>
              <w:lang w:val="es-ES" w:eastAsia="zh-CN" w:bidi="hi-IN"/>
            </w:rPr>
          </w:rPrChange>
        </w:rPr>
      </w:pPr>
      <w:r w:rsidRPr="00365D20">
        <w:rPr>
          <w:rFonts w:ascii="Futura Bk BT" w:eastAsia="DejaVu Sans" w:hAnsi="Futura Bk BT"/>
          <w:kern w:val="3"/>
          <w:sz w:val="18"/>
          <w:szCs w:val="18"/>
          <w:lang w:val="es-ES" w:eastAsia="zh-CN" w:bidi="hi-IN"/>
          <w:rPrChange w:id="29" w:author="Sonia Jaqueline Angarita Salazar" w:date="2015-12-30T10:46:00Z">
            <w:rPr>
              <w:rFonts w:ascii="Futura Bk BT" w:eastAsia="DejaVu Sans" w:hAnsi="Futura Bk BT"/>
              <w:kern w:val="3"/>
              <w:sz w:val="22"/>
              <w:szCs w:val="22"/>
              <w:lang w:val="es-ES" w:eastAsia="zh-CN" w:bidi="hi-IN"/>
            </w:rPr>
          </w:rPrChange>
        </w:rPr>
        <w:t xml:space="preserve">Omar Jimenez </w:t>
      </w:r>
      <w:r w:rsidRPr="00365D20">
        <w:rPr>
          <w:rFonts w:ascii="Futura Bk BT" w:eastAsia="DejaVu Sans" w:hAnsi="Futura Bk BT"/>
          <w:kern w:val="3"/>
          <w:sz w:val="18"/>
          <w:szCs w:val="18"/>
          <w:lang w:val="es-ES" w:eastAsia="zh-CN" w:bidi="hi-IN"/>
          <w:rPrChange w:id="30" w:author="Sonia Jaqueline Angarita Salazar" w:date="2015-12-30T10:46:00Z">
            <w:rPr>
              <w:rFonts w:ascii="Futura Bk BT" w:eastAsia="DejaVu Sans" w:hAnsi="Futura Bk BT"/>
              <w:kern w:val="3"/>
              <w:sz w:val="22"/>
              <w:szCs w:val="22"/>
              <w:lang w:val="es-ES" w:eastAsia="zh-CN" w:bidi="hi-IN"/>
            </w:rPr>
          </w:rPrChange>
        </w:rPr>
        <w:tab/>
        <w:t xml:space="preserve">   – Especialista financiero – Gerencia Financiera, ANI</w:t>
      </w:r>
    </w:p>
    <w:p w:rsidR="007C547A" w:rsidRPr="00365D20" w:rsidRDefault="007C547A" w:rsidP="007C547A">
      <w:pPr>
        <w:rPr>
          <w:rFonts w:ascii="Futura Bk BT" w:eastAsia="DejaVu Sans" w:hAnsi="Futura Bk BT"/>
          <w:kern w:val="3"/>
          <w:sz w:val="18"/>
          <w:szCs w:val="18"/>
          <w:lang w:val="es-ES" w:eastAsia="zh-CN" w:bidi="hi-IN"/>
          <w:rPrChange w:id="31" w:author="Sonia Jaqueline Angarita Salazar" w:date="2015-12-30T10:46:00Z">
            <w:rPr>
              <w:rFonts w:ascii="Futura Bk BT" w:eastAsia="DejaVu Sans" w:hAnsi="Futura Bk BT"/>
              <w:kern w:val="3"/>
              <w:sz w:val="22"/>
              <w:szCs w:val="22"/>
              <w:lang w:val="es-ES" w:eastAsia="zh-CN" w:bidi="hi-IN"/>
            </w:rPr>
          </w:rPrChange>
        </w:rPr>
      </w:pPr>
    </w:p>
    <w:p w:rsidR="007C547A" w:rsidRPr="00365D20" w:rsidRDefault="007C547A" w:rsidP="007C547A">
      <w:pPr>
        <w:shd w:val="clear" w:color="auto" w:fill="FFFFFF"/>
        <w:autoSpaceDE w:val="0"/>
        <w:jc w:val="both"/>
        <w:rPr>
          <w:rFonts w:ascii="Futura Bk BT" w:eastAsia="DejaVu Sans" w:hAnsi="Futura Bk BT"/>
          <w:kern w:val="3"/>
          <w:sz w:val="18"/>
          <w:szCs w:val="18"/>
          <w:lang w:val="es-ES" w:eastAsia="zh-CN" w:bidi="hi-IN"/>
          <w:rPrChange w:id="32" w:author="Sonia Jaqueline Angarita Salazar" w:date="2015-12-30T10:46:00Z">
            <w:rPr>
              <w:rFonts w:ascii="Futura Bk BT" w:eastAsia="DejaVu Sans" w:hAnsi="Futura Bk BT"/>
              <w:kern w:val="3"/>
              <w:sz w:val="22"/>
              <w:szCs w:val="22"/>
              <w:lang w:val="es-ES" w:eastAsia="zh-CN" w:bidi="hi-IN"/>
            </w:rPr>
          </w:rPrChange>
        </w:rPr>
      </w:pPr>
      <w:r w:rsidRPr="00365D20">
        <w:rPr>
          <w:rFonts w:ascii="Futura Bk BT" w:eastAsia="DejaVu Sans" w:hAnsi="Futura Bk BT"/>
          <w:kern w:val="3"/>
          <w:sz w:val="18"/>
          <w:szCs w:val="18"/>
          <w:lang w:val="es-ES" w:eastAsia="zh-CN" w:bidi="hi-IN"/>
          <w:rPrChange w:id="33" w:author="Sonia Jaqueline Angarita Salazar" w:date="2015-12-30T10:46:00Z">
            <w:rPr>
              <w:rFonts w:ascii="Futura Bk BT" w:eastAsia="DejaVu Sans" w:hAnsi="Futura Bk BT"/>
              <w:kern w:val="3"/>
              <w:sz w:val="22"/>
              <w:szCs w:val="22"/>
              <w:lang w:val="es-ES" w:eastAsia="zh-CN" w:bidi="hi-IN"/>
            </w:rPr>
          </w:rPrChange>
        </w:rPr>
        <w:t>Daniel Hinestrosa Grisales  – Jefe Oficina Asesora Jurídica, Ministerio de Transporte</w:t>
      </w:r>
    </w:p>
    <w:p w:rsidR="007C547A" w:rsidRPr="00365D20" w:rsidRDefault="007C547A" w:rsidP="007C547A">
      <w:pPr>
        <w:rPr>
          <w:rFonts w:ascii="Futura Bk BT" w:eastAsia="DejaVu Sans" w:hAnsi="Futura Bk BT"/>
          <w:kern w:val="3"/>
          <w:sz w:val="18"/>
          <w:szCs w:val="18"/>
          <w:lang w:val="es-ES" w:eastAsia="zh-CN" w:bidi="hi-IN"/>
          <w:rPrChange w:id="34" w:author="Sonia Jaqueline Angarita Salazar" w:date="2015-12-30T10:46:00Z">
            <w:rPr>
              <w:rFonts w:ascii="Futura Bk BT" w:eastAsia="DejaVu Sans" w:hAnsi="Futura Bk BT"/>
              <w:kern w:val="3"/>
              <w:sz w:val="22"/>
              <w:szCs w:val="22"/>
              <w:lang w:val="es-ES" w:eastAsia="zh-CN" w:bidi="hi-IN"/>
            </w:rPr>
          </w:rPrChange>
        </w:rPr>
      </w:pPr>
      <w:r w:rsidRPr="00365D20">
        <w:rPr>
          <w:rFonts w:ascii="Futura Bk BT" w:eastAsia="DejaVu Sans" w:hAnsi="Futura Bk BT"/>
          <w:kern w:val="3"/>
          <w:sz w:val="18"/>
          <w:szCs w:val="18"/>
          <w:lang w:val="es-ES" w:eastAsia="zh-CN" w:bidi="hi-IN"/>
          <w:rPrChange w:id="35" w:author="Sonia Jaqueline Angarita Salazar" w:date="2015-12-30T10:46:00Z">
            <w:rPr>
              <w:rFonts w:ascii="Futura Bk BT" w:eastAsia="DejaVu Sans" w:hAnsi="Futura Bk BT"/>
              <w:kern w:val="3"/>
              <w:sz w:val="22"/>
              <w:szCs w:val="22"/>
              <w:lang w:val="es-ES" w:eastAsia="zh-CN" w:bidi="hi-IN"/>
            </w:rPr>
          </w:rPrChange>
        </w:rPr>
        <w:t xml:space="preserve">Lucas </w:t>
      </w:r>
      <w:r w:rsidR="00326523" w:rsidRPr="00365D20">
        <w:rPr>
          <w:rFonts w:ascii="Futura Bk BT" w:eastAsia="DejaVu Sans" w:hAnsi="Futura Bk BT"/>
          <w:kern w:val="3"/>
          <w:sz w:val="18"/>
          <w:szCs w:val="18"/>
          <w:lang w:val="es-ES" w:eastAsia="zh-CN" w:bidi="hi-IN"/>
          <w:rPrChange w:id="36" w:author="Sonia Jaqueline Angarita Salazar" w:date="2015-12-30T10:46:00Z">
            <w:rPr>
              <w:rFonts w:ascii="Futura Bk BT" w:eastAsia="DejaVu Sans" w:hAnsi="Futura Bk BT"/>
              <w:kern w:val="3"/>
              <w:sz w:val="22"/>
              <w:szCs w:val="22"/>
              <w:lang w:val="es-ES" w:eastAsia="zh-CN" w:bidi="hi-IN"/>
            </w:rPr>
          </w:rPrChange>
        </w:rPr>
        <w:t>Rodríguez</w:t>
      </w:r>
      <w:r w:rsidRPr="00365D20">
        <w:rPr>
          <w:rFonts w:ascii="Futura Bk BT" w:eastAsia="DejaVu Sans" w:hAnsi="Futura Bk BT"/>
          <w:kern w:val="3"/>
          <w:sz w:val="18"/>
          <w:szCs w:val="18"/>
          <w:lang w:val="es-ES" w:eastAsia="zh-CN" w:bidi="hi-IN"/>
          <w:rPrChange w:id="37" w:author="Sonia Jaqueline Angarita Salazar" w:date="2015-12-30T10:46:00Z">
            <w:rPr>
              <w:rFonts w:ascii="Futura Bk BT" w:eastAsia="DejaVu Sans" w:hAnsi="Futura Bk BT"/>
              <w:kern w:val="3"/>
              <w:sz w:val="22"/>
              <w:szCs w:val="22"/>
              <w:lang w:val="es-ES" w:eastAsia="zh-CN" w:bidi="hi-IN"/>
            </w:rPr>
          </w:rPrChange>
        </w:rPr>
        <w:t xml:space="preserve"> Gómez      – Jefe Oficina de Regulación Económica, Ministerio de Transporte</w:t>
      </w:r>
    </w:p>
    <w:p w:rsidR="007C547A" w:rsidRPr="00365D20" w:rsidRDefault="007C547A" w:rsidP="007C547A">
      <w:pPr>
        <w:rPr>
          <w:rFonts w:ascii="Futura Bk BT" w:eastAsia="DejaVu Sans" w:hAnsi="Futura Bk BT"/>
          <w:kern w:val="3"/>
          <w:sz w:val="18"/>
          <w:szCs w:val="18"/>
          <w:lang w:val="es-ES" w:eastAsia="zh-CN" w:bidi="hi-IN"/>
          <w:rPrChange w:id="38" w:author="Sonia Jaqueline Angarita Salazar" w:date="2015-12-30T10:46:00Z">
            <w:rPr>
              <w:rFonts w:ascii="Futura Bk BT" w:eastAsia="DejaVu Sans" w:hAnsi="Futura Bk BT"/>
              <w:kern w:val="3"/>
              <w:sz w:val="22"/>
              <w:szCs w:val="22"/>
              <w:lang w:val="es-ES" w:eastAsia="zh-CN" w:bidi="hi-IN"/>
            </w:rPr>
          </w:rPrChange>
        </w:rPr>
      </w:pPr>
      <w:r w:rsidRPr="00365D20">
        <w:rPr>
          <w:rFonts w:ascii="Futura Bk BT" w:eastAsia="DejaVu Sans" w:hAnsi="Futura Bk BT"/>
          <w:kern w:val="3"/>
          <w:sz w:val="18"/>
          <w:szCs w:val="18"/>
          <w:lang w:val="es-ES" w:eastAsia="zh-CN" w:bidi="hi-IN"/>
          <w:rPrChange w:id="39" w:author="Sonia Jaqueline Angarita Salazar" w:date="2015-12-30T10:46:00Z">
            <w:rPr>
              <w:rFonts w:ascii="Futura Bk BT" w:eastAsia="DejaVu Sans" w:hAnsi="Futura Bk BT"/>
              <w:kern w:val="3"/>
              <w:sz w:val="22"/>
              <w:szCs w:val="22"/>
              <w:lang w:val="es-ES" w:eastAsia="zh-CN" w:bidi="hi-IN"/>
            </w:rPr>
          </w:rPrChange>
        </w:rPr>
        <w:t>Mario Franco Morales         – Coordinador Grupo Económico Financiero - Oficina de Regulación Económica Mintransporte.</w:t>
      </w:r>
    </w:p>
    <w:p w:rsidR="007C547A" w:rsidRPr="00BF17FF" w:rsidRDefault="007C547A" w:rsidP="007C547A">
      <w:pPr>
        <w:shd w:val="clear" w:color="auto" w:fill="FFFFFF"/>
        <w:autoSpaceDE w:val="0"/>
        <w:jc w:val="both"/>
        <w:rPr>
          <w:rFonts w:ascii="Futura Bk BT" w:eastAsia="DejaVu Sans" w:hAnsi="Futura Bk BT"/>
          <w:kern w:val="3"/>
          <w:sz w:val="22"/>
          <w:szCs w:val="22"/>
          <w:lang w:val="es-ES" w:eastAsia="zh-CN" w:bidi="hi-IN"/>
        </w:rPr>
      </w:pPr>
    </w:p>
    <w:p w:rsidR="007C547A" w:rsidRPr="00BF17FF" w:rsidRDefault="007C547A" w:rsidP="007C547A">
      <w:pPr>
        <w:pStyle w:val="Textocomentario"/>
        <w:spacing w:line="204" w:lineRule="auto"/>
        <w:jc w:val="both"/>
        <w:rPr>
          <w:rFonts w:ascii="Futura Bk BT" w:eastAsia="DejaVu Sans" w:hAnsi="Futura Bk BT"/>
          <w:kern w:val="3"/>
          <w:sz w:val="22"/>
          <w:szCs w:val="22"/>
          <w:lang w:eastAsia="zh-CN" w:bidi="hi-IN"/>
        </w:rPr>
      </w:pPr>
    </w:p>
    <w:p w:rsidR="007C547A" w:rsidRPr="00BF17FF" w:rsidRDefault="007C547A" w:rsidP="007C547A">
      <w:pPr>
        <w:pStyle w:val="Textocomentario"/>
        <w:spacing w:line="204" w:lineRule="auto"/>
        <w:jc w:val="both"/>
        <w:rPr>
          <w:rFonts w:ascii="Futura Bk BT" w:eastAsia="DejaVu Sans" w:hAnsi="Futura Bk BT"/>
          <w:kern w:val="3"/>
          <w:sz w:val="22"/>
          <w:szCs w:val="22"/>
          <w:lang w:eastAsia="zh-CN" w:bidi="hi-IN"/>
        </w:rPr>
      </w:pPr>
    </w:p>
    <w:p w:rsidR="0049066D" w:rsidRPr="00BF17FF" w:rsidRDefault="0049066D" w:rsidP="00C90F59">
      <w:pPr>
        <w:pStyle w:val="Textoindependiente"/>
        <w:contextualSpacing/>
        <w:jc w:val="left"/>
        <w:rPr>
          <w:rFonts w:ascii="Futura Bk BT" w:eastAsia="DejaVu Sans" w:hAnsi="Futura Bk BT"/>
          <w:spacing w:val="0"/>
          <w:kern w:val="3"/>
          <w:sz w:val="22"/>
          <w:szCs w:val="22"/>
          <w:lang w:val="es-ES" w:eastAsia="zh-CN" w:bidi="hi-IN"/>
        </w:rPr>
      </w:pPr>
    </w:p>
    <w:p w:rsidR="00C90F59" w:rsidRPr="00BF17FF" w:rsidRDefault="00C90F59" w:rsidP="00D91211">
      <w:pPr>
        <w:ind w:left="120" w:right="186"/>
        <w:jc w:val="center"/>
        <w:rPr>
          <w:rFonts w:ascii="Futura Bk BT" w:eastAsia="DejaVu Sans" w:hAnsi="Futura Bk BT"/>
          <w:kern w:val="3"/>
          <w:sz w:val="22"/>
          <w:szCs w:val="22"/>
          <w:lang w:val="es-ES" w:eastAsia="zh-CN" w:bidi="hi-IN"/>
        </w:rPr>
      </w:pPr>
    </w:p>
    <w:sectPr w:rsidR="00C90F59" w:rsidRPr="00BF17FF" w:rsidSect="00AA2C0A">
      <w:headerReference w:type="default" r:id="rId14"/>
      <w:headerReference w:type="first" r:id="rId15"/>
      <w:endnotePr>
        <w:numFmt w:val="decimal"/>
      </w:endnotePr>
      <w:type w:val="continuous"/>
      <w:pgSz w:w="12240" w:h="18720" w:code="261"/>
      <w:pgMar w:top="1417" w:right="1701" w:bottom="1417" w:left="1701" w:header="1021" w:footer="567" w:gutter="0"/>
      <w:pgBorders>
        <w:top w:val="single" w:sz="4" w:space="15" w:color="auto"/>
        <w:left w:val="single" w:sz="4" w:space="15" w:color="auto"/>
        <w:bottom w:val="single" w:sz="4" w:space="15" w:color="auto"/>
        <w:right w:val="single" w:sz="4" w:space="15" w:color="auto"/>
      </w:pgBorders>
      <w:cols w:space="720"/>
      <w:noEndnote/>
      <w:titlePg/>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Mario Franco Morales" w:date="2015-12-07T09:50:00Z" w:initials="Mario Fra">
    <w:p w:rsidR="00767685" w:rsidRDefault="00767685" w:rsidP="007C547A">
      <w:pPr>
        <w:pStyle w:val="Textocomentario"/>
      </w:pPr>
      <w:r>
        <w:rPr>
          <w:rStyle w:val="Refdecomentario"/>
        </w:rPr>
        <w:annotationRef/>
      </w:r>
      <w:r>
        <w:t>verificar si fueron invitados y participaron de las mesas de trabajo?</w:t>
      </w:r>
    </w:p>
    <w:p w:rsidR="00767685" w:rsidRDefault="00767685" w:rsidP="007C547A">
      <w:pPr>
        <w:pStyle w:val="Textocomentario"/>
      </w:pPr>
      <w:r>
        <w:rPr>
          <w:shd w:val="clear" w:color="auto" w:fill="FFFF00"/>
        </w:rPr>
        <w:t>Si señor, asistieron a las mesas de trabajo.</w:t>
      </w:r>
      <w:r>
        <w:t xml:space="preserve">  </w:t>
      </w:r>
    </w:p>
  </w:comment>
  <w:comment w:id="1" w:author="Mario Franco Morales" w:date="2015-12-07T09:52:00Z" w:initials="Mario Fra">
    <w:p w:rsidR="00767685" w:rsidRDefault="00767685" w:rsidP="007C547A">
      <w:pPr>
        <w:pStyle w:val="Textocomentario"/>
      </w:pPr>
      <w:r>
        <w:rPr>
          <w:rStyle w:val="Refdecomentario"/>
        </w:rPr>
        <w:annotationRef/>
      </w:r>
      <w:r>
        <w:t>las estaciones de peaje indicar los nombres?</w:t>
      </w:r>
    </w:p>
    <w:p w:rsidR="00767685" w:rsidRDefault="00767685" w:rsidP="007C547A">
      <w:pPr>
        <w:pStyle w:val="Textocomentario"/>
      </w:pPr>
      <w:r>
        <w:rPr>
          <w:shd w:val="clear" w:color="auto" w:fill="FFFF00"/>
        </w:rPr>
        <w:t>Se aclara en el párrafo que se trata de las estaciones de CaseTabla y Yucao</w:t>
      </w:r>
    </w:p>
  </w:comment>
  <w:comment w:id="2" w:author="Mario Franco Morales" w:date="2015-12-07T13:43:00Z" w:initials="Mario Fra">
    <w:p w:rsidR="00767685" w:rsidRDefault="00767685" w:rsidP="007C547A">
      <w:pPr>
        <w:pStyle w:val="Textocomentario"/>
      </w:pPr>
      <w:r>
        <w:rPr>
          <w:rStyle w:val="Refdecomentario"/>
        </w:rPr>
        <w:annotationRef/>
      </w:r>
      <w:r>
        <w:t xml:space="preserve">Las tarifas especiales del peaje LA LIBERTAD incluidas en la Resolución 0001130 de 2015 se mantienen?   </w:t>
      </w:r>
    </w:p>
    <w:p w:rsidR="00767685" w:rsidRDefault="00767685" w:rsidP="007C547A">
      <w:pPr>
        <w:pStyle w:val="Textocomentario"/>
      </w:pPr>
      <w:r>
        <w:rPr>
          <w:shd w:val="clear" w:color="auto" w:fill="FFFF00"/>
        </w:rPr>
        <w:t>Si se mantienen</w:t>
      </w:r>
    </w:p>
  </w:comment>
  <w:comment w:id="3" w:author="Mario Franco Morales" w:date="2015-12-07T14:27:00Z" w:initials="Mario Fra">
    <w:p w:rsidR="00767685" w:rsidRDefault="00767685" w:rsidP="007C547A">
      <w:pPr>
        <w:pStyle w:val="Textocomentario"/>
      </w:pPr>
      <w:r>
        <w:rPr>
          <w:rStyle w:val="Refdecomentario"/>
        </w:rPr>
        <w:annotationRef/>
      </w:r>
      <w:r>
        <w:t>indicar cuales empresas?</w:t>
      </w:r>
    </w:p>
    <w:p w:rsidR="00767685" w:rsidRDefault="00767685" w:rsidP="007C547A">
      <w:pPr>
        <w:pStyle w:val="Textocomentario"/>
      </w:pPr>
      <w:r>
        <w:rPr>
          <w:shd w:val="clear" w:color="auto" w:fill="FFFF00"/>
        </w:rPr>
        <w:t>Hace referencia a las a que la empresa debe estar habilitada.  Es una condición que viene de los literales a y b</w:t>
      </w:r>
      <w:r>
        <w:t xml:space="preserve">  </w:t>
      </w:r>
    </w:p>
  </w:comment>
  <w:comment w:id="4" w:author="Mario Franco Morales" w:date="2015-12-07T14:45:00Z" w:initials="Mario Fra">
    <w:p w:rsidR="00767685" w:rsidRDefault="00767685" w:rsidP="007C547A">
      <w:pPr>
        <w:pStyle w:val="Textocomentario"/>
      </w:pPr>
      <w:r>
        <w:rPr>
          <w:rStyle w:val="Refdecomentario"/>
        </w:rPr>
        <w:annotationRef/>
      </w:r>
      <w:r>
        <w:t xml:space="preserve">Me parece muy alto este requisito porque muchos de ellos no podrá cumplirlos, este tema se socializo con los beneficiarios de tarifa especial ¿???? OJO porque este punto puede ser de mucha discusión y no aceptación. </w:t>
      </w:r>
    </w:p>
  </w:comment>
  <w:comment w:id="5" w:author="Mario Franco Morales" w:date="2015-12-07T14:57:00Z" w:initials="Mario Fra">
    <w:p w:rsidR="00767685" w:rsidRDefault="00767685" w:rsidP="007C547A">
      <w:pPr>
        <w:pStyle w:val="Textocomentario"/>
      </w:pPr>
      <w:r>
        <w:rPr>
          <w:rStyle w:val="Refdecomentario"/>
        </w:rPr>
        <w:annotationRef/>
      </w:r>
      <w:r>
        <w:t>No todos los vehículos están inscritos en el sistema RUNT, como lo adquirirán, tiene un costo ¿???</w:t>
      </w:r>
    </w:p>
    <w:p w:rsidR="00767685" w:rsidRDefault="00767685" w:rsidP="007C547A">
      <w:pPr>
        <w:pStyle w:val="Textocomentario"/>
        <w:rPr>
          <w:shd w:val="clear" w:color="auto" w:fill="FFFF00"/>
        </w:rPr>
      </w:pPr>
      <w:r>
        <w:rPr>
          <w:shd w:val="clear" w:color="auto" w:fill="FFFF00"/>
        </w:rPr>
        <w:t>Si un vehículo no se encuentra registrado en el RUNT deberá proceder a registrarse y tomar el pantallazo o por lo menos el número del registro para que en la concesión se pueda validar.</w:t>
      </w:r>
    </w:p>
    <w:p w:rsidR="00767685" w:rsidRDefault="00767685" w:rsidP="007C547A">
      <w:pPr>
        <w:pStyle w:val="Textocomentario"/>
        <w:rPr>
          <w:shd w:val="clear" w:color="auto" w:fill="FFFF00"/>
        </w:rPr>
      </w:pPr>
      <w:r>
        <w:rPr>
          <w:shd w:val="clear" w:color="auto" w:fill="FFFF00"/>
        </w:rPr>
        <w:t>Esta condición está alineada con las políticas del Ministerio en propósito de consolidar aún más la plataforma.</w:t>
      </w:r>
    </w:p>
    <w:p w:rsidR="00767685" w:rsidRDefault="00767685" w:rsidP="007C547A">
      <w:pPr>
        <w:pStyle w:val="Textocomentario"/>
      </w:pPr>
      <w:r>
        <w:rPr>
          <w:shd w:val="clear" w:color="auto" w:fill="FFFF00"/>
        </w:rPr>
        <w:t>El inscribirse no tiene ningún costo</w:t>
      </w:r>
    </w:p>
    <w:p w:rsidR="00767685" w:rsidRDefault="00767685" w:rsidP="007C547A">
      <w:pPr>
        <w:pStyle w:val="Textocomentario"/>
      </w:pP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6560" w:rsidRDefault="009A6560">
      <w:pPr>
        <w:spacing w:line="20" w:lineRule="exact"/>
        <w:rPr>
          <w:sz w:val="20"/>
        </w:rPr>
      </w:pPr>
    </w:p>
  </w:endnote>
  <w:endnote w:type="continuationSeparator" w:id="0">
    <w:p w:rsidR="009A6560" w:rsidRDefault="009A6560">
      <w:pPr>
        <w:rPr>
          <w:sz w:val="20"/>
        </w:rPr>
      </w:pPr>
      <w:r>
        <w:rPr>
          <w:sz w:val="20"/>
        </w:rPr>
        <w:t xml:space="preserve"> </w:t>
      </w:r>
    </w:p>
  </w:endnote>
  <w:endnote w:type="continuationNotice" w:id="1">
    <w:p w:rsidR="009A6560" w:rsidRDefault="009A6560">
      <w:pPr>
        <w:rPr>
          <w:sz w:val="20"/>
        </w:rPr>
      </w:pPr>
      <w:r>
        <w:rPr>
          <w:sz w:val="20"/>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E3783F5A-AC6F-4635-9E0C-BC8BA13245DA}"/>
  </w:font>
  <w:font w:name="Times New Roman">
    <w:panose1 w:val="02020603050405020304"/>
    <w:charset w:val="00"/>
    <w:family w:val="roman"/>
    <w:pitch w:val="variable"/>
    <w:sig w:usb0="E0002AFF" w:usb1="C0007843" w:usb2="00000009" w:usb3="00000000" w:csb0="000001FF" w:csb1="00000000"/>
    <w:embedRegular r:id="rId2" w:fontKey="{F09C6EE9-E306-4C65-84B1-14EE98F8B1AC}"/>
    <w:embedBold r:id="rId3" w:fontKey="{8D580A9D-727A-4EBF-994D-F87406AF57CD}"/>
  </w:font>
  <w:font w:name="Courier New">
    <w:panose1 w:val="02070309020205020404"/>
    <w:charset w:val="00"/>
    <w:family w:val="modern"/>
    <w:pitch w:val="fixed"/>
    <w:sig w:usb0="E0002AFF" w:usb1="C0007843" w:usb2="00000009" w:usb3="00000000" w:csb0="000001FF" w:csb1="00000000"/>
    <w:embedRegular r:id="rId4" w:fontKey="{C5E2A7CD-609C-4650-B1FF-E713B8B7A347}"/>
    <w:embedItalic r:id="rId5" w:fontKey="{833B67FB-80D3-4C22-9747-C3A4D3DCBABC}"/>
  </w:font>
  <w:font w:name="Wingdings">
    <w:panose1 w:val="05000000000000000000"/>
    <w:charset w:val="02"/>
    <w:family w:val="auto"/>
    <w:pitch w:val="variable"/>
    <w:sig w:usb0="00000000" w:usb1="10000000" w:usb2="00000000" w:usb3="00000000" w:csb0="80000000" w:csb1="00000000"/>
    <w:embedRegular r:id="rId6" w:fontKey="{7CE6BBBC-D8A7-4413-95E1-7A55ECC01C7B}"/>
  </w:font>
  <w:font w:name="Futura Bk BT">
    <w:altName w:val="Vrinda"/>
    <w:panose1 w:val="020B0502020204020303"/>
    <w:charset w:val="00"/>
    <w:family w:val="swiss"/>
    <w:pitch w:val="variable"/>
    <w:embedRegular r:id="rId7" w:fontKey="{16615F10-3068-4E8A-8F36-7D4C279B298A}"/>
    <w:embedBold r:id="rId8" w:fontKey="{98AF0652-081F-4188-8D71-4F29F6315806}"/>
    <w:embedItalic r:id="rId9" w:fontKey="{60AAA869-8943-4443-9BFE-E20CCED8F89C}"/>
  </w:font>
  <w:font w:name="Arial">
    <w:panose1 w:val="020B0604020202020204"/>
    <w:charset w:val="00"/>
    <w:family w:val="swiss"/>
    <w:pitch w:val="variable"/>
    <w:sig w:usb0="E0002AFF" w:usb1="C0007843" w:usb2="00000009" w:usb3="00000000" w:csb0="000001FF" w:csb1="00000000"/>
    <w:embedRegular r:id="rId10" w:fontKey="{282D289C-FBA6-40A9-A5AC-0E738EC689B3}"/>
    <w:embedBold r:id="rId11" w:fontKey="{0302827E-7BB1-4C2D-9AB5-278E2A1EC8C6}"/>
  </w:font>
  <w:font w:name="SimSun">
    <w:altName w:val="宋体"/>
    <w:panose1 w:val="02010600030101010101"/>
    <w:charset w:val="86"/>
    <w:family w:val="auto"/>
    <w:pitch w:val="variable"/>
    <w:sig w:usb0="00000003" w:usb1="288F0000" w:usb2="00000016" w:usb3="00000000" w:csb0="00040001" w:csb1="00000000"/>
    <w:embedRegular r:id="rId12" w:subsetted="1" w:fontKey="{1B913DBD-EAB2-4F99-A857-D19F4E1CD7E3}"/>
  </w:font>
  <w:font w:name="Bookman Old Style">
    <w:panose1 w:val="02050604050505020204"/>
    <w:charset w:val="00"/>
    <w:family w:val="roman"/>
    <w:pitch w:val="variable"/>
    <w:sig w:usb0="00000287" w:usb1="00000000" w:usb2="00000000" w:usb3="00000000" w:csb0="0000009F" w:csb1="00000000"/>
    <w:embedRegular r:id="rId13" w:fontKey="{D7803BF8-341F-4B0D-BD12-676AA64B36B8}"/>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4" w:fontKey="{02D53378-FE60-48C5-BFAE-7E9B22764D96}"/>
  </w:font>
  <w:font w:name="Verdana">
    <w:panose1 w:val="020B0604030504040204"/>
    <w:charset w:val="00"/>
    <w:family w:val="swiss"/>
    <w:pitch w:val="variable"/>
    <w:sig w:usb0="A10006FF" w:usb1="4000205B" w:usb2="00000010" w:usb3="00000000" w:csb0="0000019F" w:csb1="00000000"/>
    <w:embedRegular r:id="rId15" w:fontKey="{F803B931-12E7-47CE-A0D0-7733A3CD4806}"/>
  </w:font>
  <w:font w:name="Lohit Devanagari">
    <w:altName w:val="Times New Roman"/>
    <w:charset w:val="00"/>
    <w:family w:val="auto"/>
    <w:pitch w:val="variable"/>
    <w:embedRegular r:id="rId16" w:fontKey="{9CAEC577-2EBD-41BD-BEC8-A08D09DCBC49}"/>
    <w:embedItalic r:id="rId17" w:fontKey="{1F0C7B62-535B-499D-A815-735A658EC4B2}"/>
  </w:font>
  <w:font w:name="Mangal">
    <w:panose1 w:val="02040503050203030202"/>
    <w:charset w:val="00"/>
    <w:family w:val="roman"/>
    <w:pitch w:val="variable"/>
    <w:sig w:usb0="00008003" w:usb1="00000000" w:usb2="00000000" w:usb3="00000000" w:csb0="00000001" w:csb1="00000000"/>
    <w:embedRegular r:id="rId18" w:fontKey="{4341A435-23BD-4907-8EF0-C5C6B8FA29BF}"/>
    <w:embedBold r:id="rId19" w:fontKey="{8A8F2173-B489-4328-B9B8-9140091AF42F}"/>
  </w:font>
  <w:font w:name="Liberation Serif">
    <w:altName w:val="Times New Roman"/>
    <w:charset w:val="00"/>
    <w:family w:val="roman"/>
    <w:pitch w:val="variable"/>
    <w:embedBold r:id="rId20" w:fontKey="{4E3553D7-E30C-45EF-A60D-B2D10D87C257}"/>
  </w:font>
  <w:font w:name="DejaVu Sans">
    <w:charset w:val="00"/>
    <w:family w:val="swiss"/>
    <w:pitch w:val="variable"/>
    <w:embedRegular r:id="rId21" w:fontKey="{56BE860C-E33A-4B72-A399-FBB289FCC71D}"/>
    <w:embedBold r:id="rId22" w:fontKey="{9D763C93-4310-4F78-B6A9-2FBDEE84F65E}"/>
    <w:embedItalic r:id="rId23" w:fontKey="{F9D8B81C-398C-47AB-B373-E0CE72C0537E}"/>
  </w:font>
  <w:font w:name="Calibri">
    <w:panose1 w:val="020F0502020204030204"/>
    <w:charset w:val="00"/>
    <w:family w:val="swiss"/>
    <w:pitch w:val="variable"/>
    <w:sig w:usb0="E00002FF" w:usb1="4000ACFF" w:usb2="00000001" w:usb3="00000000" w:csb0="0000019F" w:csb1="00000000"/>
    <w:embedRegular r:id="rId24" w:fontKey="{6CF8AA1F-54C6-4B19-ABCE-175566393531}"/>
    <w:embedBold r:id="rId25" w:fontKey="{B1226753-8C21-451F-97B4-AEFFD96AEF6D}"/>
  </w:font>
  <w:font w:name="Garamond">
    <w:panose1 w:val="02020404030301010803"/>
    <w:charset w:val="00"/>
    <w:family w:val="roman"/>
    <w:pitch w:val="variable"/>
    <w:sig w:usb0="00000287" w:usb1="00000000" w:usb2="00000000" w:usb3="00000000" w:csb0="0000009F" w:csb1="00000000"/>
    <w:embedBold r:id="rId26" w:fontKey="{B736F11E-AE27-42D9-ACB5-7F7DE9D32659}"/>
    <w:embedItalic r:id="rId27" w:fontKey="{00355388-0938-4FFE-BD54-82191524E83B}"/>
  </w:font>
  <w:font w:name="Cambria">
    <w:panose1 w:val="02040503050406030204"/>
    <w:charset w:val="00"/>
    <w:family w:val="roman"/>
    <w:pitch w:val="variable"/>
    <w:sig w:usb0="E00002FF" w:usb1="400004FF" w:usb2="00000000" w:usb3="00000000" w:csb0="0000019F" w:csb1="00000000"/>
    <w:embedRegular r:id="rId28" w:fontKey="{8C9E8CEF-EE0C-4FD9-B16B-045DC4A891A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6560" w:rsidRDefault="009A6560">
      <w:pPr>
        <w:rPr>
          <w:sz w:val="20"/>
        </w:rPr>
      </w:pPr>
      <w:r>
        <w:rPr>
          <w:sz w:val="20"/>
        </w:rPr>
        <w:separator/>
      </w:r>
    </w:p>
  </w:footnote>
  <w:footnote w:type="continuationSeparator" w:id="0">
    <w:p w:rsidR="009A6560" w:rsidRDefault="009A656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685" w:rsidRPr="00F531A0" w:rsidRDefault="00767685">
    <w:pPr>
      <w:tabs>
        <w:tab w:val="left" w:pos="-720"/>
      </w:tabs>
      <w:suppressAutoHyphens/>
      <w:jc w:val="both"/>
      <w:rPr>
        <w:rFonts w:ascii="Garamond" w:hAnsi="Garamond"/>
        <w:b/>
        <w:spacing w:val="-3"/>
        <w:sz w:val="22"/>
        <w:szCs w:val="22"/>
      </w:rPr>
    </w:pPr>
    <w:r w:rsidRPr="00F531A0">
      <w:rPr>
        <w:rFonts w:ascii="Garamond" w:hAnsi="Garamond"/>
        <w:b/>
        <w:spacing w:val="-3"/>
        <w:sz w:val="22"/>
        <w:szCs w:val="22"/>
      </w:rPr>
      <w:t xml:space="preserve">RESOLUCIÓN NÚMERO _            </w:t>
    </w:r>
    <w:r>
      <w:rPr>
        <w:rFonts w:ascii="Garamond" w:hAnsi="Garamond"/>
        <w:b/>
        <w:spacing w:val="-3"/>
        <w:sz w:val="22"/>
        <w:szCs w:val="22"/>
      </w:rPr>
      <w:t xml:space="preserve">      </w:t>
    </w:r>
    <w:r w:rsidRPr="00F531A0">
      <w:rPr>
        <w:rFonts w:ascii="Garamond" w:hAnsi="Garamond"/>
        <w:b/>
        <w:spacing w:val="-3"/>
        <w:sz w:val="22"/>
        <w:szCs w:val="22"/>
      </w:rPr>
      <w:t xml:space="preserve">      DEL</w:t>
    </w:r>
    <w:r>
      <w:rPr>
        <w:rFonts w:ascii="Garamond" w:hAnsi="Garamond"/>
        <w:b/>
        <w:spacing w:val="-3"/>
        <w:sz w:val="22"/>
        <w:szCs w:val="22"/>
      </w:rPr>
      <w:t xml:space="preserve">                   </w:t>
    </w:r>
    <w:r w:rsidRPr="00F531A0">
      <w:rPr>
        <w:rFonts w:ascii="Garamond" w:hAnsi="Garamond"/>
        <w:b/>
        <w:spacing w:val="-3"/>
        <w:sz w:val="22"/>
        <w:szCs w:val="22"/>
      </w:rPr>
      <w:t xml:space="preserve">           DE</w:t>
    </w:r>
    <w:r>
      <w:rPr>
        <w:rFonts w:ascii="Garamond" w:hAnsi="Garamond"/>
        <w:b/>
        <w:spacing w:val="-3"/>
        <w:sz w:val="22"/>
        <w:szCs w:val="22"/>
      </w:rPr>
      <w:t xml:space="preserve">    </w:t>
    </w:r>
    <w:r w:rsidRPr="00F531A0">
      <w:rPr>
        <w:rFonts w:ascii="Garamond" w:hAnsi="Garamond"/>
        <w:b/>
        <w:spacing w:val="-3"/>
        <w:sz w:val="22"/>
        <w:szCs w:val="22"/>
      </w:rPr>
      <w:t xml:space="preserve">             HOJA No. </w:t>
    </w:r>
    <w:r w:rsidRPr="00F531A0">
      <w:rPr>
        <w:rStyle w:val="Nmerodepgina"/>
        <w:rFonts w:ascii="Garamond" w:hAnsi="Garamond"/>
        <w:b/>
        <w:sz w:val="22"/>
        <w:szCs w:val="22"/>
      </w:rPr>
      <w:fldChar w:fldCharType="begin"/>
    </w:r>
    <w:r w:rsidRPr="00F531A0">
      <w:rPr>
        <w:rStyle w:val="Nmerodepgina"/>
        <w:rFonts w:ascii="Garamond" w:hAnsi="Garamond"/>
        <w:b/>
        <w:sz w:val="22"/>
        <w:szCs w:val="22"/>
      </w:rPr>
      <w:instrText xml:space="preserve"> PAGE </w:instrText>
    </w:r>
    <w:r w:rsidRPr="00F531A0">
      <w:rPr>
        <w:rStyle w:val="Nmerodepgina"/>
        <w:rFonts w:ascii="Garamond" w:hAnsi="Garamond"/>
        <w:b/>
        <w:sz w:val="22"/>
        <w:szCs w:val="22"/>
      </w:rPr>
      <w:fldChar w:fldCharType="separate"/>
    </w:r>
    <w:r w:rsidR="005762B7">
      <w:rPr>
        <w:rStyle w:val="Nmerodepgina"/>
        <w:rFonts w:ascii="Garamond" w:hAnsi="Garamond"/>
        <w:b/>
        <w:noProof/>
        <w:sz w:val="22"/>
        <w:szCs w:val="22"/>
      </w:rPr>
      <w:t>11</w:t>
    </w:r>
    <w:r w:rsidRPr="00F531A0">
      <w:rPr>
        <w:rStyle w:val="Nmerodepgina"/>
        <w:rFonts w:ascii="Garamond" w:hAnsi="Garamond"/>
        <w:b/>
        <w:sz w:val="22"/>
        <w:szCs w:val="22"/>
      </w:rPr>
      <w:fldChar w:fldCharType="end"/>
    </w:r>
  </w:p>
  <w:p w:rsidR="00767685" w:rsidRPr="00F531A0" w:rsidRDefault="00767685">
    <w:pPr>
      <w:ind w:right="360"/>
      <w:jc w:val="both"/>
      <w:rPr>
        <w:rFonts w:ascii="Garamond" w:hAnsi="Garamond"/>
        <w:i/>
        <w:spacing w:val="-3"/>
        <w:sz w:val="22"/>
        <w:szCs w:val="22"/>
      </w:rPr>
    </w:pPr>
  </w:p>
  <w:p w:rsidR="00767685" w:rsidRPr="00F531A0" w:rsidRDefault="00767685" w:rsidP="006F3983">
    <w:pPr>
      <w:rPr>
        <w:rFonts w:ascii="Garamond" w:hAnsi="Garamond"/>
        <w:i/>
        <w:sz w:val="22"/>
        <w:szCs w:val="22"/>
      </w:rPr>
    </w:pPr>
  </w:p>
  <w:p w:rsidR="00767685" w:rsidRPr="00CF361E" w:rsidRDefault="00767685" w:rsidP="00BF17FF">
    <w:pPr>
      <w:contextualSpacing/>
      <w:jc w:val="center"/>
      <w:rPr>
        <w:rFonts w:ascii="Futura Bk BT" w:hAnsi="Futura Bk BT" w:hint="eastAsia"/>
        <w:bCs/>
        <w:i/>
        <w:sz w:val="22"/>
        <w:szCs w:val="22"/>
      </w:rPr>
    </w:pPr>
    <w:r w:rsidRPr="00DD1FBA">
      <w:rPr>
        <w:rFonts w:ascii="Futura Bk BT" w:hAnsi="Futura Bk BT"/>
        <w:sz w:val="18"/>
      </w:rPr>
      <w:t>“</w:t>
    </w:r>
    <w:r w:rsidRPr="00DD1FBA">
      <w:rPr>
        <w:rFonts w:ascii="Futura Bk BT" w:hAnsi="Futura Bk BT" w:cs="Arial"/>
        <w:sz w:val="18"/>
        <w:szCs w:val="22"/>
      </w:rPr>
      <w:t>Por la cual se modifica</w:t>
    </w:r>
    <w:r>
      <w:rPr>
        <w:rFonts w:ascii="Futura Bk BT" w:hAnsi="Futura Bk BT" w:cs="Arial"/>
        <w:sz w:val="18"/>
        <w:szCs w:val="22"/>
      </w:rPr>
      <w:t>n</w:t>
    </w:r>
    <w:r w:rsidRPr="00DD1FBA">
      <w:rPr>
        <w:rFonts w:ascii="Futura Bk BT" w:hAnsi="Futura Bk BT" w:cs="Arial"/>
        <w:sz w:val="18"/>
        <w:szCs w:val="22"/>
      </w:rPr>
      <w:t xml:space="preserve"> </w:t>
    </w:r>
    <w:r>
      <w:rPr>
        <w:rFonts w:ascii="Futura Bk BT" w:hAnsi="Futura Bk BT" w:cs="Arial"/>
        <w:sz w:val="18"/>
        <w:szCs w:val="22"/>
      </w:rPr>
      <w:t xml:space="preserve">los </w:t>
    </w:r>
    <w:r w:rsidRPr="00DD1FBA">
      <w:rPr>
        <w:rFonts w:ascii="Futura Bk BT" w:hAnsi="Futura Bk BT" w:cs="Arial"/>
        <w:sz w:val="18"/>
        <w:szCs w:val="22"/>
      </w:rPr>
      <w:t xml:space="preserve"> artículo</w:t>
    </w:r>
    <w:r>
      <w:rPr>
        <w:rFonts w:ascii="Futura Bk BT" w:hAnsi="Futura Bk BT" w:cs="Arial"/>
        <w:sz w:val="18"/>
        <w:szCs w:val="22"/>
      </w:rPr>
      <w:t>s</w:t>
    </w:r>
    <w:r w:rsidRPr="00DD1FBA">
      <w:rPr>
        <w:rFonts w:ascii="Futura Bk BT" w:hAnsi="Futura Bk BT" w:cs="Arial"/>
        <w:sz w:val="18"/>
        <w:szCs w:val="22"/>
      </w:rPr>
      <w:t>,</w:t>
    </w:r>
    <w:r>
      <w:rPr>
        <w:rFonts w:ascii="Futura Bk BT" w:hAnsi="Futura Bk BT" w:cs="Arial"/>
        <w:sz w:val="18"/>
        <w:szCs w:val="22"/>
      </w:rPr>
      <w:t xml:space="preserve"> 3, 4,7 y 8 </w:t>
    </w:r>
    <w:r w:rsidRPr="00DD1FBA">
      <w:rPr>
        <w:rFonts w:ascii="Futura Bk BT" w:hAnsi="Futura Bk BT" w:cs="Arial"/>
        <w:sz w:val="18"/>
        <w:szCs w:val="22"/>
      </w:rPr>
      <w:t xml:space="preserve"> de la Resolución 1130 de 2015 por medio de la cual se emitió Concepto vinculante previo al establecimiento de una estación de peaje denominada El Cairo y sus puntos de control de acceso, y se establecen  tarifas especiales diferenciales para las estaciones denominadas Iracá, Ocoa, Casetabla y Yucao que forman parte del Proyecto vial de Iniciativa Privada Malla Vial del Meta “I.P. Malla Vial del Meta” y se dictan otras disposiciones”</w:t>
    </w:r>
  </w:p>
  <w:p w:rsidR="00767685" w:rsidRPr="00FB5E81" w:rsidRDefault="00767685" w:rsidP="00FB5E81">
    <w:pPr>
      <w:tabs>
        <w:tab w:val="left" w:pos="4320"/>
      </w:tabs>
      <w:ind w:right="215"/>
      <w:jc w:val="center"/>
      <w:rPr>
        <w:rFonts w:ascii="Futura Bk BT" w:hAnsi="Futura Bk BT" w:cs="Arial" w:hint="eastAsia"/>
        <w:i/>
        <w:sz w:val="20"/>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7685" w:rsidRDefault="00767685">
    <w:pPr>
      <w:pStyle w:val="Encabezado"/>
      <w:rPr>
        <w:lang w:val="es-MX"/>
      </w:rPr>
    </w:pPr>
  </w:p>
  <w:p w:rsidR="00767685" w:rsidRDefault="00767685">
    <w:pPr>
      <w:pStyle w:val="Encabezado"/>
      <w:rPr>
        <w:lang w:val="es-MX"/>
      </w:rPr>
    </w:pPr>
  </w:p>
  <w:p w:rsidR="00767685" w:rsidRDefault="00767685">
    <w:pPr>
      <w:pStyle w:val="Encabezado"/>
      <w:rPr>
        <w:lang w:val="es-MX"/>
      </w:rPr>
    </w:pPr>
  </w:p>
  <w:p w:rsidR="00767685" w:rsidRPr="00A92D63" w:rsidRDefault="00767685" w:rsidP="00A92D63">
    <w:pPr>
      <w:pStyle w:val="Encabezado"/>
      <w:tabs>
        <w:tab w:val="left" w:pos="434"/>
      </w:tabs>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004F6"/>
    <w:multiLevelType w:val="multilevel"/>
    <w:tmpl w:val="0B7ACBE2"/>
    <w:styleLink w:val="WW8Num9"/>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 w15:restartNumberingAfterBreak="0">
    <w:nsid w:val="047360A1"/>
    <w:multiLevelType w:val="multilevel"/>
    <w:tmpl w:val="9B08EE6E"/>
    <w:lvl w:ilvl="0">
      <w:numFmt w:val="bullet"/>
      <w:lvlText w:val=""/>
      <w:lvlJc w:val="left"/>
      <w:pPr>
        <w:ind w:left="360" w:hanging="360"/>
      </w:pPr>
      <w:rPr>
        <w:rFonts w:ascii="Symbol" w:hAnsi="Symbol"/>
      </w:rPr>
    </w:lvl>
    <w:lvl w:ilvl="1">
      <w:numFmt w:val="bullet"/>
      <w:lvlText w:val="•"/>
      <w:lvlJc w:val="left"/>
      <w:pPr>
        <w:ind w:left="1080" w:hanging="360"/>
      </w:pPr>
      <w:rPr>
        <w:rFonts w:ascii="Futura Bk BT" w:eastAsia="Times New Roman" w:hAnsi="Futura Bk BT" w:cs="Arial"/>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2" w15:restartNumberingAfterBreak="0">
    <w:nsid w:val="07613E1A"/>
    <w:multiLevelType w:val="multilevel"/>
    <w:tmpl w:val="4BF676AE"/>
    <w:styleLink w:val="WW8Num1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 w15:restartNumberingAfterBreak="0">
    <w:nsid w:val="096B7F5A"/>
    <w:multiLevelType w:val="multilevel"/>
    <w:tmpl w:val="F892B550"/>
    <w:styleLink w:val="WW8Num1"/>
    <w:lvl w:ilvl="0">
      <w:start w:val="1"/>
      <w:numFmt w:val="decimal"/>
      <w:lvlText w:val="%1."/>
      <w:lvlJc w:val="left"/>
      <w:rPr>
        <w:rFonts w:ascii="Arial" w:hAnsi="Arial" w:cs="Arial"/>
        <w:spacing w:val="6"/>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0E743A44"/>
    <w:multiLevelType w:val="multilevel"/>
    <w:tmpl w:val="2A78BF4C"/>
    <w:styleLink w:val="WW8Num5"/>
    <w:lvl w:ilvl="0">
      <w:start w:val="1"/>
      <w:numFmt w:val="decimal"/>
      <w:lvlText w:val="%1."/>
      <w:lvlJc w:val="left"/>
      <w:rPr>
        <w:b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5" w15:restartNumberingAfterBreak="0">
    <w:nsid w:val="110A6857"/>
    <w:multiLevelType w:val="multilevel"/>
    <w:tmpl w:val="D5E2C638"/>
    <w:lvl w:ilvl="0">
      <w:start w:val="1"/>
      <w:numFmt w:val="decimal"/>
      <w:pStyle w:val="TITULOUNO"/>
      <w:lvlText w:val="%1"/>
      <w:lvlJc w:val="left"/>
      <w:pPr>
        <w:tabs>
          <w:tab w:val="num" w:pos="420"/>
        </w:tabs>
        <w:ind w:left="420" w:hanging="420"/>
      </w:pPr>
      <w:rPr>
        <w:rFonts w:hint="default"/>
      </w:rPr>
    </w:lvl>
    <w:lvl w:ilvl="1">
      <w:start w:val="4"/>
      <w:numFmt w:val="decimal"/>
      <w:pStyle w:val="TITULODOS"/>
      <w:lvlText w:val="%1.%2"/>
      <w:lvlJc w:val="left"/>
      <w:pPr>
        <w:tabs>
          <w:tab w:val="num" w:pos="4560"/>
        </w:tabs>
        <w:ind w:left="4560" w:hanging="420"/>
      </w:pPr>
      <w:rPr>
        <w:rFonts w:hint="default"/>
      </w:rPr>
    </w:lvl>
    <w:lvl w:ilvl="2">
      <w:start w:val="1"/>
      <w:numFmt w:val="decimal"/>
      <w:pStyle w:val="titulotres"/>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 w15:restartNumberingAfterBreak="0">
    <w:nsid w:val="12B02556"/>
    <w:multiLevelType w:val="multilevel"/>
    <w:tmpl w:val="2C5AF38C"/>
    <w:styleLink w:val="WW8Num1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7" w15:restartNumberingAfterBreak="0">
    <w:nsid w:val="1323664B"/>
    <w:multiLevelType w:val="multilevel"/>
    <w:tmpl w:val="3EA6E238"/>
    <w:styleLink w:val="WW8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8" w15:restartNumberingAfterBreak="0">
    <w:nsid w:val="20EE7416"/>
    <w:multiLevelType w:val="multilevel"/>
    <w:tmpl w:val="8FD09C78"/>
    <w:styleLink w:val="WW8Num1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15:restartNumberingAfterBreak="0">
    <w:nsid w:val="27995C68"/>
    <w:multiLevelType w:val="multilevel"/>
    <w:tmpl w:val="7FE87146"/>
    <w:styleLink w:val="WW8Num8"/>
    <w:lvl w:ilvl="0">
      <w:start w:val="1"/>
      <w:numFmt w:val="decimal"/>
      <w:lvlText w:val="%1."/>
      <w:lvlJc w:val="left"/>
      <w:rPr>
        <w:rFonts w:ascii="Arial" w:hAnsi="Arial" w:cs="Arial"/>
        <w:b w:val="0"/>
        <w:i w:val="0"/>
        <w:sz w:val="22"/>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0" w15:restartNumberingAfterBreak="0">
    <w:nsid w:val="28E21E74"/>
    <w:multiLevelType w:val="multilevel"/>
    <w:tmpl w:val="1E32C61C"/>
    <w:styleLink w:val="WW8Num2"/>
    <w:lvl w:ilvl="0">
      <w:start w:val="1"/>
      <w:numFmt w:val="decimal"/>
      <w:lvlText w:val="%1."/>
      <w:lvlJc w:val="left"/>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15:restartNumberingAfterBreak="0">
    <w:nsid w:val="2BE949F9"/>
    <w:multiLevelType w:val="multilevel"/>
    <w:tmpl w:val="0DDE7B22"/>
    <w:styleLink w:val="WW8Num1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2" w15:restartNumberingAfterBreak="0">
    <w:nsid w:val="2C7C3ADD"/>
    <w:multiLevelType w:val="multilevel"/>
    <w:tmpl w:val="BE2077F4"/>
    <w:styleLink w:val="WW8Num14"/>
    <w:lvl w:ilvl="0">
      <w:start w:val="1"/>
      <w:numFmt w:val="decimal"/>
      <w:lvlText w:val="%1."/>
      <w:lvlJc w:val="left"/>
      <w:rPr>
        <w:b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15:restartNumberingAfterBreak="0">
    <w:nsid w:val="2D5E288A"/>
    <w:multiLevelType w:val="multilevel"/>
    <w:tmpl w:val="03BC825C"/>
    <w:styleLink w:val="WW8Num6"/>
    <w:lvl w:ilvl="0">
      <w:start w:val="1"/>
      <w:numFmt w:val="decimal"/>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14" w15:restartNumberingAfterBreak="0">
    <w:nsid w:val="37FC7E70"/>
    <w:multiLevelType w:val="multilevel"/>
    <w:tmpl w:val="B452362A"/>
    <w:styleLink w:val="WW8Num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3A6574D2"/>
    <w:multiLevelType w:val="hybridMultilevel"/>
    <w:tmpl w:val="630C3B6E"/>
    <w:lvl w:ilvl="0" w:tplc="080A000F">
      <w:start w:val="1"/>
      <w:numFmt w:val="decimal"/>
      <w:lvlText w:val="%1."/>
      <w:lvlJc w:val="left"/>
      <w:pPr>
        <w:ind w:left="502"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B805B11"/>
    <w:multiLevelType w:val="multilevel"/>
    <w:tmpl w:val="CCEAED0E"/>
    <w:styleLink w:val="WW8Num1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7" w15:restartNumberingAfterBreak="0">
    <w:nsid w:val="3FCE755E"/>
    <w:multiLevelType w:val="multilevel"/>
    <w:tmpl w:val="AC4EA9FA"/>
    <w:styleLink w:val="WW8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15:restartNumberingAfterBreak="0">
    <w:nsid w:val="46555B8E"/>
    <w:multiLevelType w:val="multilevel"/>
    <w:tmpl w:val="5274AF16"/>
    <w:styleLink w:val="WW8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9" w15:restartNumberingAfterBreak="0">
    <w:nsid w:val="54A17E29"/>
    <w:multiLevelType w:val="multilevel"/>
    <w:tmpl w:val="84BCA9E6"/>
    <w:styleLink w:val="WW8Num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0" w15:restartNumberingAfterBreak="0">
    <w:nsid w:val="58BF71BA"/>
    <w:multiLevelType w:val="multilevel"/>
    <w:tmpl w:val="85B059E6"/>
    <w:styleLink w:val="WW8Num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1" w15:restartNumberingAfterBreak="0">
    <w:nsid w:val="677840D6"/>
    <w:multiLevelType w:val="multilevel"/>
    <w:tmpl w:val="0A9A18D8"/>
    <w:styleLink w:val="WW8Num11"/>
    <w:lvl w:ilvl="0">
      <w:start w:val="12"/>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num w:numId="1">
    <w:abstractNumId w:val="5"/>
  </w:num>
  <w:num w:numId="2">
    <w:abstractNumId w:val="3"/>
  </w:num>
  <w:num w:numId="3">
    <w:abstractNumId w:val="10"/>
  </w:num>
  <w:num w:numId="4">
    <w:abstractNumId w:val="20"/>
  </w:num>
  <w:num w:numId="5">
    <w:abstractNumId w:val="7"/>
  </w:num>
  <w:num w:numId="6">
    <w:abstractNumId w:val="4"/>
  </w:num>
  <w:num w:numId="7">
    <w:abstractNumId w:val="13"/>
  </w:num>
  <w:num w:numId="8">
    <w:abstractNumId w:val="19"/>
  </w:num>
  <w:num w:numId="9">
    <w:abstractNumId w:val="9"/>
  </w:num>
  <w:num w:numId="10">
    <w:abstractNumId w:val="0"/>
  </w:num>
  <w:num w:numId="11">
    <w:abstractNumId w:val="6"/>
  </w:num>
  <w:num w:numId="12">
    <w:abstractNumId w:val="21"/>
  </w:num>
  <w:num w:numId="13">
    <w:abstractNumId w:val="18"/>
  </w:num>
  <w:num w:numId="14">
    <w:abstractNumId w:val="11"/>
  </w:num>
  <w:num w:numId="15">
    <w:abstractNumId w:val="12"/>
  </w:num>
  <w:num w:numId="16">
    <w:abstractNumId w:val="14"/>
  </w:num>
  <w:num w:numId="17">
    <w:abstractNumId w:val="8"/>
  </w:num>
  <w:num w:numId="18">
    <w:abstractNumId w:val="2"/>
  </w:num>
  <w:num w:numId="19">
    <w:abstractNumId w:val="17"/>
  </w:num>
  <w:num w:numId="20">
    <w:abstractNumId w:val="16"/>
  </w:num>
  <w:num w:numId="21">
    <w:abstractNumId w:val="1"/>
  </w:num>
  <w:num w:numId="22">
    <w:abstractNumId w:val="15"/>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onia Jaqueline Angarita Salazar">
    <w15:presenceInfo w15:providerId="AD" w15:userId="S-1-5-21-577418138-963071207-392440556-625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attachedTemplate r:id="rId1"/>
  <w:defaultTabStop w:val="720"/>
  <w:hyphenationZone w:val="978"/>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03C"/>
    <w:rsid w:val="0000446B"/>
    <w:rsid w:val="00004A83"/>
    <w:rsid w:val="00006D4D"/>
    <w:rsid w:val="00006F8C"/>
    <w:rsid w:val="000105E7"/>
    <w:rsid w:val="00010FC3"/>
    <w:rsid w:val="000116C1"/>
    <w:rsid w:val="00011EBF"/>
    <w:rsid w:val="000130B2"/>
    <w:rsid w:val="00013640"/>
    <w:rsid w:val="000141BB"/>
    <w:rsid w:val="00020188"/>
    <w:rsid w:val="00020B6A"/>
    <w:rsid w:val="00022B60"/>
    <w:rsid w:val="00025012"/>
    <w:rsid w:val="0002517B"/>
    <w:rsid w:val="00025649"/>
    <w:rsid w:val="00026435"/>
    <w:rsid w:val="000271BB"/>
    <w:rsid w:val="00027662"/>
    <w:rsid w:val="000306F4"/>
    <w:rsid w:val="00032BA8"/>
    <w:rsid w:val="000337FF"/>
    <w:rsid w:val="00035D68"/>
    <w:rsid w:val="00040AFF"/>
    <w:rsid w:val="00041877"/>
    <w:rsid w:val="00041E66"/>
    <w:rsid w:val="00041F6A"/>
    <w:rsid w:val="00042FBA"/>
    <w:rsid w:val="000443F3"/>
    <w:rsid w:val="00044E17"/>
    <w:rsid w:val="000458C3"/>
    <w:rsid w:val="00045C29"/>
    <w:rsid w:val="00045C7B"/>
    <w:rsid w:val="000461A4"/>
    <w:rsid w:val="000462EF"/>
    <w:rsid w:val="000469A8"/>
    <w:rsid w:val="0004737D"/>
    <w:rsid w:val="00052D06"/>
    <w:rsid w:val="0005308E"/>
    <w:rsid w:val="00054DE1"/>
    <w:rsid w:val="00057DAF"/>
    <w:rsid w:val="00060B4A"/>
    <w:rsid w:val="00063610"/>
    <w:rsid w:val="000656A6"/>
    <w:rsid w:val="00070133"/>
    <w:rsid w:val="000713D0"/>
    <w:rsid w:val="00072596"/>
    <w:rsid w:val="00074722"/>
    <w:rsid w:val="00074C76"/>
    <w:rsid w:val="000755BA"/>
    <w:rsid w:val="00076442"/>
    <w:rsid w:val="00076BF3"/>
    <w:rsid w:val="000816BF"/>
    <w:rsid w:val="00081A4D"/>
    <w:rsid w:val="00081BAE"/>
    <w:rsid w:val="00082BCD"/>
    <w:rsid w:val="000830C2"/>
    <w:rsid w:val="000842AD"/>
    <w:rsid w:val="00087770"/>
    <w:rsid w:val="00091F91"/>
    <w:rsid w:val="000940B7"/>
    <w:rsid w:val="000942D1"/>
    <w:rsid w:val="00094764"/>
    <w:rsid w:val="000A08ED"/>
    <w:rsid w:val="000A1D71"/>
    <w:rsid w:val="000A1EBA"/>
    <w:rsid w:val="000A21EB"/>
    <w:rsid w:val="000A2911"/>
    <w:rsid w:val="000A3815"/>
    <w:rsid w:val="000A48AD"/>
    <w:rsid w:val="000A4B70"/>
    <w:rsid w:val="000A7A83"/>
    <w:rsid w:val="000A7E48"/>
    <w:rsid w:val="000A7F30"/>
    <w:rsid w:val="000B0A3F"/>
    <w:rsid w:val="000B12F3"/>
    <w:rsid w:val="000B1613"/>
    <w:rsid w:val="000B22FF"/>
    <w:rsid w:val="000B2650"/>
    <w:rsid w:val="000B3907"/>
    <w:rsid w:val="000B7FDF"/>
    <w:rsid w:val="000C006B"/>
    <w:rsid w:val="000C0138"/>
    <w:rsid w:val="000C1377"/>
    <w:rsid w:val="000C1497"/>
    <w:rsid w:val="000C1A95"/>
    <w:rsid w:val="000C38D2"/>
    <w:rsid w:val="000C41C4"/>
    <w:rsid w:val="000C5C5D"/>
    <w:rsid w:val="000C6D0E"/>
    <w:rsid w:val="000C7162"/>
    <w:rsid w:val="000C7E46"/>
    <w:rsid w:val="000C7F52"/>
    <w:rsid w:val="000D0628"/>
    <w:rsid w:val="000D1067"/>
    <w:rsid w:val="000D2CA6"/>
    <w:rsid w:val="000D62F5"/>
    <w:rsid w:val="000D687D"/>
    <w:rsid w:val="000D75D8"/>
    <w:rsid w:val="000E0900"/>
    <w:rsid w:val="000E333A"/>
    <w:rsid w:val="000E44C9"/>
    <w:rsid w:val="000E482F"/>
    <w:rsid w:val="000E4E6A"/>
    <w:rsid w:val="000F3CA0"/>
    <w:rsid w:val="000F405A"/>
    <w:rsid w:val="000F477C"/>
    <w:rsid w:val="000F4A29"/>
    <w:rsid w:val="000F64AD"/>
    <w:rsid w:val="000F6F83"/>
    <w:rsid w:val="00101657"/>
    <w:rsid w:val="0010186C"/>
    <w:rsid w:val="001047C1"/>
    <w:rsid w:val="00106DEF"/>
    <w:rsid w:val="00111504"/>
    <w:rsid w:val="00112466"/>
    <w:rsid w:val="00112B41"/>
    <w:rsid w:val="001176A2"/>
    <w:rsid w:val="00123207"/>
    <w:rsid w:val="00123B11"/>
    <w:rsid w:val="001243C7"/>
    <w:rsid w:val="00124BA2"/>
    <w:rsid w:val="001256A2"/>
    <w:rsid w:val="00125B9C"/>
    <w:rsid w:val="00126024"/>
    <w:rsid w:val="001263A4"/>
    <w:rsid w:val="001268CE"/>
    <w:rsid w:val="001277A4"/>
    <w:rsid w:val="001300A7"/>
    <w:rsid w:val="00131A8F"/>
    <w:rsid w:val="0013269D"/>
    <w:rsid w:val="001327B3"/>
    <w:rsid w:val="00142754"/>
    <w:rsid w:val="00142BCE"/>
    <w:rsid w:val="0014370B"/>
    <w:rsid w:val="00144330"/>
    <w:rsid w:val="00144AFA"/>
    <w:rsid w:val="00146F06"/>
    <w:rsid w:val="0014711D"/>
    <w:rsid w:val="00155FFC"/>
    <w:rsid w:val="0016396A"/>
    <w:rsid w:val="00163E8A"/>
    <w:rsid w:val="001642B4"/>
    <w:rsid w:val="00166751"/>
    <w:rsid w:val="0016770C"/>
    <w:rsid w:val="00170AF4"/>
    <w:rsid w:val="00173B2C"/>
    <w:rsid w:val="0017653B"/>
    <w:rsid w:val="00176BF0"/>
    <w:rsid w:val="00176E95"/>
    <w:rsid w:val="00177F9D"/>
    <w:rsid w:val="001811DC"/>
    <w:rsid w:val="001826BD"/>
    <w:rsid w:val="00183DCC"/>
    <w:rsid w:val="00184DB6"/>
    <w:rsid w:val="00185DA7"/>
    <w:rsid w:val="00191A98"/>
    <w:rsid w:val="00192E07"/>
    <w:rsid w:val="0019378F"/>
    <w:rsid w:val="00196CB1"/>
    <w:rsid w:val="001A0547"/>
    <w:rsid w:val="001A1CAC"/>
    <w:rsid w:val="001A2A76"/>
    <w:rsid w:val="001A3AE6"/>
    <w:rsid w:val="001A3F6C"/>
    <w:rsid w:val="001A59DA"/>
    <w:rsid w:val="001B01CB"/>
    <w:rsid w:val="001B1220"/>
    <w:rsid w:val="001B1353"/>
    <w:rsid w:val="001B294B"/>
    <w:rsid w:val="001B4945"/>
    <w:rsid w:val="001B7A00"/>
    <w:rsid w:val="001C0217"/>
    <w:rsid w:val="001C0322"/>
    <w:rsid w:val="001C33B5"/>
    <w:rsid w:val="001C372F"/>
    <w:rsid w:val="001C431A"/>
    <w:rsid w:val="001C5C38"/>
    <w:rsid w:val="001C5C99"/>
    <w:rsid w:val="001C5F84"/>
    <w:rsid w:val="001C7894"/>
    <w:rsid w:val="001D1256"/>
    <w:rsid w:val="001D149E"/>
    <w:rsid w:val="001D2D8D"/>
    <w:rsid w:val="001D3600"/>
    <w:rsid w:val="001D4AAF"/>
    <w:rsid w:val="001D5482"/>
    <w:rsid w:val="001D6932"/>
    <w:rsid w:val="001D7F56"/>
    <w:rsid w:val="001E034B"/>
    <w:rsid w:val="001E1887"/>
    <w:rsid w:val="001E1E29"/>
    <w:rsid w:val="001E2245"/>
    <w:rsid w:val="001E5692"/>
    <w:rsid w:val="001E56AF"/>
    <w:rsid w:val="001E7B7B"/>
    <w:rsid w:val="001F1D24"/>
    <w:rsid w:val="001F259A"/>
    <w:rsid w:val="001F55C1"/>
    <w:rsid w:val="001F5A43"/>
    <w:rsid w:val="001F6D7A"/>
    <w:rsid w:val="001F7717"/>
    <w:rsid w:val="001F7B9A"/>
    <w:rsid w:val="00202945"/>
    <w:rsid w:val="00203A6D"/>
    <w:rsid w:val="00203AF0"/>
    <w:rsid w:val="00206667"/>
    <w:rsid w:val="0020716D"/>
    <w:rsid w:val="002078FD"/>
    <w:rsid w:val="0021156F"/>
    <w:rsid w:val="0021284F"/>
    <w:rsid w:val="00212876"/>
    <w:rsid w:val="00216E00"/>
    <w:rsid w:val="00217C4B"/>
    <w:rsid w:val="002203E4"/>
    <w:rsid w:val="00220AAA"/>
    <w:rsid w:val="00220ED9"/>
    <w:rsid w:val="00223451"/>
    <w:rsid w:val="00225344"/>
    <w:rsid w:val="00225D93"/>
    <w:rsid w:val="00225E37"/>
    <w:rsid w:val="002272A2"/>
    <w:rsid w:val="00231960"/>
    <w:rsid w:val="00231DC4"/>
    <w:rsid w:val="002324CB"/>
    <w:rsid w:val="00233FBE"/>
    <w:rsid w:val="002344C3"/>
    <w:rsid w:val="002358DC"/>
    <w:rsid w:val="002462E8"/>
    <w:rsid w:val="00252745"/>
    <w:rsid w:val="00252DF7"/>
    <w:rsid w:val="00255F41"/>
    <w:rsid w:val="0025675A"/>
    <w:rsid w:val="00256C03"/>
    <w:rsid w:val="0026002B"/>
    <w:rsid w:val="00261A8C"/>
    <w:rsid w:val="00261FFE"/>
    <w:rsid w:val="002620F2"/>
    <w:rsid w:val="0026225A"/>
    <w:rsid w:val="002631D7"/>
    <w:rsid w:val="00264D0D"/>
    <w:rsid w:val="00264E4A"/>
    <w:rsid w:val="0026525E"/>
    <w:rsid w:val="00265A76"/>
    <w:rsid w:val="002660F9"/>
    <w:rsid w:val="0026691A"/>
    <w:rsid w:val="00271333"/>
    <w:rsid w:val="00272495"/>
    <w:rsid w:val="002737BB"/>
    <w:rsid w:val="00273A01"/>
    <w:rsid w:val="00276BC7"/>
    <w:rsid w:val="002778F3"/>
    <w:rsid w:val="0028070F"/>
    <w:rsid w:val="0028193D"/>
    <w:rsid w:val="00282BB4"/>
    <w:rsid w:val="00283BC2"/>
    <w:rsid w:val="002865C5"/>
    <w:rsid w:val="0029151F"/>
    <w:rsid w:val="002915DB"/>
    <w:rsid w:val="00291AC3"/>
    <w:rsid w:val="00294030"/>
    <w:rsid w:val="00294361"/>
    <w:rsid w:val="002A0EE5"/>
    <w:rsid w:val="002A0F78"/>
    <w:rsid w:val="002A3884"/>
    <w:rsid w:val="002A394D"/>
    <w:rsid w:val="002A4168"/>
    <w:rsid w:val="002A77B3"/>
    <w:rsid w:val="002B2CC0"/>
    <w:rsid w:val="002B3733"/>
    <w:rsid w:val="002B47A0"/>
    <w:rsid w:val="002B6AFE"/>
    <w:rsid w:val="002B76AD"/>
    <w:rsid w:val="002C0149"/>
    <w:rsid w:val="002C26DC"/>
    <w:rsid w:val="002C44BE"/>
    <w:rsid w:val="002C535C"/>
    <w:rsid w:val="002C5C68"/>
    <w:rsid w:val="002C6630"/>
    <w:rsid w:val="002D101A"/>
    <w:rsid w:val="002D1F7B"/>
    <w:rsid w:val="002D29FC"/>
    <w:rsid w:val="002D2A4E"/>
    <w:rsid w:val="002D362F"/>
    <w:rsid w:val="002D386E"/>
    <w:rsid w:val="002D3DAD"/>
    <w:rsid w:val="002D4125"/>
    <w:rsid w:val="002D508D"/>
    <w:rsid w:val="002D514B"/>
    <w:rsid w:val="002D61ED"/>
    <w:rsid w:val="002E26DC"/>
    <w:rsid w:val="002E3044"/>
    <w:rsid w:val="002E5817"/>
    <w:rsid w:val="002F11C5"/>
    <w:rsid w:val="002F3350"/>
    <w:rsid w:val="002F5427"/>
    <w:rsid w:val="002F5877"/>
    <w:rsid w:val="002F62B4"/>
    <w:rsid w:val="002F644F"/>
    <w:rsid w:val="002F7BE4"/>
    <w:rsid w:val="002F7D98"/>
    <w:rsid w:val="00300A0B"/>
    <w:rsid w:val="00304422"/>
    <w:rsid w:val="003050FB"/>
    <w:rsid w:val="0030691F"/>
    <w:rsid w:val="003100F1"/>
    <w:rsid w:val="003104A4"/>
    <w:rsid w:val="0031233B"/>
    <w:rsid w:val="003132FC"/>
    <w:rsid w:val="00315BE2"/>
    <w:rsid w:val="00315EAC"/>
    <w:rsid w:val="0031753B"/>
    <w:rsid w:val="00317A13"/>
    <w:rsid w:val="00317BF5"/>
    <w:rsid w:val="0032112C"/>
    <w:rsid w:val="003223EB"/>
    <w:rsid w:val="0032280F"/>
    <w:rsid w:val="00323746"/>
    <w:rsid w:val="00323E27"/>
    <w:rsid w:val="00325607"/>
    <w:rsid w:val="00325F94"/>
    <w:rsid w:val="00326523"/>
    <w:rsid w:val="00326971"/>
    <w:rsid w:val="0033082D"/>
    <w:rsid w:val="00332EB1"/>
    <w:rsid w:val="00337509"/>
    <w:rsid w:val="0033766B"/>
    <w:rsid w:val="00343E34"/>
    <w:rsid w:val="00344A49"/>
    <w:rsid w:val="00345053"/>
    <w:rsid w:val="00347A76"/>
    <w:rsid w:val="00350AC8"/>
    <w:rsid w:val="00350C51"/>
    <w:rsid w:val="00353B7E"/>
    <w:rsid w:val="00354D3F"/>
    <w:rsid w:val="003557E3"/>
    <w:rsid w:val="00357D28"/>
    <w:rsid w:val="00357DCB"/>
    <w:rsid w:val="00361436"/>
    <w:rsid w:val="003621F2"/>
    <w:rsid w:val="00362B7B"/>
    <w:rsid w:val="00362E9B"/>
    <w:rsid w:val="00363CDA"/>
    <w:rsid w:val="0036477B"/>
    <w:rsid w:val="00365D20"/>
    <w:rsid w:val="00371969"/>
    <w:rsid w:val="00371F82"/>
    <w:rsid w:val="00372F91"/>
    <w:rsid w:val="00374AD7"/>
    <w:rsid w:val="00375201"/>
    <w:rsid w:val="00377265"/>
    <w:rsid w:val="00381639"/>
    <w:rsid w:val="00381B08"/>
    <w:rsid w:val="00382A68"/>
    <w:rsid w:val="0039037A"/>
    <w:rsid w:val="00390813"/>
    <w:rsid w:val="00391B26"/>
    <w:rsid w:val="003924C3"/>
    <w:rsid w:val="00393661"/>
    <w:rsid w:val="00394D03"/>
    <w:rsid w:val="003A0039"/>
    <w:rsid w:val="003A1F18"/>
    <w:rsid w:val="003A2181"/>
    <w:rsid w:val="003A2FBD"/>
    <w:rsid w:val="003A4AD5"/>
    <w:rsid w:val="003A6141"/>
    <w:rsid w:val="003A72EB"/>
    <w:rsid w:val="003A7EE5"/>
    <w:rsid w:val="003B00F7"/>
    <w:rsid w:val="003B017D"/>
    <w:rsid w:val="003B058D"/>
    <w:rsid w:val="003B22C8"/>
    <w:rsid w:val="003B2E7A"/>
    <w:rsid w:val="003B3AF0"/>
    <w:rsid w:val="003B45A0"/>
    <w:rsid w:val="003B4DE7"/>
    <w:rsid w:val="003B5F82"/>
    <w:rsid w:val="003B7BFB"/>
    <w:rsid w:val="003B7F96"/>
    <w:rsid w:val="003C1351"/>
    <w:rsid w:val="003C1B82"/>
    <w:rsid w:val="003C2944"/>
    <w:rsid w:val="003C2D1B"/>
    <w:rsid w:val="003C353E"/>
    <w:rsid w:val="003D0015"/>
    <w:rsid w:val="003D19E2"/>
    <w:rsid w:val="003D20E6"/>
    <w:rsid w:val="003D3784"/>
    <w:rsid w:val="003D39C7"/>
    <w:rsid w:val="003D6B74"/>
    <w:rsid w:val="003D6B87"/>
    <w:rsid w:val="003E1D4D"/>
    <w:rsid w:val="003E1EC4"/>
    <w:rsid w:val="003E286C"/>
    <w:rsid w:val="003E33BB"/>
    <w:rsid w:val="003E4748"/>
    <w:rsid w:val="003E4E43"/>
    <w:rsid w:val="003E5719"/>
    <w:rsid w:val="003E58FB"/>
    <w:rsid w:val="003E72C1"/>
    <w:rsid w:val="003E788B"/>
    <w:rsid w:val="003F13BB"/>
    <w:rsid w:val="003F4580"/>
    <w:rsid w:val="003F4662"/>
    <w:rsid w:val="003F602C"/>
    <w:rsid w:val="003F739E"/>
    <w:rsid w:val="003F7E5E"/>
    <w:rsid w:val="004013DA"/>
    <w:rsid w:val="00403766"/>
    <w:rsid w:val="004038EC"/>
    <w:rsid w:val="00405769"/>
    <w:rsid w:val="00407268"/>
    <w:rsid w:val="004133F0"/>
    <w:rsid w:val="00414112"/>
    <w:rsid w:val="00420122"/>
    <w:rsid w:val="0042013B"/>
    <w:rsid w:val="004228AA"/>
    <w:rsid w:val="00422F86"/>
    <w:rsid w:val="00423F8B"/>
    <w:rsid w:val="00426352"/>
    <w:rsid w:val="00426576"/>
    <w:rsid w:val="00426B59"/>
    <w:rsid w:val="00427029"/>
    <w:rsid w:val="00427C40"/>
    <w:rsid w:val="00430212"/>
    <w:rsid w:val="00432370"/>
    <w:rsid w:val="00434683"/>
    <w:rsid w:val="00435991"/>
    <w:rsid w:val="004359AC"/>
    <w:rsid w:val="00435E9B"/>
    <w:rsid w:val="004361FE"/>
    <w:rsid w:val="00436A7A"/>
    <w:rsid w:val="00437AC1"/>
    <w:rsid w:val="0044215D"/>
    <w:rsid w:val="00442E51"/>
    <w:rsid w:val="00443969"/>
    <w:rsid w:val="00444096"/>
    <w:rsid w:val="00445197"/>
    <w:rsid w:val="00447403"/>
    <w:rsid w:val="004474F4"/>
    <w:rsid w:val="00450F1C"/>
    <w:rsid w:val="004526A9"/>
    <w:rsid w:val="004555ED"/>
    <w:rsid w:val="004559CC"/>
    <w:rsid w:val="004576D7"/>
    <w:rsid w:val="00457D48"/>
    <w:rsid w:val="00462023"/>
    <w:rsid w:val="00462A9C"/>
    <w:rsid w:val="00467119"/>
    <w:rsid w:val="0046763B"/>
    <w:rsid w:val="00470022"/>
    <w:rsid w:val="004703B6"/>
    <w:rsid w:val="00471654"/>
    <w:rsid w:val="00471D03"/>
    <w:rsid w:val="00471FFB"/>
    <w:rsid w:val="0047204E"/>
    <w:rsid w:val="00472278"/>
    <w:rsid w:val="00472530"/>
    <w:rsid w:val="0047416D"/>
    <w:rsid w:val="00476C9B"/>
    <w:rsid w:val="004776FF"/>
    <w:rsid w:val="0047780E"/>
    <w:rsid w:val="00477BF5"/>
    <w:rsid w:val="0048151D"/>
    <w:rsid w:val="004828A7"/>
    <w:rsid w:val="0048356E"/>
    <w:rsid w:val="00484102"/>
    <w:rsid w:val="0048417D"/>
    <w:rsid w:val="00484E65"/>
    <w:rsid w:val="00486308"/>
    <w:rsid w:val="00487188"/>
    <w:rsid w:val="0048749E"/>
    <w:rsid w:val="0049066D"/>
    <w:rsid w:val="00492AA9"/>
    <w:rsid w:val="00492D26"/>
    <w:rsid w:val="00493668"/>
    <w:rsid w:val="00494713"/>
    <w:rsid w:val="0049513F"/>
    <w:rsid w:val="004954CB"/>
    <w:rsid w:val="0049708B"/>
    <w:rsid w:val="00497D33"/>
    <w:rsid w:val="004A02AC"/>
    <w:rsid w:val="004A02BE"/>
    <w:rsid w:val="004A0FA2"/>
    <w:rsid w:val="004A7F08"/>
    <w:rsid w:val="004B19C4"/>
    <w:rsid w:val="004B2374"/>
    <w:rsid w:val="004B4335"/>
    <w:rsid w:val="004B5632"/>
    <w:rsid w:val="004B7189"/>
    <w:rsid w:val="004B72E1"/>
    <w:rsid w:val="004C0A84"/>
    <w:rsid w:val="004C2A9C"/>
    <w:rsid w:val="004C2D7B"/>
    <w:rsid w:val="004C64C4"/>
    <w:rsid w:val="004C7834"/>
    <w:rsid w:val="004C7B7D"/>
    <w:rsid w:val="004D0052"/>
    <w:rsid w:val="004D0E2A"/>
    <w:rsid w:val="004D15F0"/>
    <w:rsid w:val="004D2573"/>
    <w:rsid w:val="004D4183"/>
    <w:rsid w:val="004D4B67"/>
    <w:rsid w:val="004D57C8"/>
    <w:rsid w:val="004D7B78"/>
    <w:rsid w:val="004E19C7"/>
    <w:rsid w:val="004E21C1"/>
    <w:rsid w:val="004E46A6"/>
    <w:rsid w:val="004E74A5"/>
    <w:rsid w:val="004F0BDA"/>
    <w:rsid w:val="004F2450"/>
    <w:rsid w:val="004F4010"/>
    <w:rsid w:val="004F4460"/>
    <w:rsid w:val="004F65D8"/>
    <w:rsid w:val="004F69BE"/>
    <w:rsid w:val="004F7270"/>
    <w:rsid w:val="005013CC"/>
    <w:rsid w:val="00503328"/>
    <w:rsid w:val="005045D9"/>
    <w:rsid w:val="005046A4"/>
    <w:rsid w:val="00506BD6"/>
    <w:rsid w:val="005074B4"/>
    <w:rsid w:val="00510143"/>
    <w:rsid w:val="00510A01"/>
    <w:rsid w:val="00511117"/>
    <w:rsid w:val="00511567"/>
    <w:rsid w:val="00511AD7"/>
    <w:rsid w:val="00513007"/>
    <w:rsid w:val="00514225"/>
    <w:rsid w:val="005144F6"/>
    <w:rsid w:val="0051585F"/>
    <w:rsid w:val="00517E04"/>
    <w:rsid w:val="0052126D"/>
    <w:rsid w:val="00521559"/>
    <w:rsid w:val="00522D2F"/>
    <w:rsid w:val="00523C38"/>
    <w:rsid w:val="0052427B"/>
    <w:rsid w:val="00524ECC"/>
    <w:rsid w:val="005260EB"/>
    <w:rsid w:val="00526CF9"/>
    <w:rsid w:val="0052783C"/>
    <w:rsid w:val="00530C4C"/>
    <w:rsid w:val="00532BFE"/>
    <w:rsid w:val="00534766"/>
    <w:rsid w:val="00535B94"/>
    <w:rsid w:val="00537A11"/>
    <w:rsid w:val="0054076D"/>
    <w:rsid w:val="00542335"/>
    <w:rsid w:val="00542BA8"/>
    <w:rsid w:val="00543BBA"/>
    <w:rsid w:val="005459F4"/>
    <w:rsid w:val="00547D3D"/>
    <w:rsid w:val="00551024"/>
    <w:rsid w:val="00553F16"/>
    <w:rsid w:val="00555253"/>
    <w:rsid w:val="00555867"/>
    <w:rsid w:val="00556046"/>
    <w:rsid w:val="0056066E"/>
    <w:rsid w:val="00560CD7"/>
    <w:rsid w:val="005617EB"/>
    <w:rsid w:val="00562719"/>
    <w:rsid w:val="00562961"/>
    <w:rsid w:val="005635F6"/>
    <w:rsid w:val="00564257"/>
    <w:rsid w:val="005642DB"/>
    <w:rsid w:val="00566456"/>
    <w:rsid w:val="005665D0"/>
    <w:rsid w:val="005703CB"/>
    <w:rsid w:val="005722A4"/>
    <w:rsid w:val="005729A9"/>
    <w:rsid w:val="00573651"/>
    <w:rsid w:val="0057371D"/>
    <w:rsid w:val="0057452A"/>
    <w:rsid w:val="005762B7"/>
    <w:rsid w:val="00580879"/>
    <w:rsid w:val="005818F0"/>
    <w:rsid w:val="005821A8"/>
    <w:rsid w:val="0058280F"/>
    <w:rsid w:val="00585227"/>
    <w:rsid w:val="00586273"/>
    <w:rsid w:val="005915E8"/>
    <w:rsid w:val="00594437"/>
    <w:rsid w:val="005958D3"/>
    <w:rsid w:val="005973C8"/>
    <w:rsid w:val="005A03C0"/>
    <w:rsid w:val="005A24F1"/>
    <w:rsid w:val="005A2EEB"/>
    <w:rsid w:val="005A3AF8"/>
    <w:rsid w:val="005A425F"/>
    <w:rsid w:val="005A4807"/>
    <w:rsid w:val="005A64E4"/>
    <w:rsid w:val="005A69EC"/>
    <w:rsid w:val="005B11F8"/>
    <w:rsid w:val="005B1EC7"/>
    <w:rsid w:val="005B2EF2"/>
    <w:rsid w:val="005B38EA"/>
    <w:rsid w:val="005B6A74"/>
    <w:rsid w:val="005B77C2"/>
    <w:rsid w:val="005C0B4C"/>
    <w:rsid w:val="005C1C8A"/>
    <w:rsid w:val="005C74EC"/>
    <w:rsid w:val="005D0AFB"/>
    <w:rsid w:val="005D19DD"/>
    <w:rsid w:val="005D513D"/>
    <w:rsid w:val="005D7D78"/>
    <w:rsid w:val="005E25F8"/>
    <w:rsid w:val="005E3193"/>
    <w:rsid w:val="005E4152"/>
    <w:rsid w:val="005E41E9"/>
    <w:rsid w:val="005E4B0B"/>
    <w:rsid w:val="005E516B"/>
    <w:rsid w:val="005E62D8"/>
    <w:rsid w:val="005F0AB7"/>
    <w:rsid w:val="005F1272"/>
    <w:rsid w:val="005F153E"/>
    <w:rsid w:val="005F2D75"/>
    <w:rsid w:val="005F4097"/>
    <w:rsid w:val="005F7915"/>
    <w:rsid w:val="00600734"/>
    <w:rsid w:val="00602236"/>
    <w:rsid w:val="00602A5E"/>
    <w:rsid w:val="00606F8E"/>
    <w:rsid w:val="00607883"/>
    <w:rsid w:val="00611CDC"/>
    <w:rsid w:val="0061324B"/>
    <w:rsid w:val="00614151"/>
    <w:rsid w:val="0061544D"/>
    <w:rsid w:val="006171AE"/>
    <w:rsid w:val="00620944"/>
    <w:rsid w:val="00622ADB"/>
    <w:rsid w:val="006254FF"/>
    <w:rsid w:val="00626028"/>
    <w:rsid w:val="0063221C"/>
    <w:rsid w:val="00633C0E"/>
    <w:rsid w:val="006341A4"/>
    <w:rsid w:val="00634792"/>
    <w:rsid w:val="006361F2"/>
    <w:rsid w:val="00636BBF"/>
    <w:rsid w:val="00642236"/>
    <w:rsid w:val="006446A0"/>
    <w:rsid w:val="00646EC5"/>
    <w:rsid w:val="00651541"/>
    <w:rsid w:val="00652A4C"/>
    <w:rsid w:val="00652F54"/>
    <w:rsid w:val="006551E5"/>
    <w:rsid w:val="00655929"/>
    <w:rsid w:val="00655F54"/>
    <w:rsid w:val="00656F3C"/>
    <w:rsid w:val="006573A2"/>
    <w:rsid w:val="006579FA"/>
    <w:rsid w:val="0066392F"/>
    <w:rsid w:val="0066446A"/>
    <w:rsid w:val="006652E9"/>
    <w:rsid w:val="00670F8E"/>
    <w:rsid w:val="00672539"/>
    <w:rsid w:val="00674637"/>
    <w:rsid w:val="00674ACF"/>
    <w:rsid w:val="00676E6C"/>
    <w:rsid w:val="00677057"/>
    <w:rsid w:val="006807E0"/>
    <w:rsid w:val="006822F1"/>
    <w:rsid w:val="00683F42"/>
    <w:rsid w:val="00686181"/>
    <w:rsid w:val="00686182"/>
    <w:rsid w:val="006906C8"/>
    <w:rsid w:val="00693896"/>
    <w:rsid w:val="00693F36"/>
    <w:rsid w:val="006965FE"/>
    <w:rsid w:val="006967DF"/>
    <w:rsid w:val="00697211"/>
    <w:rsid w:val="006A2F9F"/>
    <w:rsid w:val="006A36FD"/>
    <w:rsid w:val="006A7327"/>
    <w:rsid w:val="006B3C05"/>
    <w:rsid w:val="006B3E89"/>
    <w:rsid w:val="006B5958"/>
    <w:rsid w:val="006B64F7"/>
    <w:rsid w:val="006B6E86"/>
    <w:rsid w:val="006C075C"/>
    <w:rsid w:val="006C10DA"/>
    <w:rsid w:val="006C2A55"/>
    <w:rsid w:val="006C30DB"/>
    <w:rsid w:val="006C3176"/>
    <w:rsid w:val="006C3655"/>
    <w:rsid w:val="006C3E49"/>
    <w:rsid w:val="006C479D"/>
    <w:rsid w:val="006C5420"/>
    <w:rsid w:val="006C6383"/>
    <w:rsid w:val="006C7EBB"/>
    <w:rsid w:val="006D11DA"/>
    <w:rsid w:val="006D4523"/>
    <w:rsid w:val="006D4612"/>
    <w:rsid w:val="006D524C"/>
    <w:rsid w:val="006D5A80"/>
    <w:rsid w:val="006D613A"/>
    <w:rsid w:val="006D62B4"/>
    <w:rsid w:val="006E0DCB"/>
    <w:rsid w:val="006E16C3"/>
    <w:rsid w:val="006E17BB"/>
    <w:rsid w:val="006E384C"/>
    <w:rsid w:val="006E4762"/>
    <w:rsid w:val="006F1382"/>
    <w:rsid w:val="006F3983"/>
    <w:rsid w:val="006F3BCE"/>
    <w:rsid w:val="006F4E91"/>
    <w:rsid w:val="006F52EE"/>
    <w:rsid w:val="006F6EAE"/>
    <w:rsid w:val="006F760B"/>
    <w:rsid w:val="00700FA0"/>
    <w:rsid w:val="007013C9"/>
    <w:rsid w:val="00701D4E"/>
    <w:rsid w:val="00704499"/>
    <w:rsid w:val="00704A66"/>
    <w:rsid w:val="007050C7"/>
    <w:rsid w:val="00705811"/>
    <w:rsid w:val="00707663"/>
    <w:rsid w:val="007106EA"/>
    <w:rsid w:val="00711D7F"/>
    <w:rsid w:val="00712002"/>
    <w:rsid w:val="00713CEB"/>
    <w:rsid w:val="00714CB5"/>
    <w:rsid w:val="007157DF"/>
    <w:rsid w:val="00723B41"/>
    <w:rsid w:val="007243D5"/>
    <w:rsid w:val="0072550E"/>
    <w:rsid w:val="00726CFB"/>
    <w:rsid w:val="00727C6B"/>
    <w:rsid w:val="00730F74"/>
    <w:rsid w:val="007339D0"/>
    <w:rsid w:val="00734DFD"/>
    <w:rsid w:val="00735B39"/>
    <w:rsid w:val="0074074F"/>
    <w:rsid w:val="00740FD3"/>
    <w:rsid w:val="007445D7"/>
    <w:rsid w:val="0074535E"/>
    <w:rsid w:val="007471DC"/>
    <w:rsid w:val="007500BE"/>
    <w:rsid w:val="00751B89"/>
    <w:rsid w:val="0075202B"/>
    <w:rsid w:val="007528A9"/>
    <w:rsid w:val="007546F4"/>
    <w:rsid w:val="00755E5C"/>
    <w:rsid w:val="00757663"/>
    <w:rsid w:val="00762DCB"/>
    <w:rsid w:val="00765513"/>
    <w:rsid w:val="00765C23"/>
    <w:rsid w:val="007667E7"/>
    <w:rsid w:val="00767685"/>
    <w:rsid w:val="007679A4"/>
    <w:rsid w:val="00767AEB"/>
    <w:rsid w:val="0077218D"/>
    <w:rsid w:val="00773FB0"/>
    <w:rsid w:val="00776E06"/>
    <w:rsid w:val="007775D8"/>
    <w:rsid w:val="00783422"/>
    <w:rsid w:val="00784A62"/>
    <w:rsid w:val="00785EC8"/>
    <w:rsid w:val="007869E4"/>
    <w:rsid w:val="00790F48"/>
    <w:rsid w:val="007923F2"/>
    <w:rsid w:val="00797732"/>
    <w:rsid w:val="007A060F"/>
    <w:rsid w:val="007A130F"/>
    <w:rsid w:val="007A2050"/>
    <w:rsid w:val="007A45C9"/>
    <w:rsid w:val="007A4D58"/>
    <w:rsid w:val="007A7626"/>
    <w:rsid w:val="007A7F37"/>
    <w:rsid w:val="007B0BBA"/>
    <w:rsid w:val="007B0C24"/>
    <w:rsid w:val="007B1A54"/>
    <w:rsid w:val="007B22E0"/>
    <w:rsid w:val="007B7B1B"/>
    <w:rsid w:val="007C1E92"/>
    <w:rsid w:val="007C453A"/>
    <w:rsid w:val="007C52FE"/>
    <w:rsid w:val="007C5411"/>
    <w:rsid w:val="007C547A"/>
    <w:rsid w:val="007C54E5"/>
    <w:rsid w:val="007C6B96"/>
    <w:rsid w:val="007D0825"/>
    <w:rsid w:val="007D15AE"/>
    <w:rsid w:val="007D404E"/>
    <w:rsid w:val="007D4181"/>
    <w:rsid w:val="007D54C6"/>
    <w:rsid w:val="007D6B52"/>
    <w:rsid w:val="007D72DF"/>
    <w:rsid w:val="007E064E"/>
    <w:rsid w:val="007E1320"/>
    <w:rsid w:val="007E2566"/>
    <w:rsid w:val="007E37BF"/>
    <w:rsid w:val="007E3EE1"/>
    <w:rsid w:val="007E5DAB"/>
    <w:rsid w:val="007E6872"/>
    <w:rsid w:val="007F3F4B"/>
    <w:rsid w:val="007F4D49"/>
    <w:rsid w:val="007F6018"/>
    <w:rsid w:val="008002FE"/>
    <w:rsid w:val="0080087B"/>
    <w:rsid w:val="0080127B"/>
    <w:rsid w:val="00801F74"/>
    <w:rsid w:val="008020D6"/>
    <w:rsid w:val="00802E1F"/>
    <w:rsid w:val="008031A5"/>
    <w:rsid w:val="00803A33"/>
    <w:rsid w:val="0080466E"/>
    <w:rsid w:val="00804BE3"/>
    <w:rsid w:val="008102F7"/>
    <w:rsid w:val="00811402"/>
    <w:rsid w:val="00811DD1"/>
    <w:rsid w:val="00812136"/>
    <w:rsid w:val="00812281"/>
    <w:rsid w:val="008137C8"/>
    <w:rsid w:val="00814374"/>
    <w:rsid w:val="0081469D"/>
    <w:rsid w:val="008155ED"/>
    <w:rsid w:val="00816CA9"/>
    <w:rsid w:val="00817EF0"/>
    <w:rsid w:val="008219BC"/>
    <w:rsid w:val="00823519"/>
    <w:rsid w:val="008242AD"/>
    <w:rsid w:val="00824384"/>
    <w:rsid w:val="008245F6"/>
    <w:rsid w:val="00827104"/>
    <w:rsid w:val="008276D5"/>
    <w:rsid w:val="0083150C"/>
    <w:rsid w:val="008333D3"/>
    <w:rsid w:val="008366F0"/>
    <w:rsid w:val="0084119D"/>
    <w:rsid w:val="008414D7"/>
    <w:rsid w:val="008415C8"/>
    <w:rsid w:val="0084203C"/>
    <w:rsid w:val="00842917"/>
    <w:rsid w:val="008430DC"/>
    <w:rsid w:val="00845649"/>
    <w:rsid w:val="00845ADC"/>
    <w:rsid w:val="00845B56"/>
    <w:rsid w:val="00845F5D"/>
    <w:rsid w:val="00846271"/>
    <w:rsid w:val="00847B9E"/>
    <w:rsid w:val="00850881"/>
    <w:rsid w:val="00853FEC"/>
    <w:rsid w:val="0085481D"/>
    <w:rsid w:val="008551C7"/>
    <w:rsid w:val="00860E1F"/>
    <w:rsid w:val="00862488"/>
    <w:rsid w:val="008624C2"/>
    <w:rsid w:val="0086557E"/>
    <w:rsid w:val="008667DD"/>
    <w:rsid w:val="00866A90"/>
    <w:rsid w:val="00866BFB"/>
    <w:rsid w:val="00866D1B"/>
    <w:rsid w:val="00870DC9"/>
    <w:rsid w:val="00871A57"/>
    <w:rsid w:val="00871D9A"/>
    <w:rsid w:val="008730E3"/>
    <w:rsid w:val="00874B1B"/>
    <w:rsid w:val="00877ECA"/>
    <w:rsid w:val="008800C6"/>
    <w:rsid w:val="00884944"/>
    <w:rsid w:val="00885E4B"/>
    <w:rsid w:val="00887950"/>
    <w:rsid w:val="00892CC3"/>
    <w:rsid w:val="00893725"/>
    <w:rsid w:val="008968E9"/>
    <w:rsid w:val="00896D39"/>
    <w:rsid w:val="00896E02"/>
    <w:rsid w:val="00896EC4"/>
    <w:rsid w:val="008974B7"/>
    <w:rsid w:val="008A2980"/>
    <w:rsid w:val="008A29CD"/>
    <w:rsid w:val="008A4F03"/>
    <w:rsid w:val="008A6CBC"/>
    <w:rsid w:val="008B4778"/>
    <w:rsid w:val="008B514F"/>
    <w:rsid w:val="008B5DEE"/>
    <w:rsid w:val="008B63E9"/>
    <w:rsid w:val="008B64E4"/>
    <w:rsid w:val="008B7714"/>
    <w:rsid w:val="008B7E84"/>
    <w:rsid w:val="008C07F9"/>
    <w:rsid w:val="008C0F15"/>
    <w:rsid w:val="008C197A"/>
    <w:rsid w:val="008C1A0E"/>
    <w:rsid w:val="008C1B7E"/>
    <w:rsid w:val="008C1D7E"/>
    <w:rsid w:val="008C555B"/>
    <w:rsid w:val="008C5617"/>
    <w:rsid w:val="008C5BC3"/>
    <w:rsid w:val="008C5D7B"/>
    <w:rsid w:val="008D175E"/>
    <w:rsid w:val="008D1ABC"/>
    <w:rsid w:val="008D200D"/>
    <w:rsid w:val="008D420B"/>
    <w:rsid w:val="008D59B5"/>
    <w:rsid w:val="008E1014"/>
    <w:rsid w:val="008E2E79"/>
    <w:rsid w:val="008E33EA"/>
    <w:rsid w:val="008E44C7"/>
    <w:rsid w:val="008E51C1"/>
    <w:rsid w:val="008E5734"/>
    <w:rsid w:val="008E6145"/>
    <w:rsid w:val="008E75B1"/>
    <w:rsid w:val="008F0747"/>
    <w:rsid w:val="008F13B9"/>
    <w:rsid w:val="008F1A6C"/>
    <w:rsid w:val="008F2B0D"/>
    <w:rsid w:val="008F2F35"/>
    <w:rsid w:val="008F316D"/>
    <w:rsid w:val="008F320D"/>
    <w:rsid w:val="008F44CA"/>
    <w:rsid w:val="009006A5"/>
    <w:rsid w:val="00900A8C"/>
    <w:rsid w:val="00905572"/>
    <w:rsid w:val="00910709"/>
    <w:rsid w:val="00912DC7"/>
    <w:rsid w:val="00912E4F"/>
    <w:rsid w:val="009138A6"/>
    <w:rsid w:val="00913B45"/>
    <w:rsid w:val="00915AAE"/>
    <w:rsid w:val="009174A3"/>
    <w:rsid w:val="009219F5"/>
    <w:rsid w:val="00922506"/>
    <w:rsid w:val="00922FE8"/>
    <w:rsid w:val="00931411"/>
    <w:rsid w:val="009320A4"/>
    <w:rsid w:val="00932FCB"/>
    <w:rsid w:val="00933439"/>
    <w:rsid w:val="0093431E"/>
    <w:rsid w:val="00940AFE"/>
    <w:rsid w:val="00941E2D"/>
    <w:rsid w:val="0094457F"/>
    <w:rsid w:val="00946B13"/>
    <w:rsid w:val="00946FA9"/>
    <w:rsid w:val="0095169B"/>
    <w:rsid w:val="00954408"/>
    <w:rsid w:val="00957A2E"/>
    <w:rsid w:val="00961238"/>
    <w:rsid w:val="0096209D"/>
    <w:rsid w:val="00962717"/>
    <w:rsid w:val="009669A3"/>
    <w:rsid w:val="009727D7"/>
    <w:rsid w:val="00974198"/>
    <w:rsid w:val="009752DF"/>
    <w:rsid w:val="00976DB6"/>
    <w:rsid w:val="00977952"/>
    <w:rsid w:val="00981266"/>
    <w:rsid w:val="00982195"/>
    <w:rsid w:val="00982906"/>
    <w:rsid w:val="009854A0"/>
    <w:rsid w:val="00985708"/>
    <w:rsid w:val="00990AAF"/>
    <w:rsid w:val="00991E02"/>
    <w:rsid w:val="00992D8E"/>
    <w:rsid w:val="00995958"/>
    <w:rsid w:val="00995E62"/>
    <w:rsid w:val="00996874"/>
    <w:rsid w:val="00996884"/>
    <w:rsid w:val="00996DFA"/>
    <w:rsid w:val="009A6537"/>
    <w:rsid w:val="009A6560"/>
    <w:rsid w:val="009B0219"/>
    <w:rsid w:val="009B1D9C"/>
    <w:rsid w:val="009B270C"/>
    <w:rsid w:val="009B2FDD"/>
    <w:rsid w:val="009B3DB1"/>
    <w:rsid w:val="009B580D"/>
    <w:rsid w:val="009B6163"/>
    <w:rsid w:val="009B6ED9"/>
    <w:rsid w:val="009B7769"/>
    <w:rsid w:val="009C097E"/>
    <w:rsid w:val="009C35CD"/>
    <w:rsid w:val="009C46D8"/>
    <w:rsid w:val="009C59BC"/>
    <w:rsid w:val="009C6EE0"/>
    <w:rsid w:val="009C7A2F"/>
    <w:rsid w:val="009D4360"/>
    <w:rsid w:val="009D53AF"/>
    <w:rsid w:val="009D61F1"/>
    <w:rsid w:val="009D764F"/>
    <w:rsid w:val="009E0597"/>
    <w:rsid w:val="009E06DD"/>
    <w:rsid w:val="009E0B8F"/>
    <w:rsid w:val="009E3270"/>
    <w:rsid w:val="009E553E"/>
    <w:rsid w:val="009E5E76"/>
    <w:rsid w:val="009F670B"/>
    <w:rsid w:val="009F6A25"/>
    <w:rsid w:val="009F7902"/>
    <w:rsid w:val="00A014BC"/>
    <w:rsid w:val="00A02F28"/>
    <w:rsid w:val="00A03644"/>
    <w:rsid w:val="00A0374E"/>
    <w:rsid w:val="00A07264"/>
    <w:rsid w:val="00A072F5"/>
    <w:rsid w:val="00A075BF"/>
    <w:rsid w:val="00A119C2"/>
    <w:rsid w:val="00A12113"/>
    <w:rsid w:val="00A16365"/>
    <w:rsid w:val="00A17274"/>
    <w:rsid w:val="00A17BE1"/>
    <w:rsid w:val="00A20F2C"/>
    <w:rsid w:val="00A2189F"/>
    <w:rsid w:val="00A2237D"/>
    <w:rsid w:val="00A231B8"/>
    <w:rsid w:val="00A23F61"/>
    <w:rsid w:val="00A240B1"/>
    <w:rsid w:val="00A24617"/>
    <w:rsid w:val="00A25C72"/>
    <w:rsid w:val="00A301E2"/>
    <w:rsid w:val="00A30A0D"/>
    <w:rsid w:val="00A30D96"/>
    <w:rsid w:val="00A33AE2"/>
    <w:rsid w:val="00A33E21"/>
    <w:rsid w:val="00A35125"/>
    <w:rsid w:val="00A36765"/>
    <w:rsid w:val="00A36927"/>
    <w:rsid w:val="00A37379"/>
    <w:rsid w:val="00A40E51"/>
    <w:rsid w:val="00A42F0F"/>
    <w:rsid w:val="00A4386E"/>
    <w:rsid w:val="00A43D50"/>
    <w:rsid w:val="00A44FAA"/>
    <w:rsid w:val="00A462CD"/>
    <w:rsid w:val="00A465A9"/>
    <w:rsid w:val="00A46DDA"/>
    <w:rsid w:val="00A47CB1"/>
    <w:rsid w:val="00A50367"/>
    <w:rsid w:val="00A51A4B"/>
    <w:rsid w:val="00A52033"/>
    <w:rsid w:val="00A524FE"/>
    <w:rsid w:val="00A54613"/>
    <w:rsid w:val="00A54672"/>
    <w:rsid w:val="00A54F66"/>
    <w:rsid w:val="00A56974"/>
    <w:rsid w:val="00A607B1"/>
    <w:rsid w:val="00A62A0E"/>
    <w:rsid w:val="00A63BC1"/>
    <w:rsid w:val="00A63C95"/>
    <w:rsid w:val="00A63F48"/>
    <w:rsid w:val="00A65312"/>
    <w:rsid w:val="00A65CC5"/>
    <w:rsid w:val="00A704E7"/>
    <w:rsid w:val="00A70FDC"/>
    <w:rsid w:val="00A7107B"/>
    <w:rsid w:val="00A725B7"/>
    <w:rsid w:val="00A72AA6"/>
    <w:rsid w:val="00A72D9B"/>
    <w:rsid w:val="00A72DD9"/>
    <w:rsid w:val="00A72EF1"/>
    <w:rsid w:val="00A73BF6"/>
    <w:rsid w:val="00A74855"/>
    <w:rsid w:val="00A75AEE"/>
    <w:rsid w:val="00A761B4"/>
    <w:rsid w:val="00A7778C"/>
    <w:rsid w:val="00A80656"/>
    <w:rsid w:val="00A8067F"/>
    <w:rsid w:val="00A81AF2"/>
    <w:rsid w:val="00A82CA7"/>
    <w:rsid w:val="00A8327B"/>
    <w:rsid w:val="00A84A43"/>
    <w:rsid w:val="00A86903"/>
    <w:rsid w:val="00A90C89"/>
    <w:rsid w:val="00A92D63"/>
    <w:rsid w:val="00A942C6"/>
    <w:rsid w:val="00A94B32"/>
    <w:rsid w:val="00A95A0B"/>
    <w:rsid w:val="00A96872"/>
    <w:rsid w:val="00A96D3D"/>
    <w:rsid w:val="00AA1556"/>
    <w:rsid w:val="00AA16FD"/>
    <w:rsid w:val="00AA23E9"/>
    <w:rsid w:val="00AA2C0A"/>
    <w:rsid w:val="00AA5C53"/>
    <w:rsid w:val="00AB08D3"/>
    <w:rsid w:val="00AB3CDD"/>
    <w:rsid w:val="00AB3E81"/>
    <w:rsid w:val="00AB41E4"/>
    <w:rsid w:val="00AB4552"/>
    <w:rsid w:val="00AB4DBC"/>
    <w:rsid w:val="00AB5803"/>
    <w:rsid w:val="00AB61DC"/>
    <w:rsid w:val="00AB6823"/>
    <w:rsid w:val="00AB7069"/>
    <w:rsid w:val="00AB7730"/>
    <w:rsid w:val="00AB791E"/>
    <w:rsid w:val="00AB7CBC"/>
    <w:rsid w:val="00AC18F3"/>
    <w:rsid w:val="00AC370F"/>
    <w:rsid w:val="00AC5D5B"/>
    <w:rsid w:val="00AC658E"/>
    <w:rsid w:val="00AC683F"/>
    <w:rsid w:val="00AD0834"/>
    <w:rsid w:val="00AD1B1B"/>
    <w:rsid w:val="00AD212D"/>
    <w:rsid w:val="00AD36CA"/>
    <w:rsid w:val="00AD7833"/>
    <w:rsid w:val="00AE0098"/>
    <w:rsid w:val="00AE0576"/>
    <w:rsid w:val="00AE0FB3"/>
    <w:rsid w:val="00AE16E7"/>
    <w:rsid w:val="00AE47F2"/>
    <w:rsid w:val="00AE52EA"/>
    <w:rsid w:val="00AF0CA1"/>
    <w:rsid w:val="00AF1A95"/>
    <w:rsid w:val="00AF1D4D"/>
    <w:rsid w:val="00AF1FB7"/>
    <w:rsid w:val="00AF242C"/>
    <w:rsid w:val="00AF35DE"/>
    <w:rsid w:val="00AF3EBD"/>
    <w:rsid w:val="00AF46AE"/>
    <w:rsid w:val="00AF594F"/>
    <w:rsid w:val="00AF6A10"/>
    <w:rsid w:val="00AF7EAC"/>
    <w:rsid w:val="00B0090A"/>
    <w:rsid w:val="00B02536"/>
    <w:rsid w:val="00B05439"/>
    <w:rsid w:val="00B05D0E"/>
    <w:rsid w:val="00B065B6"/>
    <w:rsid w:val="00B10608"/>
    <w:rsid w:val="00B10FB4"/>
    <w:rsid w:val="00B115E8"/>
    <w:rsid w:val="00B142A4"/>
    <w:rsid w:val="00B14CE1"/>
    <w:rsid w:val="00B15B77"/>
    <w:rsid w:val="00B15EFA"/>
    <w:rsid w:val="00B169AE"/>
    <w:rsid w:val="00B201F9"/>
    <w:rsid w:val="00B21547"/>
    <w:rsid w:val="00B220BD"/>
    <w:rsid w:val="00B2418C"/>
    <w:rsid w:val="00B2523F"/>
    <w:rsid w:val="00B30476"/>
    <w:rsid w:val="00B312D9"/>
    <w:rsid w:val="00B3157B"/>
    <w:rsid w:val="00B31E2C"/>
    <w:rsid w:val="00B32407"/>
    <w:rsid w:val="00B325A6"/>
    <w:rsid w:val="00B3359E"/>
    <w:rsid w:val="00B364A8"/>
    <w:rsid w:val="00B37E03"/>
    <w:rsid w:val="00B40D34"/>
    <w:rsid w:val="00B42A80"/>
    <w:rsid w:val="00B42DC0"/>
    <w:rsid w:val="00B43AB4"/>
    <w:rsid w:val="00B469C6"/>
    <w:rsid w:val="00B46C5B"/>
    <w:rsid w:val="00B50B15"/>
    <w:rsid w:val="00B512EA"/>
    <w:rsid w:val="00B519AB"/>
    <w:rsid w:val="00B53247"/>
    <w:rsid w:val="00B55882"/>
    <w:rsid w:val="00B55895"/>
    <w:rsid w:val="00B565E9"/>
    <w:rsid w:val="00B5666A"/>
    <w:rsid w:val="00B56AF3"/>
    <w:rsid w:val="00B57B9F"/>
    <w:rsid w:val="00B57E8E"/>
    <w:rsid w:val="00B60663"/>
    <w:rsid w:val="00B6084F"/>
    <w:rsid w:val="00B60883"/>
    <w:rsid w:val="00B61237"/>
    <w:rsid w:val="00B647C4"/>
    <w:rsid w:val="00B65415"/>
    <w:rsid w:val="00B66639"/>
    <w:rsid w:val="00B710F7"/>
    <w:rsid w:val="00B71443"/>
    <w:rsid w:val="00B74EE1"/>
    <w:rsid w:val="00B75241"/>
    <w:rsid w:val="00B753EC"/>
    <w:rsid w:val="00B775FA"/>
    <w:rsid w:val="00B80022"/>
    <w:rsid w:val="00B80C98"/>
    <w:rsid w:val="00B81A1B"/>
    <w:rsid w:val="00B84A29"/>
    <w:rsid w:val="00B86294"/>
    <w:rsid w:val="00B8714B"/>
    <w:rsid w:val="00B873F9"/>
    <w:rsid w:val="00B87F3C"/>
    <w:rsid w:val="00B91AE6"/>
    <w:rsid w:val="00B93054"/>
    <w:rsid w:val="00B94242"/>
    <w:rsid w:val="00B9753E"/>
    <w:rsid w:val="00BA0765"/>
    <w:rsid w:val="00BA1455"/>
    <w:rsid w:val="00BA400B"/>
    <w:rsid w:val="00BA4408"/>
    <w:rsid w:val="00BA7DA2"/>
    <w:rsid w:val="00BB148B"/>
    <w:rsid w:val="00BB4694"/>
    <w:rsid w:val="00BB5C9E"/>
    <w:rsid w:val="00BB6780"/>
    <w:rsid w:val="00BB7AE5"/>
    <w:rsid w:val="00BC07BC"/>
    <w:rsid w:val="00BC1594"/>
    <w:rsid w:val="00BC19F2"/>
    <w:rsid w:val="00BC1A00"/>
    <w:rsid w:val="00BC3139"/>
    <w:rsid w:val="00BC324A"/>
    <w:rsid w:val="00BC5B9A"/>
    <w:rsid w:val="00BC696D"/>
    <w:rsid w:val="00BD056E"/>
    <w:rsid w:val="00BD1503"/>
    <w:rsid w:val="00BD1A0C"/>
    <w:rsid w:val="00BD2850"/>
    <w:rsid w:val="00BD3D7C"/>
    <w:rsid w:val="00BD41F8"/>
    <w:rsid w:val="00BE0BC7"/>
    <w:rsid w:val="00BE3108"/>
    <w:rsid w:val="00BE521A"/>
    <w:rsid w:val="00BE7650"/>
    <w:rsid w:val="00BE7CD0"/>
    <w:rsid w:val="00BF17FF"/>
    <w:rsid w:val="00BF212C"/>
    <w:rsid w:val="00BF29D6"/>
    <w:rsid w:val="00BF2A0A"/>
    <w:rsid w:val="00C0067D"/>
    <w:rsid w:val="00C01669"/>
    <w:rsid w:val="00C02890"/>
    <w:rsid w:val="00C028CC"/>
    <w:rsid w:val="00C04182"/>
    <w:rsid w:val="00C051B6"/>
    <w:rsid w:val="00C0534B"/>
    <w:rsid w:val="00C05EFE"/>
    <w:rsid w:val="00C10121"/>
    <w:rsid w:val="00C13084"/>
    <w:rsid w:val="00C131B3"/>
    <w:rsid w:val="00C13235"/>
    <w:rsid w:val="00C14AAA"/>
    <w:rsid w:val="00C151DF"/>
    <w:rsid w:val="00C16B8E"/>
    <w:rsid w:val="00C16C57"/>
    <w:rsid w:val="00C17142"/>
    <w:rsid w:val="00C21B83"/>
    <w:rsid w:val="00C26BF8"/>
    <w:rsid w:val="00C27339"/>
    <w:rsid w:val="00C277CC"/>
    <w:rsid w:val="00C312CA"/>
    <w:rsid w:val="00C33C75"/>
    <w:rsid w:val="00C349C3"/>
    <w:rsid w:val="00C35605"/>
    <w:rsid w:val="00C36FC2"/>
    <w:rsid w:val="00C40432"/>
    <w:rsid w:val="00C407EF"/>
    <w:rsid w:val="00C40831"/>
    <w:rsid w:val="00C41F4E"/>
    <w:rsid w:val="00C4235F"/>
    <w:rsid w:val="00C423B3"/>
    <w:rsid w:val="00C42A6B"/>
    <w:rsid w:val="00C42AD2"/>
    <w:rsid w:val="00C43026"/>
    <w:rsid w:val="00C450A8"/>
    <w:rsid w:val="00C46DC6"/>
    <w:rsid w:val="00C50E07"/>
    <w:rsid w:val="00C5134B"/>
    <w:rsid w:val="00C51607"/>
    <w:rsid w:val="00C52471"/>
    <w:rsid w:val="00C5279C"/>
    <w:rsid w:val="00C54B8F"/>
    <w:rsid w:val="00C55746"/>
    <w:rsid w:val="00C55C64"/>
    <w:rsid w:val="00C567A4"/>
    <w:rsid w:val="00C56B3F"/>
    <w:rsid w:val="00C625A0"/>
    <w:rsid w:val="00C62C86"/>
    <w:rsid w:val="00C63208"/>
    <w:rsid w:val="00C64E70"/>
    <w:rsid w:val="00C65EA5"/>
    <w:rsid w:val="00C66A31"/>
    <w:rsid w:val="00C703CF"/>
    <w:rsid w:val="00C70A7E"/>
    <w:rsid w:val="00C7106B"/>
    <w:rsid w:val="00C73517"/>
    <w:rsid w:val="00C74AEE"/>
    <w:rsid w:val="00C75CBE"/>
    <w:rsid w:val="00C77A89"/>
    <w:rsid w:val="00C77C91"/>
    <w:rsid w:val="00C800F2"/>
    <w:rsid w:val="00C8073F"/>
    <w:rsid w:val="00C82E8D"/>
    <w:rsid w:val="00C83CE9"/>
    <w:rsid w:val="00C83D41"/>
    <w:rsid w:val="00C85757"/>
    <w:rsid w:val="00C862D1"/>
    <w:rsid w:val="00C869FB"/>
    <w:rsid w:val="00C90E0F"/>
    <w:rsid w:val="00C90F59"/>
    <w:rsid w:val="00C92D7A"/>
    <w:rsid w:val="00C935E0"/>
    <w:rsid w:val="00C9360A"/>
    <w:rsid w:val="00C944BB"/>
    <w:rsid w:val="00C95F7B"/>
    <w:rsid w:val="00CA2F31"/>
    <w:rsid w:val="00CA3011"/>
    <w:rsid w:val="00CA384B"/>
    <w:rsid w:val="00CA4ECF"/>
    <w:rsid w:val="00CA5197"/>
    <w:rsid w:val="00CA649B"/>
    <w:rsid w:val="00CA6679"/>
    <w:rsid w:val="00CA7868"/>
    <w:rsid w:val="00CB0265"/>
    <w:rsid w:val="00CB07E6"/>
    <w:rsid w:val="00CB22D0"/>
    <w:rsid w:val="00CB3D52"/>
    <w:rsid w:val="00CB6D6B"/>
    <w:rsid w:val="00CB7604"/>
    <w:rsid w:val="00CB76A9"/>
    <w:rsid w:val="00CB7D6D"/>
    <w:rsid w:val="00CC0981"/>
    <w:rsid w:val="00CC160D"/>
    <w:rsid w:val="00CC3DE0"/>
    <w:rsid w:val="00CC4328"/>
    <w:rsid w:val="00CC48F1"/>
    <w:rsid w:val="00CD1CC4"/>
    <w:rsid w:val="00CD41EC"/>
    <w:rsid w:val="00CD50D3"/>
    <w:rsid w:val="00CD7F7C"/>
    <w:rsid w:val="00CE0180"/>
    <w:rsid w:val="00CE0353"/>
    <w:rsid w:val="00CE268D"/>
    <w:rsid w:val="00CE3F3B"/>
    <w:rsid w:val="00CE448F"/>
    <w:rsid w:val="00CE5B87"/>
    <w:rsid w:val="00CF00D5"/>
    <w:rsid w:val="00CF235E"/>
    <w:rsid w:val="00CF361E"/>
    <w:rsid w:val="00CF375E"/>
    <w:rsid w:val="00CF4F85"/>
    <w:rsid w:val="00CF53C6"/>
    <w:rsid w:val="00CF6242"/>
    <w:rsid w:val="00CF64C7"/>
    <w:rsid w:val="00D00DFB"/>
    <w:rsid w:val="00D01D9C"/>
    <w:rsid w:val="00D02362"/>
    <w:rsid w:val="00D027AB"/>
    <w:rsid w:val="00D061D8"/>
    <w:rsid w:val="00D07A64"/>
    <w:rsid w:val="00D1198D"/>
    <w:rsid w:val="00D11C83"/>
    <w:rsid w:val="00D122F3"/>
    <w:rsid w:val="00D1329C"/>
    <w:rsid w:val="00D133FC"/>
    <w:rsid w:val="00D13F52"/>
    <w:rsid w:val="00D14CE1"/>
    <w:rsid w:val="00D1774F"/>
    <w:rsid w:val="00D20C2D"/>
    <w:rsid w:val="00D21568"/>
    <w:rsid w:val="00D24270"/>
    <w:rsid w:val="00D27DE0"/>
    <w:rsid w:val="00D300C0"/>
    <w:rsid w:val="00D31E76"/>
    <w:rsid w:val="00D336D3"/>
    <w:rsid w:val="00D33D9E"/>
    <w:rsid w:val="00D357BA"/>
    <w:rsid w:val="00D36B99"/>
    <w:rsid w:val="00D37F2B"/>
    <w:rsid w:val="00D4061D"/>
    <w:rsid w:val="00D4070F"/>
    <w:rsid w:val="00D4077C"/>
    <w:rsid w:val="00D412D1"/>
    <w:rsid w:val="00D42CCD"/>
    <w:rsid w:val="00D50F62"/>
    <w:rsid w:val="00D51390"/>
    <w:rsid w:val="00D5279D"/>
    <w:rsid w:val="00D540EC"/>
    <w:rsid w:val="00D602E9"/>
    <w:rsid w:val="00D6075E"/>
    <w:rsid w:val="00D63043"/>
    <w:rsid w:val="00D66532"/>
    <w:rsid w:val="00D67991"/>
    <w:rsid w:val="00D729A1"/>
    <w:rsid w:val="00D72A12"/>
    <w:rsid w:val="00D73162"/>
    <w:rsid w:val="00D74387"/>
    <w:rsid w:val="00D759F5"/>
    <w:rsid w:val="00D775B6"/>
    <w:rsid w:val="00D808D1"/>
    <w:rsid w:val="00D81E89"/>
    <w:rsid w:val="00D84349"/>
    <w:rsid w:val="00D84E41"/>
    <w:rsid w:val="00D84E76"/>
    <w:rsid w:val="00D90D91"/>
    <w:rsid w:val="00D91211"/>
    <w:rsid w:val="00D91306"/>
    <w:rsid w:val="00D923C8"/>
    <w:rsid w:val="00D949D5"/>
    <w:rsid w:val="00D94D8C"/>
    <w:rsid w:val="00D954CD"/>
    <w:rsid w:val="00DA1033"/>
    <w:rsid w:val="00DA3C69"/>
    <w:rsid w:val="00DA50ED"/>
    <w:rsid w:val="00DA5EEF"/>
    <w:rsid w:val="00DA6399"/>
    <w:rsid w:val="00DA64E5"/>
    <w:rsid w:val="00DB092B"/>
    <w:rsid w:val="00DB1531"/>
    <w:rsid w:val="00DB174D"/>
    <w:rsid w:val="00DB4263"/>
    <w:rsid w:val="00DB5A4B"/>
    <w:rsid w:val="00DC07DD"/>
    <w:rsid w:val="00DC3CBA"/>
    <w:rsid w:val="00DC4B3A"/>
    <w:rsid w:val="00DC5018"/>
    <w:rsid w:val="00DC51C7"/>
    <w:rsid w:val="00DC59A8"/>
    <w:rsid w:val="00DC77CC"/>
    <w:rsid w:val="00DD02AB"/>
    <w:rsid w:val="00DD1FCA"/>
    <w:rsid w:val="00DD36A7"/>
    <w:rsid w:val="00DD4E84"/>
    <w:rsid w:val="00DD705C"/>
    <w:rsid w:val="00DD7803"/>
    <w:rsid w:val="00DD7A50"/>
    <w:rsid w:val="00DE113F"/>
    <w:rsid w:val="00DE70A9"/>
    <w:rsid w:val="00DE75A4"/>
    <w:rsid w:val="00DF3480"/>
    <w:rsid w:val="00DF6C0F"/>
    <w:rsid w:val="00DF7FE6"/>
    <w:rsid w:val="00E0243D"/>
    <w:rsid w:val="00E03CCD"/>
    <w:rsid w:val="00E05602"/>
    <w:rsid w:val="00E06FFF"/>
    <w:rsid w:val="00E1063D"/>
    <w:rsid w:val="00E110EC"/>
    <w:rsid w:val="00E119BA"/>
    <w:rsid w:val="00E11D79"/>
    <w:rsid w:val="00E11E2C"/>
    <w:rsid w:val="00E1200C"/>
    <w:rsid w:val="00E149E8"/>
    <w:rsid w:val="00E150B4"/>
    <w:rsid w:val="00E17CE1"/>
    <w:rsid w:val="00E2063A"/>
    <w:rsid w:val="00E2088E"/>
    <w:rsid w:val="00E23D63"/>
    <w:rsid w:val="00E2468D"/>
    <w:rsid w:val="00E26FB4"/>
    <w:rsid w:val="00E274AC"/>
    <w:rsid w:val="00E307D0"/>
    <w:rsid w:val="00E31337"/>
    <w:rsid w:val="00E31BB9"/>
    <w:rsid w:val="00E3243D"/>
    <w:rsid w:val="00E325DF"/>
    <w:rsid w:val="00E32A9F"/>
    <w:rsid w:val="00E344C8"/>
    <w:rsid w:val="00E34850"/>
    <w:rsid w:val="00E35C24"/>
    <w:rsid w:val="00E35D69"/>
    <w:rsid w:val="00E36732"/>
    <w:rsid w:val="00E37FAA"/>
    <w:rsid w:val="00E40A64"/>
    <w:rsid w:val="00E40CF1"/>
    <w:rsid w:val="00E41253"/>
    <w:rsid w:val="00E41326"/>
    <w:rsid w:val="00E41A33"/>
    <w:rsid w:val="00E42AD8"/>
    <w:rsid w:val="00E43823"/>
    <w:rsid w:val="00E43BC8"/>
    <w:rsid w:val="00E444AB"/>
    <w:rsid w:val="00E50694"/>
    <w:rsid w:val="00E50B09"/>
    <w:rsid w:val="00E50F2A"/>
    <w:rsid w:val="00E55A33"/>
    <w:rsid w:val="00E6089B"/>
    <w:rsid w:val="00E61109"/>
    <w:rsid w:val="00E62F7E"/>
    <w:rsid w:val="00E65EAE"/>
    <w:rsid w:val="00E662AF"/>
    <w:rsid w:val="00E6661B"/>
    <w:rsid w:val="00E669EE"/>
    <w:rsid w:val="00E66D0B"/>
    <w:rsid w:val="00E729A9"/>
    <w:rsid w:val="00E73C91"/>
    <w:rsid w:val="00E74916"/>
    <w:rsid w:val="00E768E9"/>
    <w:rsid w:val="00E80B89"/>
    <w:rsid w:val="00E80F54"/>
    <w:rsid w:val="00E811BE"/>
    <w:rsid w:val="00E81B41"/>
    <w:rsid w:val="00E820FA"/>
    <w:rsid w:val="00E828C5"/>
    <w:rsid w:val="00E84599"/>
    <w:rsid w:val="00E85AB3"/>
    <w:rsid w:val="00E874E1"/>
    <w:rsid w:val="00E87C3F"/>
    <w:rsid w:val="00E87C86"/>
    <w:rsid w:val="00E9067F"/>
    <w:rsid w:val="00E922EB"/>
    <w:rsid w:val="00E9458A"/>
    <w:rsid w:val="00E9577E"/>
    <w:rsid w:val="00E97A80"/>
    <w:rsid w:val="00EA1C9E"/>
    <w:rsid w:val="00EA34C0"/>
    <w:rsid w:val="00EA47BB"/>
    <w:rsid w:val="00EA6D6C"/>
    <w:rsid w:val="00EB1FC7"/>
    <w:rsid w:val="00EB2897"/>
    <w:rsid w:val="00EB3B3C"/>
    <w:rsid w:val="00EB4985"/>
    <w:rsid w:val="00EB5D58"/>
    <w:rsid w:val="00EB6F8D"/>
    <w:rsid w:val="00EC138F"/>
    <w:rsid w:val="00EC1946"/>
    <w:rsid w:val="00EC58F7"/>
    <w:rsid w:val="00EC6229"/>
    <w:rsid w:val="00ED7BEA"/>
    <w:rsid w:val="00EE0200"/>
    <w:rsid w:val="00EE0E44"/>
    <w:rsid w:val="00EE3061"/>
    <w:rsid w:val="00EE7235"/>
    <w:rsid w:val="00EE74F2"/>
    <w:rsid w:val="00EF2567"/>
    <w:rsid w:val="00EF3677"/>
    <w:rsid w:val="00EF3766"/>
    <w:rsid w:val="00F011EC"/>
    <w:rsid w:val="00F0199E"/>
    <w:rsid w:val="00F035F8"/>
    <w:rsid w:val="00F07C91"/>
    <w:rsid w:val="00F10063"/>
    <w:rsid w:val="00F11EC5"/>
    <w:rsid w:val="00F13EDA"/>
    <w:rsid w:val="00F17542"/>
    <w:rsid w:val="00F203AC"/>
    <w:rsid w:val="00F21A23"/>
    <w:rsid w:val="00F24921"/>
    <w:rsid w:val="00F25254"/>
    <w:rsid w:val="00F2543D"/>
    <w:rsid w:val="00F25D55"/>
    <w:rsid w:val="00F266E0"/>
    <w:rsid w:val="00F30C0C"/>
    <w:rsid w:val="00F318A6"/>
    <w:rsid w:val="00F32620"/>
    <w:rsid w:val="00F3306F"/>
    <w:rsid w:val="00F335B2"/>
    <w:rsid w:val="00F3484A"/>
    <w:rsid w:val="00F36491"/>
    <w:rsid w:val="00F36798"/>
    <w:rsid w:val="00F377D6"/>
    <w:rsid w:val="00F41FC8"/>
    <w:rsid w:val="00F44021"/>
    <w:rsid w:val="00F448DF"/>
    <w:rsid w:val="00F47B51"/>
    <w:rsid w:val="00F50442"/>
    <w:rsid w:val="00F51AF9"/>
    <w:rsid w:val="00F5219F"/>
    <w:rsid w:val="00F529EA"/>
    <w:rsid w:val="00F531A0"/>
    <w:rsid w:val="00F564D5"/>
    <w:rsid w:val="00F5716E"/>
    <w:rsid w:val="00F611FA"/>
    <w:rsid w:val="00F6160E"/>
    <w:rsid w:val="00F61947"/>
    <w:rsid w:val="00F61CB4"/>
    <w:rsid w:val="00F64A64"/>
    <w:rsid w:val="00F676F3"/>
    <w:rsid w:val="00F67946"/>
    <w:rsid w:val="00F70AC1"/>
    <w:rsid w:val="00F70E8A"/>
    <w:rsid w:val="00F72244"/>
    <w:rsid w:val="00F72716"/>
    <w:rsid w:val="00F72752"/>
    <w:rsid w:val="00F734EA"/>
    <w:rsid w:val="00F73982"/>
    <w:rsid w:val="00F7501E"/>
    <w:rsid w:val="00F76A0F"/>
    <w:rsid w:val="00F77523"/>
    <w:rsid w:val="00F84D23"/>
    <w:rsid w:val="00F8646D"/>
    <w:rsid w:val="00F8762E"/>
    <w:rsid w:val="00F9121E"/>
    <w:rsid w:val="00F913B9"/>
    <w:rsid w:val="00F962D3"/>
    <w:rsid w:val="00F9723F"/>
    <w:rsid w:val="00F979C9"/>
    <w:rsid w:val="00FA0795"/>
    <w:rsid w:val="00FA56B0"/>
    <w:rsid w:val="00FA5840"/>
    <w:rsid w:val="00FA597A"/>
    <w:rsid w:val="00FA5D16"/>
    <w:rsid w:val="00FB096C"/>
    <w:rsid w:val="00FB1000"/>
    <w:rsid w:val="00FB201E"/>
    <w:rsid w:val="00FB492E"/>
    <w:rsid w:val="00FB53A0"/>
    <w:rsid w:val="00FB57A5"/>
    <w:rsid w:val="00FB5E81"/>
    <w:rsid w:val="00FB692A"/>
    <w:rsid w:val="00FC1413"/>
    <w:rsid w:val="00FC1DF8"/>
    <w:rsid w:val="00FC7B10"/>
    <w:rsid w:val="00FD2741"/>
    <w:rsid w:val="00FD2E53"/>
    <w:rsid w:val="00FD2EA1"/>
    <w:rsid w:val="00FD3C9F"/>
    <w:rsid w:val="00FD4287"/>
    <w:rsid w:val="00FD5050"/>
    <w:rsid w:val="00FD7E55"/>
    <w:rsid w:val="00FE0AA3"/>
    <w:rsid w:val="00FE2068"/>
    <w:rsid w:val="00FE25D7"/>
    <w:rsid w:val="00FE2A92"/>
    <w:rsid w:val="00FE3688"/>
    <w:rsid w:val="00FE3DF3"/>
    <w:rsid w:val="00FE4E6D"/>
    <w:rsid w:val="00FE5257"/>
    <w:rsid w:val="00FE5412"/>
    <w:rsid w:val="00FE5A4B"/>
    <w:rsid w:val="00FE5B7D"/>
    <w:rsid w:val="00FE65D9"/>
    <w:rsid w:val="00FE6A4E"/>
    <w:rsid w:val="00FE7EBE"/>
    <w:rsid w:val="00FF0635"/>
    <w:rsid w:val="00FF08DC"/>
    <w:rsid w:val="00FF329B"/>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27DDC8E"/>
  <w15:docId w15:val="{1616D507-A198-45ED-89E7-037B29C9B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ourier New" w:hAnsi="Courier New"/>
      <w:sz w:val="24"/>
      <w:lang w:val="es-ES_tradnl" w:eastAsia="es-ES"/>
    </w:rPr>
  </w:style>
  <w:style w:type="paragraph" w:styleId="Ttulo1">
    <w:name w:val="heading 1"/>
    <w:aliases w:val="MT1,H1"/>
    <w:basedOn w:val="Normal"/>
    <w:next w:val="Normal"/>
    <w:qFormat/>
    <w:pPr>
      <w:keepNext/>
      <w:tabs>
        <w:tab w:val="left" w:pos="-720"/>
        <w:tab w:val="left" w:pos="4395"/>
      </w:tabs>
      <w:suppressAutoHyphens/>
      <w:jc w:val="center"/>
      <w:outlineLvl w:val="0"/>
    </w:pPr>
    <w:rPr>
      <w:rFonts w:ascii="Arial" w:hAnsi="Arial"/>
      <w:b/>
      <w:spacing w:val="-3"/>
      <w:sz w:val="28"/>
    </w:rPr>
  </w:style>
  <w:style w:type="paragraph" w:styleId="Ttulo2">
    <w:name w:val="heading 2"/>
    <w:basedOn w:val="Normal"/>
    <w:next w:val="Normal"/>
    <w:qFormat/>
    <w:pPr>
      <w:keepNext/>
      <w:widowControl w:val="0"/>
      <w:jc w:val="center"/>
      <w:outlineLvl w:val="1"/>
    </w:pPr>
    <w:rPr>
      <w:rFonts w:ascii="Arial" w:hAnsi="Arial"/>
      <w:b/>
    </w:rPr>
  </w:style>
  <w:style w:type="paragraph" w:styleId="Ttulo3">
    <w:name w:val="heading 3"/>
    <w:basedOn w:val="Normal"/>
    <w:next w:val="Normal"/>
    <w:qFormat/>
    <w:pPr>
      <w:keepNext/>
      <w:tabs>
        <w:tab w:val="left" w:pos="-720"/>
        <w:tab w:val="right" w:pos="8080"/>
      </w:tabs>
      <w:suppressAutoHyphens/>
      <w:jc w:val="both"/>
      <w:outlineLvl w:val="2"/>
    </w:pPr>
    <w:rPr>
      <w:rFonts w:ascii="Arial" w:hAnsi="Arial"/>
      <w:spacing w:val="-3"/>
      <w:sz w:val="28"/>
    </w:rPr>
  </w:style>
  <w:style w:type="paragraph" w:styleId="Ttulo4">
    <w:name w:val="heading 4"/>
    <w:basedOn w:val="Normal"/>
    <w:next w:val="Normal"/>
    <w:qFormat/>
    <w:pPr>
      <w:keepNext/>
      <w:tabs>
        <w:tab w:val="left" w:pos="-720"/>
      </w:tabs>
      <w:suppressAutoHyphens/>
      <w:ind w:right="851"/>
      <w:jc w:val="both"/>
      <w:outlineLvl w:val="3"/>
    </w:pPr>
    <w:rPr>
      <w:rFonts w:ascii="Arial" w:hAnsi="Arial"/>
      <w:b/>
      <w:bCs/>
      <w:spacing w:val="-3"/>
      <w:sz w:val="28"/>
    </w:rPr>
  </w:style>
  <w:style w:type="paragraph" w:styleId="Ttulo5">
    <w:name w:val="heading 5"/>
    <w:basedOn w:val="Normal"/>
    <w:next w:val="Normal"/>
    <w:qFormat/>
    <w:pPr>
      <w:keepNext/>
      <w:outlineLvl w:val="4"/>
    </w:pPr>
    <w:rPr>
      <w:rFonts w:ascii="Arial" w:hAnsi="Arial" w:cs="Arial"/>
      <w:b/>
      <w:bCs/>
      <w:sz w:val="28"/>
    </w:rPr>
  </w:style>
  <w:style w:type="paragraph" w:styleId="Ttulo6">
    <w:name w:val="heading 6"/>
    <w:basedOn w:val="Normal"/>
    <w:next w:val="Normal"/>
    <w:link w:val="Ttulo6Car"/>
    <w:qFormat/>
    <w:pPr>
      <w:keepNext/>
      <w:tabs>
        <w:tab w:val="left" w:pos="-720"/>
      </w:tabs>
      <w:suppressAutoHyphens/>
      <w:jc w:val="both"/>
      <w:outlineLvl w:val="5"/>
    </w:pPr>
    <w:rPr>
      <w:rFonts w:ascii="Arial" w:hAnsi="Arial"/>
      <w:spacing w:val="-3"/>
      <w:sz w:val="28"/>
    </w:rPr>
  </w:style>
  <w:style w:type="paragraph" w:styleId="Ttulo7">
    <w:name w:val="heading 7"/>
    <w:basedOn w:val="Normal"/>
    <w:next w:val="Normal"/>
    <w:qFormat/>
    <w:pPr>
      <w:keepNext/>
      <w:outlineLvl w:val="6"/>
    </w:pPr>
    <w:rPr>
      <w:rFonts w:ascii="Arial" w:hAnsi="Arial"/>
    </w:rPr>
  </w:style>
  <w:style w:type="paragraph" w:styleId="Ttulo8">
    <w:name w:val="heading 8"/>
    <w:basedOn w:val="Normal"/>
    <w:next w:val="Normal"/>
    <w:qFormat/>
    <w:pPr>
      <w:keepNext/>
      <w:tabs>
        <w:tab w:val="left" w:pos="-720"/>
      </w:tabs>
      <w:suppressAutoHyphens/>
      <w:jc w:val="center"/>
      <w:outlineLvl w:val="7"/>
    </w:pPr>
    <w:rPr>
      <w:sz w:val="28"/>
    </w:rPr>
  </w:style>
  <w:style w:type="paragraph" w:styleId="Ttulo9">
    <w:name w:val="heading 9"/>
    <w:basedOn w:val="Normal"/>
    <w:next w:val="Normal"/>
    <w:qFormat/>
    <w:pPr>
      <w:keepNext/>
      <w:tabs>
        <w:tab w:val="left" w:pos="-720"/>
        <w:tab w:val="left" w:pos="4395"/>
      </w:tabs>
      <w:suppressAutoHyphens/>
      <w:jc w:val="both"/>
      <w:outlineLvl w:val="8"/>
    </w:pPr>
    <w:rPr>
      <w:rFonts w:ascii="Arial" w:hAnsi="Arial" w:cs="Arial"/>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uentedeencabezadopredeter">
    <w:name w:val="Fuente de encabezado predeter."/>
  </w:style>
  <w:style w:type="paragraph" w:styleId="TDC1">
    <w:name w:val="toc 1"/>
    <w:basedOn w:val="Normal"/>
    <w:next w:val="Normal"/>
    <w:semiHidden/>
    <w:pPr>
      <w:tabs>
        <w:tab w:val="left" w:leader="dot" w:pos="9000"/>
        <w:tab w:val="right" w:pos="9360"/>
      </w:tabs>
      <w:suppressAutoHyphens/>
      <w:spacing w:before="480"/>
      <w:ind w:left="720" w:right="720" w:hanging="720"/>
    </w:pPr>
    <w:rPr>
      <w:lang w:val="en-US"/>
    </w:rPr>
  </w:style>
  <w:style w:type="paragraph" w:styleId="TDC2">
    <w:name w:val="toc 2"/>
    <w:basedOn w:val="Normal"/>
    <w:next w:val="Normal"/>
    <w:semiHidden/>
    <w:pPr>
      <w:tabs>
        <w:tab w:val="left" w:leader="dot" w:pos="9000"/>
        <w:tab w:val="right" w:pos="9360"/>
      </w:tabs>
      <w:suppressAutoHyphens/>
      <w:ind w:left="1440" w:right="720" w:hanging="720"/>
    </w:pPr>
    <w:rPr>
      <w:lang w:val="en-US"/>
    </w:rPr>
  </w:style>
  <w:style w:type="paragraph" w:styleId="TDC3">
    <w:name w:val="toc 3"/>
    <w:basedOn w:val="Normal"/>
    <w:next w:val="Normal"/>
    <w:semiHidden/>
    <w:pPr>
      <w:tabs>
        <w:tab w:val="left" w:leader="dot" w:pos="9000"/>
        <w:tab w:val="right" w:pos="9360"/>
      </w:tabs>
      <w:suppressAutoHyphens/>
      <w:ind w:left="2160" w:right="720" w:hanging="720"/>
    </w:pPr>
    <w:rPr>
      <w:lang w:val="en-US"/>
    </w:rPr>
  </w:style>
  <w:style w:type="paragraph" w:styleId="TDC4">
    <w:name w:val="toc 4"/>
    <w:basedOn w:val="Normal"/>
    <w:next w:val="Normal"/>
    <w:semiHidden/>
    <w:pPr>
      <w:tabs>
        <w:tab w:val="left" w:leader="dot" w:pos="9000"/>
        <w:tab w:val="right" w:pos="9360"/>
      </w:tabs>
      <w:suppressAutoHyphens/>
      <w:ind w:left="2880" w:right="720" w:hanging="720"/>
    </w:pPr>
    <w:rPr>
      <w:lang w:val="en-US"/>
    </w:rPr>
  </w:style>
  <w:style w:type="paragraph" w:styleId="TDC5">
    <w:name w:val="toc 5"/>
    <w:basedOn w:val="Normal"/>
    <w:next w:val="Normal"/>
    <w:semiHidden/>
    <w:pPr>
      <w:tabs>
        <w:tab w:val="left" w:leader="dot" w:pos="9000"/>
        <w:tab w:val="right" w:pos="9360"/>
      </w:tabs>
      <w:suppressAutoHyphens/>
      <w:ind w:left="3600" w:right="720" w:hanging="720"/>
    </w:pPr>
    <w:rPr>
      <w:lang w:val="en-US"/>
    </w:rPr>
  </w:style>
  <w:style w:type="paragraph" w:styleId="TDC6">
    <w:name w:val="toc 6"/>
    <w:basedOn w:val="Normal"/>
    <w:next w:val="Normal"/>
    <w:semiHidden/>
    <w:pPr>
      <w:tabs>
        <w:tab w:val="left" w:pos="9000"/>
        <w:tab w:val="right" w:pos="9360"/>
      </w:tabs>
      <w:suppressAutoHyphens/>
      <w:ind w:left="720" w:hanging="720"/>
    </w:pPr>
    <w:rPr>
      <w:lang w:val="en-US"/>
    </w:rPr>
  </w:style>
  <w:style w:type="paragraph" w:styleId="TDC7">
    <w:name w:val="toc 7"/>
    <w:basedOn w:val="Normal"/>
    <w:next w:val="Normal"/>
    <w:semiHidden/>
    <w:pPr>
      <w:suppressAutoHyphens/>
      <w:ind w:left="720" w:hanging="720"/>
    </w:pPr>
    <w:rPr>
      <w:lang w:val="en-US"/>
    </w:rPr>
  </w:style>
  <w:style w:type="paragraph" w:styleId="TDC8">
    <w:name w:val="toc 8"/>
    <w:basedOn w:val="Normal"/>
    <w:next w:val="Normal"/>
    <w:semiHidden/>
    <w:pPr>
      <w:tabs>
        <w:tab w:val="left" w:pos="9000"/>
        <w:tab w:val="right" w:pos="9360"/>
      </w:tabs>
      <w:suppressAutoHyphens/>
      <w:ind w:left="720" w:hanging="720"/>
    </w:pPr>
    <w:rPr>
      <w:lang w:val="en-US"/>
    </w:rPr>
  </w:style>
  <w:style w:type="paragraph" w:styleId="TDC9">
    <w:name w:val="toc 9"/>
    <w:basedOn w:val="Normal"/>
    <w:next w:val="Normal"/>
    <w:semiHidden/>
    <w:pPr>
      <w:tabs>
        <w:tab w:val="left" w:leader="dot" w:pos="9000"/>
        <w:tab w:val="right" w:pos="9360"/>
      </w:tabs>
      <w:suppressAutoHyphens/>
      <w:ind w:left="720" w:hanging="720"/>
    </w:pPr>
    <w:rPr>
      <w:lang w:val="en-US"/>
    </w:rPr>
  </w:style>
  <w:style w:type="paragraph" w:customStyle="1" w:styleId="ndice1">
    <w:name w:val="índice 1"/>
    <w:basedOn w:val="Normal"/>
    <w:pPr>
      <w:tabs>
        <w:tab w:val="left" w:leader="dot" w:pos="9000"/>
        <w:tab w:val="right" w:pos="9360"/>
      </w:tabs>
      <w:suppressAutoHyphens/>
      <w:ind w:left="1440" w:right="720" w:hanging="1440"/>
    </w:pPr>
    <w:rPr>
      <w:lang w:val="en-US"/>
    </w:rPr>
  </w:style>
  <w:style w:type="paragraph" w:customStyle="1" w:styleId="ndice2">
    <w:name w:val="índice 2"/>
    <w:basedOn w:val="Normal"/>
    <w:pPr>
      <w:tabs>
        <w:tab w:val="left" w:leader="dot" w:pos="9000"/>
        <w:tab w:val="right" w:pos="9360"/>
      </w:tabs>
      <w:suppressAutoHyphens/>
      <w:ind w:left="1440" w:right="720" w:hanging="720"/>
    </w:pPr>
    <w:rPr>
      <w:lang w:val="en-US"/>
    </w:rPr>
  </w:style>
  <w:style w:type="paragraph" w:customStyle="1" w:styleId="toa">
    <w:name w:val="toa"/>
    <w:basedOn w:val="Normal"/>
    <w:pPr>
      <w:tabs>
        <w:tab w:val="left" w:pos="9000"/>
        <w:tab w:val="right" w:pos="9360"/>
      </w:tabs>
      <w:suppressAutoHyphens/>
    </w:pPr>
    <w:rPr>
      <w:lang w:val="en-US"/>
    </w:rPr>
  </w:style>
  <w:style w:type="paragraph" w:customStyle="1" w:styleId="epgrafe">
    <w:name w:val="epígrafe"/>
    <w:basedOn w:val="Normal"/>
  </w:style>
  <w:style w:type="character" w:customStyle="1" w:styleId="EquationCaption">
    <w:name w:val="_Equation Caption"/>
  </w:style>
  <w:style w:type="paragraph" w:styleId="ndice10">
    <w:name w:val="index 1"/>
    <w:basedOn w:val="Normal"/>
    <w:next w:val="Normal"/>
    <w:pPr>
      <w:tabs>
        <w:tab w:val="right" w:pos="4627"/>
      </w:tabs>
      <w:ind w:left="240" w:hanging="240"/>
    </w:pPr>
    <w:rPr>
      <w:rFonts w:ascii="Times New Roman" w:hAnsi="Times New Roman"/>
      <w:sz w:val="18"/>
    </w:rPr>
  </w:style>
  <w:style w:type="paragraph" w:styleId="ndice20">
    <w:name w:val="index 2"/>
    <w:basedOn w:val="Normal"/>
    <w:next w:val="Normal"/>
    <w:pPr>
      <w:tabs>
        <w:tab w:val="right" w:pos="4627"/>
      </w:tabs>
      <w:ind w:left="480" w:hanging="240"/>
    </w:pPr>
    <w:rPr>
      <w:rFonts w:ascii="Times New Roman" w:hAnsi="Times New Roman"/>
      <w:sz w:val="18"/>
    </w:rPr>
  </w:style>
  <w:style w:type="paragraph" w:styleId="ndice3">
    <w:name w:val="index 3"/>
    <w:basedOn w:val="Normal"/>
    <w:next w:val="Normal"/>
    <w:pPr>
      <w:tabs>
        <w:tab w:val="right" w:pos="4627"/>
      </w:tabs>
      <w:ind w:left="720" w:hanging="240"/>
    </w:pPr>
    <w:rPr>
      <w:rFonts w:ascii="Times New Roman" w:hAnsi="Times New Roman"/>
      <w:sz w:val="18"/>
    </w:rPr>
  </w:style>
  <w:style w:type="paragraph" w:styleId="ndice4">
    <w:name w:val="index 4"/>
    <w:basedOn w:val="Normal"/>
    <w:next w:val="Normal"/>
    <w:pPr>
      <w:tabs>
        <w:tab w:val="right" w:pos="4627"/>
      </w:tabs>
      <w:ind w:left="960" w:hanging="240"/>
    </w:pPr>
    <w:rPr>
      <w:rFonts w:ascii="Times New Roman" w:hAnsi="Times New Roman"/>
      <w:sz w:val="18"/>
    </w:rPr>
  </w:style>
  <w:style w:type="paragraph" w:styleId="ndice5">
    <w:name w:val="index 5"/>
    <w:basedOn w:val="Normal"/>
    <w:next w:val="Normal"/>
    <w:pPr>
      <w:tabs>
        <w:tab w:val="right" w:pos="4627"/>
      </w:tabs>
      <w:ind w:left="1200" w:hanging="240"/>
    </w:pPr>
    <w:rPr>
      <w:rFonts w:ascii="Times New Roman" w:hAnsi="Times New Roman"/>
      <w:sz w:val="18"/>
    </w:rPr>
  </w:style>
  <w:style w:type="paragraph" w:styleId="ndice6">
    <w:name w:val="index 6"/>
    <w:basedOn w:val="Normal"/>
    <w:next w:val="Normal"/>
    <w:pPr>
      <w:tabs>
        <w:tab w:val="right" w:pos="4627"/>
      </w:tabs>
      <w:ind w:left="1440" w:hanging="240"/>
    </w:pPr>
    <w:rPr>
      <w:rFonts w:ascii="Times New Roman" w:hAnsi="Times New Roman"/>
      <w:sz w:val="18"/>
    </w:rPr>
  </w:style>
  <w:style w:type="paragraph" w:styleId="ndice7">
    <w:name w:val="index 7"/>
    <w:basedOn w:val="Normal"/>
    <w:next w:val="Normal"/>
    <w:pPr>
      <w:tabs>
        <w:tab w:val="right" w:pos="4627"/>
      </w:tabs>
      <w:ind w:left="1680" w:hanging="240"/>
    </w:pPr>
    <w:rPr>
      <w:rFonts w:ascii="Times New Roman" w:hAnsi="Times New Roman"/>
      <w:sz w:val="18"/>
    </w:rPr>
  </w:style>
  <w:style w:type="paragraph" w:styleId="ndice8">
    <w:name w:val="index 8"/>
    <w:basedOn w:val="Normal"/>
    <w:next w:val="Normal"/>
    <w:pPr>
      <w:tabs>
        <w:tab w:val="right" w:pos="4627"/>
      </w:tabs>
      <w:ind w:left="1920" w:hanging="240"/>
    </w:pPr>
    <w:rPr>
      <w:rFonts w:ascii="Times New Roman" w:hAnsi="Times New Roman"/>
      <w:sz w:val="18"/>
    </w:rPr>
  </w:style>
  <w:style w:type="paragraph" w:styleId="ndice9">
    <w:name w:val="index 9"/>
    <w:basedOn w:val="Normal"/>
    <w:next w:val="Normal"/>
    <w:pPr>
      <w:tabs>
        <w:tab w:val="right" w:pos="4627"/>
      </w:tabs>
      <w:ind w:left="2160" w:hanging="240"/>
    </w:pPr>
    <w:rPr>
      <w:rFonts w:ascii="Times New Roman" w:hAnsi="Times New Roman"/>
      <w:sz w:val="18"/>
    </w:rPr>
  </w:style>
  <w:style w:type="paragraph" w:styleId="Ttulodendice">
    <w:name w:val="index heading"/>
    <w:basedOn w:val="Normal"/>
    <w:next w:val="ndice10"/>
    <w:pPr>
      <w:spacing w:before="240" w:after="120"/>
      <w:jc w:val="center"/>
    </w:pPr>
    <w:rPr>
      <w:rFonts w:ascii="Times New Roman" w:hAnsi="Times New Roman"/>
      <w:b/>
      <w:sz w:val="26"/>
    </w:rPr>
  </w:style>
  <w:style w:type="paragraph" w:styleId="Encabezado">
    <w:name w:val="header"/>
    <w:basedOn w:val="Normal"/>
    <w:pPr>
      <w:tabs>
        <w:tab w:val="center" w:pos="4252"/>
        <w:tab w:val="right" w:pos="8504"/>
      </w:tabs>
    </w:pPr>
  </w:style>
  <w:style w:type="paragraph" w:styleId="Piedepgina">
    <w:name w:val="footer"/>
    <w:basedOn w:val="Normal"/>
    <w:pPr>
      <w:tabs>
        <w:tab w:val="center" w:pos="4252"/>
        <w:tab w:val="right" w:pos="8504"/>
      </w:tabs>
    </w:pPr>
  </w:style>
  <w:style w:type="character" w:styleId="Nmerodepgina">
    <w:name w:val="page number"/>
    <w:basedOn w:val="Fuentedeprrafopredeter"/>
  </w:style>
  <w:style w:type="paragraph" w:styleId="Textoindependiente">
    <w:name w:val="Body Text"/>
    <w:basedOn w:val="Normal"/>
    <w:semiHidden/>
    <w:pPr>
      <w:tabs>
        <w:tab w:val="left" w:pos="-720"/>
      </w:tabs>
      <w:suppressAutoHyphens/>
      <w:jc w:val="both"/>
    </w:pPr>
    <w:rPr>
      <w:rFonts w:ascii="Arial" w:hAnsi="Arial"/>
      <w:spacing w:val="-3"/>
      <w:sz w:val="28"/>
    </w:rPr>
  </w:style>
  <w:style w:type="paragraph" w:styleId="Sangradetextonormal">
    <w:name w:val="Body Text Indent"/>
    <w:basedOn w:val="Normal"/>
    <w:semiHidden/>
    <w:pPr>
      <w:tabs>
        <w:tab w:val="left" w:pos="-720"/>
        <w:tab w:val="left" w:pos="5103"/>
      </w:tabs>
      <w:suppressAutoHyphens/>
      <w:ind w:left="5103" w:hanging="5103"/>
      <w:jc w:val="both"/>
    </w:pPr>
    <w:rPr>
      <w:rFonts w:ascii="Arial" w:hAnsi="Arial"/>
      <w:spacing w:val="-3"/>
      <w:sz w:val="28"/>
    </w:rPr>
  </w:style>
  <w:style w:type="paragraph" w:styleId="Puesto">
    <w:name w:val="Title"/>
    <w:basedOn w:val="Normal"/>
    <w:qFormat/>
    <w:pPr>
      <w:spacing w:before="240" w:after="60"/>
      <w:jc w:val="center"/>
    </w:pPr>
    <w:rPr>
      <w:rFonts w:ascii="Arial" w:hAnsi="Arial"/>
      <w:b/>
      <w:kern w:val="28"/>
      <w:sz w:val="32"/>
    </w:rPr>
  </w:style>
  <w:style w:type="paragraph" w:styleId="Textoindependiente2">
    <w:name w:val="Body Text 2"/>
    <w:basedOn w:val="Normal"/>
    <w:pPr>
      <w:tabs>
        <w:tab w:val="left" w:pos="-720"/>
      </w:tabs>
      <w:suppressAutoHyphens/>
      <w:ind w:right="851"/>
      <w:jc w:val="both"/>
    </w:pPr>
    <w:rPr>
      <w:rFonts w:ascii="Arial" w:hAnsi="Arial"/>
      <w:spacing w:val="-3"/>
      <w:sz w:val="28"/>
    </w:rPr>
  </w:style>
  <w:style w:type="paragraph" w:styleId="Textoindependiente3">
    <w:name w:val="Body Text 3"/>
    <w:basedOn w:val="Normal"/>
    <w:rPr>
      <w:rFonts w:ascii="Arial" w:hAnsi="Arial" w:cs="Arial"/>
      <w:sz w:val="28"/>
    </w:rPr>
  </w:style>
  <w:style w:type="paragraph" w:styleId="Textodebloque">
    <w:name w:val="Block Text"/>
    <w:basedOn w:val="Normal"/>
    <w:pPr>
      <w:ind w:left="851" w:right="851"/>
      <w:jc w:val="both"/>
    </w:pPr>
    <w:rPr>
      <w:rFonts w:ascii="Bookman Old Style" w:hAnsi="Bookman Old Style"/>
      <w:sz w:val="22"/>
    </w:rPr>
  </w:style>
  <w:style w:type="paragraph" w:customStyle="1" w:styleId="Documento1">
    <w:name w:val="Documento 1"/>
    <w:pPr>
      <w:keepNext/>
      <w:keepLines/>
      <w:tabs>
        <w:tab w:val="left" w:pos="-720"/>
      </w:tabs>
      <w:suppressAutoHyphens/>
    </w:pPr>
    <w:rPr>
      <w:rFonts w:ascii="Courier" w:hAnsi="Courier"/>
      <w:sz w:val="24"/>
      <w:lang w:val="en-US" w:eastAsia="es-ES"/>
    </w:rPr>
  </w:style>
  <w:style w:type="paragraph" w:styleId="Textocomentario">
    <w:name w:val="annotation text"/>
    <w:basedOn w:val="Normal"/>
    <w:link w:val="TextocomentarioCar"/>
    <w:rPr>
      <w:rFonts w:ascii="Arial" w:hAnsi="Arial"/>
      <w:sz w:val="20"/>
      <w:lang w:val="es-ES"/>
    </w:rPr>
  </w:style>
  <w:style w:type="character" w:styleId="Hipervnculo">
    <w:name w:val="Hyperlink"/>
    <w:rsid w:val="00DC3CBA"/>
    <w:rPr>
      <w:color w:val="0000FF"/>
      <w:u w:val="single"/>
    </w:rPr>
  </w:style>
  <w:style w:type="paragraph" w:customStyle="1" w:styleId="TITULOUNO">
    <w:name w:val="TITULO UNO"/>
    <w:basedOn w:val="Ttulo1"/>
    <w:rsid w:val="001268CE"/>
    <w:pPr>
      <w:numPr>
        <w:numId w:val="1"/>
      </w:numPr>
      <w:tabs>
        <w:tab w:val="clear" w:pos="-720"/>
        <w:tab w:val="clear" w:pos="4395"/>
      </w:tabs>
      <w:suppressAutoHyphens w:val="0"/>
      <w:jc w:val="both"/>
    </w:pPr>
    <w:rPr>
      <w:rFonts w:cs="Arial"/>
      <w:bCs/>
      <w:spacing w:val="0"/>
      <w:sz w:val="24"/>
      <w:szCs w:val="24"/>
      <w:lang w:val="es-ES"/>
    </w:rPr>
  </w:style>
  <w:style w:type="paragraph" w:customStyle="1" w:styleId="TITULODOS">
    <w:name w:val="TITULO DOS"/>
    <w:basedOn w:val="Ttulo1"/>
    <w:rsid w:val="001268CE"/>
    <w:pPr>
      <w:numPr>
        <w:ilvl w:val="1"/>
        <w:numId w:val="1"/>
      </w:numPr>
      <w:tabs>
        <w:tab w:val="clear" w:pos="-720"/>
        <w:tab w:val="clear" w:pos="4395"/>
        <w:tab w:val="left" w:pos="567"/>
      </w:tabs>
      <w:suppressAutoHyphens w:val="0"/>
      <w:jc w:val="both"/>
    </w:pPr>
    <w:rPr>
      <w:rFonts w:cs="Arial"/>
      <w:bCs/>
      <w:spacing w:val="0"/>
      <w:sz w:val="24"/>
      <w:szCs w:val="24"/>
      <w:lang w:val="es-ES"/>
    </w:rPr>
  </w:style>
  <w:style w:type="paragraph" w:customStyle="1" w:styleId="titulotres">
    <w:name w:val="titulo tres"/>
    <w:basedOn w:val="Ttulo1"/>
    <w:rsid w:val="001268CE"/>
    <w:pPr>
      <w:numPr>
        <w:ilvl w:val="2"/>
        <w:numId w:val="1"/>
      </w:numPr>
      <w:tabs>
        <w:tab w:val="clear" w:pos="-720"/>
        <w:tab w:val="clear" w:pos="4395"/>
      </w:tabs>
      <w:suppressAutoHyphens w:val="0"/>
      <w:jc w:val="both"/>
    </w:pPr>
    <w:rPr>
      <w:rFonts w:cs="Arial"/>
      <w:bCs/>
      <w:spacing w:val="0"/>
      <w:sz w:val="24"/>
      <w:szCs w:val="22"/>
      <w:lang w:val="es-ES"/>
    </w:rPr>
  </w:style>
  <w:style w:type="paragraph" w:customStyle="1" w:styleId="BodyText23">
    <w:name w:val="Body Text 23"/>
    <w:basedOn w:val="Normal"/>
    <w:rsid w:val="00845649"/>
    <w:pPr>
      <w:widowControl w:val="0"/>
      <w:jc w:val="both"/>
    </w:pPr>
    <w:rPr>
      <w:rFonts w:ascii="Arial" w:hAnsi="Arial"/>
      <w:b/>
      <w:kern w:val="16"/>
    </w:rPr>
  </w:style>
  <w:style w:type="paragraph" w:styleId="Lista">
    <w:name w:val="List"/>
    <w:basedOn w:val="Normal"/>
    <w:rsid w:val="00845649"/>
    <w:pPr>
      <w:ind w:left="283" w:hanging="283"/>
    </w:pPr>
    <w:rPr>
      <w:rFonts w:ascii="Times New Roman" w:hAnsi="Times New Roman"/>
      <w:lang w:val="es-CO"/>
    </w:rPr>
  </w:style>
  <w:style w:type="paragraph" w:customStyle="1" w:styleId="Car">
    <w:name w:val="Car"/>
    <w:basedOn w:val="Normal"/>
    <w:rsid w:val="0039037A"/>
    <w:pPr>
      <w:spacing w:after="160" w:line="240" w:lineRule="exact"/>
    </w:pPr>
    <w:rPr>
      <w:rFonts w:ascii="Tahoma" w:hAnsi="Tahoma"/>
      <w:sz w:val="20"/>
      <w:lang w:val="en-US" w:eastAsia="en-US"/>
    </w:rPr>
  </w:style>
  <w:style w:type="paragraph" w:styleId="NormalWeb">
    <w:name w:val="Normal (Web)"/>
    <w:basedOn w:val="Normal"/>
    <w:unhideWhenUsed/>
    <w:rsid w:val="008D420B"/>
    <w:pPr>
      <w:spacing w:before="100" w:beforeAutospacing="1" w:after="100" w:afterAutospacing="1"/>
    </w:pPr>
    <w:rPr>
      <w:rFonts w:ascii="Times New Roman" w:hAnsi="Times New Roman"/>
      <w:szCs w:val="24"/>
      <w:lang w:val="es-CO" w:eastAsia="es-CO"/>
    </w:rPr>
  </w:style>
  <w:style w:type="paragraph" w:styleId="Sinespaciado">
    <w:name w:val="No Spacing"/>
    <w:uiPriority w:val="1"/>
    <w:qFormat/>
    <w:rsid w:val="000B7FDF"/>
    <w:rPr>
      <w:rFonts w:ascii="Courier New" w:hAnsi="Courier New"/>
      <w:sz w:val="24"/>
      <w:lang w:val="es-ES_tradnl" w:eastAsia="es-ES"/>
    </w:rPr>
  </w:style>
  <w:style w:type="character" w:styleId="Textoennegrita">
    <w:name w:val="Strong"/>
    <w:uiPriority w:val="22"/>
    <w:qFormat/>
    <w:rsid w:val="00D412D1"/>
    <w:rPr>
      <w:b/>
      <w:bCs/>
    </w:rPr>
  </w:style>
  <w:style w:type="paragraph" w:customStyle="1" w:styleId="Default">
    <w:name w:val="Default"/>
    <w:rsid w:val="00BD41F8"/>
    <w:pPr>
      <w:autoSpaceDE w:val="0"/>
      <w:autoSpaceDN w:val="0"/>
      <w:adjustRightInd w:val="0"/>
    </w:pPr>
    <w:rPr>
      <w:rFonts w:ascii="Verdana" w:hAnsi="Verdana" w:cs="Verdana"/>
      <w:color w:val="000000"/>
      <w:sz w:val="24"/>
      <w:szCs w:val="24"/>
      <w:lang w:val="es-ES" w:eastAsia="es-ES"/>
    </w:rPr>
  </w:style>
  <w:style w:type="paragraph" w:styleId="Prrafodelista">
    <w:name w:val="List Paragraph"/>
    <w:aliases w:val="HOJA,Colorful List Accent 1,Colorful List - Accent 11,Guión,BOLA,Estilo 3,Titulo 8,ViÃ±eta 2,Pбrrafo de lista"/>
    <w:basedOn w:val="Normal"/>
    <w:link w:val="PrrafodelistaCar"/>
    <w:uiPriority w:val="34"/>
    <w:qFormat/>
    <w:rsid w:val="008D175E"/>
    <w:pPr>
      <w:ind w:left="708"/>
    </w:pPr>
  </w:style>
  <w:style w:type="paragraph" w:customStyle="1" w:styleId="Style1">
    <w:name w:val="Style 1"/>
    <w:rsid w:val="00704A66"/>
    <w:pPr>
      <w:widowControl w:val="0"/>
      <w:autoSpaceDE w:val="0"/>
      <w:autoSpaceDN w:val="0"/>
      <w:adjustRightInd w:val="0"/>
    </w:pPr>
    <w:rPr>
      <w:lang w:val="en-US" w:eastAsia="es-ES"/>
    </w:rPr>
  </w:style>
  <w:style w:type="paragraph" w:customStyle="1" w:styleId="Style2">
    <w:name w:val="Style 2"/>
    <w:rsid w:val="00704A66"/>
    <w:pPr>
      <w:widowControl w:val="0"/>
      <w:autoSpaceDE w:val="0"/>
      <w:autoSpaceDN w:val="0"/>
      <w:spacing w:before="144" w:line="316" w:lineRule="auto"/>
    </w:pPr>
    <w:rPr>
      <w:rFonts w:ascii="Bookman Old Style" w:hAnsi="Bookman Old Style" w:cs="Bookman Old Style"/>
      <w:sz w:val="22"/>
      <w:szCs w:val="22"/>
      <w:lang w:val="en-US" w:eastAsia="es-ES"/>
    </w:rPr>
  </w:style>
  <w:style w:type="paragraph" w:customStyle="1" w:styleId="Style3">
    <w:name w:val="Style 3"/>
    <w:rsid w:val="00704A66"/>
    <w:pPr>
      <w:widowControl w:val="0"/>
      <w:autoSpaceDE w:val="0"/>
      <w:autoSpaceDN w:val="0"/>
      <w:ind w:left="360"/>
    </w:pPr>
    <w:rPr>
      <w:sz w:val="26"/>
      <w:szCs w:val="26"/>
      <w:lang w:val="en-US" w:eastAsia="es-ES"/>
    </w:rPr>
  </w:style>
  <w:style w:type="character" w:customStyle="1" w:styleId="CharacterStyle1">
    <w:name w:val="Character Style 1"/>
    <w:rsid w:val="00704A66"/>
    <w:rPr>
      <w:rFonts w:ascii="Bookman Old Style" w:hAnsi="Bookman Old Style"/>
      <w:sz w:val="22"/>
    </w:rPr>
  </w:style>
  <w:style w:type="character" w:customStyle="1" w:styleId="CharacterStyle2">
    <w:name w:val="Character Style 2"/>
    <w:rsid w:val="00704A66"/>
    <w:rPr>
      <w:sz w:val="26"/>
    </w:rPr>
  </w:style>
  <w:style w:type="paragraph" w:customStyle="1" w:styleId="Style7">
    <w:name w:val="Style 7"/>
    <w:rsid w:val="001F5A43"/>
    <w:pPr>
      <w:widowControl w:val="0"/>
      <w:autoSpaceDE w:val="0"/>
      <w:autoSpaceDN w:val="0"/>
      <w:adjustRightInd w:val="0"/>
    </w:pPr>
    <w:rPr>
      <w:lang w:val="en-US" w:eastAsia="es-ES"/>
    </w:rPr>
  </w:style>
  <w:style w:type="paragraph" w:customStyle="1" w:styleId="Style8">
    <w:name w:val="Style 8"/>
    <w:rsid w:val="001F5A43"/>
    <w:pPr>
      <w:widowControl w:val="0"/>
      <w:autoSpaceDE w:val="0"/>
      <w:autoSpaceDN w:val="0"/>
      <w:ind w:left="936" w:hanging="504"/>
    </w:pPr>
    <w:rPr>
      <w:rFonts w:ascii="Arial" w:hAnsi="Arial" w:cs="Arial"/>
      <w:sz w:val="24"/>
      <w:szCs w:val="24"/>
      <w:lang w:val="en-US" w:eastAsia="es-ES"/>
    </w:rPr>
  </w:style>
  <w:style w:type="paragraph" w:customStyle="1" w:styleId="Style6">
    <w:name w:val="Style 6"/>
    <w:rsid w:val="00982906"/>
    <w:pPr>
      <w:widowControl w:val="0"/>
      <w:autoSpaceDE w:val="0"/>
      <w:autoSpaceDN w:val="0"/>
      <w:spacing w:line="204" w:lineRule="auto"/>
      <w:ind w:left="288"/>
    </w:pPr>
    <w:rPr>
      <w:rFonts w:ascii="Arial" w:hAnsi="Arial" w:cs="Arial"/>
      <w:sz w:val="24"/>
      <w:szCs w:val="24"/>
      <w:lang w:val="en-US" w:eastAsia="es-ES"/>
    </w:rPr>
  </w:style>
  <w:style w:type="character" w:customStyle="1" w:styleId="Ttulo6Car">
    <w:name w:val="Título 6 Car"/>
    <w:link w:val="Ttulo6"/>
    <w:rsid w:val="003A72EB"/>
    <w:rPr>
      <w:rFonts w:ascii="Arial" w:hAnsi="Arial"/>
      <w:spacing w:val="-3"/>
      <w:sz w:val="28"/>
      <w:lang w:val="es-ES_tradnl" w:eastAsia="es-ES"/>
    </w:rPr>
  </w:style>
  <w:style w:type="paragraph" w:styleId="Textodeglobo">
    <w:name w:val="Balloon Text"/>
    <w:basedOn w:val="Normal"/>
    <w:link w:val="TextodegloboCar"/>
    <w:unhideWhenUsed/>
    <w:rsid w:val="00FB5E81"/>
    <w:rPr>
      <w:rFonts w:ascii="Tahoma" w:hAnsi="Tahoma" w:cs="Tahoma"/>
      <w:sz w:val="16"/>
      <w:szCs w:val="16"/>
    </w:rPr>
  </w:style>
  <w:style w:type="character" w:customStyle="1" w:styleId="TextodegloboCar">
    <w:name w:val="Texto de globo Car"/>
    <w:link w:val="Textodeglobo"/>
    <w:rsid w:val="00FB5E81"/>
    <w:rPr>
      <w:rFonts w:ascii="Tahoma" w:hAnsi="Tahoma" w:cs="Tahoma"/>
      <w:sz w:val="16"/>
      <w:szCs w:val="16"/>
      <w:lang w:val="es-ES_tradnl" w:eastAsia="es-ES"/>
    </w:rPr>
  </w:style>
  <w:style w:type="character" w:customStyle="1" w:styleId="PrrafodelistaCar">
    <w:name w:val="Párrafo de lista Car"/>
    <w:aliases w:val="HOJA Car,Colorful List Accent 1 Car,Colorful List - Accent 11 Car,Guión Car,BOLA Car,Estilo 3 Car,Titulo 8 Car,ViÃ±eta 2 Car,Pбrrafo de lista Car"/>
    <w:link w:val="Prrafodelista"/>
    <w:uiPriority w:val="34"/>
    <w:rsid w:val="005013CC"/>
    <w:rPr>
      <w:rFonts w:ascii="Courier New" w:hAnsi="Courier New"/>
      <w:sz w:val="24"/>
      <w:lang w:val="es-ES_tradnl" w:eastAsia="es-ES"/>
    </w:rPr>
  </w:style>
  <w:style w:type="paragraph" w:customStyle="1" w:styleId="Estilo">
    <w:name w:val="Estilo"/>
    <w:rsid w:val="005013CC"/>
    <w:pPr>
      <w:widowControl w:val="0"/>
      <w:autoSpaceDE w:val="0"/>
      <w:autoSpaceDN w:val="0"/>
      <w:adjustRightInd w:val="0"/>
    </w:pPr>
    <w:rPr>
      <w:rFonts w:ascii="Arial" w:hAnsi="Arial" w:cs="Arial"/>
      <w:sz w:val="24"/>
      <w:szCs w:val="24"/>
      <w:lang w:val="es-ES" w:eastAsia="es-ES"/>
    </w:rPr>
  </w:style>
  <w:style w:type="character" w:customStyle="1" w:styleId="apple-converted-space">
    <w:name w:val="apple-converted-space"/>
    <w:rsid w:val="005013CC"/>
  </w:style>
  <w:style w:type="character" w:customStyle="1" w:styleId="spelle">
    <w:name w:val="spelle"/>
    <w:rsid w:val="000C5C5D"/>
  </w:style>
  <w:style w:type="paragraph" w:customStyle="1" w:styleId="Standard">
    <w:name w:val="Standard"/>
    <w:rsid w:val="007C547A"/>
    <w:pPr>
      <w:suppressAutoHyphens/>
      <w:autoSpaceDN w:val="0"/>
      <w:textAlignment w:val="baseline"/>
    </w:pPr>
    <w:rPr>
      <w:rFonts w:ascii="Courier New" w:hAnsi="Courier New" w:cs="Courier New"/>
      <w:kern w:val="3"/>
      <w:sz w:val="24"/>
      <w:lang w:val="es-ES" w:eastAsia="zh-CN"/>
    </w:rPr>
  </w:style>
  <w:style w:type="paragraph" w:customStyle="1" w:styleId="Heading">
    <w:name w:val="Heading"/>
    <w:basedOn w:val="Standard"/>
    <w:next w:val="Textbody"/>
    <w:rsid w:val="007C547A"/>
    <w:pPr>
      <w:spacing w:before="240" w:after="60"/>
      <w:jc w:val="center"/>
    </w:pPr>
    <w:rPr>
      <w:rFonts w:ascii="Arial" w:hAnsi="Arial" w:cs="Arial"/>
      <w:b/>
      <w:sz w:val="32"/>
    </w:rPr>
  </w:style>
  <w:style w:type="paragraph" w:customStyle="1" w:styleId="Textbody">
    <w:name w:val="Text body"/>
    <w:basedOn w:val="Standard"/>
    <w:rsid w:val="007C547A"/>
    <w:pPr>
      <w:tabs>
        <w:tab w:val="left" w:pos="-720"/>
      </w:tabs>
      <w:jc w:val="both"/>
    </w:pPr>
    <w:rPr>
      <w:rFonts w:ascii="Arial" w:hAnsi="Arial" w:cs="Arial"/>
      <w:spacing w:val="-3"/>
      <w:sz w:val="28"/>
    </w:rPr>
  </w:style>
  <w:style w:type="paragraph" w:styleId="Descripcin">
    <w:name w:val="caption"/>
    <w:basedOn w:val="Standard"/>
    <w:rsid w:val="007C547A"/>
    <w:pPr>
      <w:suppressLineNumbers/>
      <w:spacing w:before="120" w:after="120"/>
    </w:pPr>
    <w:rPr>
      <w:rFonts w:cs="Lohit Devanagari"/>
      <w:i/>
      <w:iCs/>
      <w:szCs w:val="24"/>
    </w:rPr>
  </w:style>
  <w:style w:type="paragraph" w:customStyle="1" w:styleId="Index">
    <w:name w:val="Index"/>
    <w:basedOn w:val="Standard"/>
    <w:rsid w:val="007C547A"/>
    <w:pPr>
      <w:suppressLineNumbers/>
    </w:pPr>
    <w:rPr>
      <w:rFonts w:cs="Lohit Devanagari"/>
    </w:rPr>
  </w:style>
  <w:style w:type="paragraph" w:customStyle="1" w:styleId="Contents1">
    <w:name w:val="Contents 1"/>
    <w:basedOn w:val="Standard"/>
    <w:next w:val="Standard"/>
    <w:rsid w:val="007C547A"/>
    <w:pPr>
      <w:tabs>
        <w:tab w:val="left" w:leader="dot" w:pos="9720"/>
        <w:tab w:val="right" w:pos="10080"/>
      </w:tabs>
      <w:spacing w:before="480"/>
      <w:ind w:left="720" w:right="720" w:hanging="720"/>
    </w:pPr>
    <w:rPr>
      <w:lang w:val="en-US"/>
    </w:rPr>
  </w:style>
  <w:style w:type="paragraph" w:customStyle="1" w:styleId="Contents2">
    <w:name w:val="Contents 2"/>
    <w:basedOn w:val="Standard"/>
    <w:next w:val="Standard"/>
    <w:rsid w:val="007C547A"/>
    <w:pPr>
      <w:tabs>
        <w:tab w:val="left" w:leader="dot" w:pos="10440"/>
        <w:tab w:val="right" w:pos="10800"/>
      </w:tabs>
      <w:ind w:left="1440" w:right="720" w:hanging="720"/>
    </w:pPr>
    <w:rPr>
      <w:lang w:val="en-US"/>
    </w:rPr>
  </w:style>
  <w:style w:type="paragraph" w:customStyle="1" w:styleId="Contents3">
    <w:name w:val="Contents 3"/>
    <w:basedOn w:val="Standard"/>
    <w:next w:val="Standard"/>
    <w:rsid w:val="007C547A"/>
    <w:pPr>
      <w:tabs>
        <w:tab w:val="left" w:leader="dot" w:pos="11160"/>
        <w:tab w:val="right" w:pos="11520"/>
      </w:tabs>
      <w:ind w:left="2160" w:right="720" w:hanging="720"/>
    </w:pPr>
    <w:rPr>
      <w:lang w:val="en-US"/>
    </w:rPr>
  </w:style>
  <w:style w:type="paragraph" w:customStyle="1" w:styleId="Contents4">
    <w:name w:val="Contents 4"/>
    <w:basedOn w:val="Standard"/>
    <w:next w:val="Standard"/>
    <w:rsid w:val="007C547A"/>
    <w:pPr>
      <w:tabs>
        <w:tab w:val="left" w:leader="dot" w:pos="11880"/>
        <w:tab w:val="right" w:pos="12240"/>
      </w:tabs>
      <w:ind w:left="2880" w:right="720" w:hanging="720"/>
    </w:pPr>
    <w:rPr>
      <w:lang w:val="en-US"/>
    </w:rPr>
  </w:style>
  <w:style w:type="paragraph" w:customStyle="1" w:styleId="Contents5">
    <w:name w:val="Contents 5"/>
    <w:basedOn w:val="Standard"/>
    <w:next w:val="Standard"/>
    <w:rsid w:val="007C547A"/>
    <w:pPr>
      <w:tabs>
        <w:tab w:val="left" w:leader="dot" w:pos="12600"/>
        <w:tab w:val="right" w:pos="12960"/>
      </w:tabs>
      <w:ind w:left="3600" w:right="720" w:hanging="720"/>
    </w:pPr>
    <w:rPr>
      <w:lang w:val="en-US"/>
    </w:rPr>
  </w:style>
  <w:style w:type="paragraph" w:customStyle="1" w:styleId="Contents6">
    <w:name w:val="Contents 6"/>
    <w:basedOn w:val="Standard"/>
    <w:next w:val="Standard"/>
    <w:rsid w:val="007C547A"/>
    <w:pPr>
      <w:tabs>
        <w:tab w:val="left" w:pos="9720"/>
        <w:tab w:val="right" w:pos="10080"/>
      </w:tabs>
      <w:ind w:left="720" w:hanging="720"/>
    </w:pPr>
    <w:rPr>
      <w:lang w:val="en-US"/>
    </w:rPr>
  </w:style>
  <w:style w:type="paragraph" w:customStyle="1" w:styleId="Contents7">
    <w:name w:val="Contents 7"/>
    <w:basedOn w:val="Standard"/>
    <w:next w:val="Standard"/>
    <w:rsid w:val="007C547A"/>
    <w:pPr>
      <w:ind w:left="720" w:hanging="720"/>
    </w:pPr>
    <w:rPr>
      <w:lang w:val="en-US"/>
    </w:rPr>
  </w:style>
  <w:style w:type="paragraph" w:customStyle="1" w:styleId="Contents8">
    <w:name w:val="Contents 8"/>
    <w:basedOn w:val="Standard"/>
    <w:next w:val="Standard"/>
    <w:rsid w:val="007C547A"/>
    <w:pPr>
      <w:tabs>
        <w:tab w:val="left" w:pos="9720"/>
        <w:tab w:val="right" w:pos="10080"/>
      </w:tabs>
      <w:ind w:left="720" w:hanging="720"/>
    </w:pPr>
    <w:rPr>
      <w:lang w:val="en-US"/>
    </w:rPr>
  </w:style>
  <w:style w:type="paragraph" w:customStyle="1" w:styleId="Contents9">
    <w:name w:val="Contents 9"/>
    <w:basedOn w:val="Standard"/>
    <w:next w:val="Standard"/>
    <w:rsid w:val="007C547A"/>
    <w:pPr>
      <w:tabs>
        <w:tab w:val="left" w:leader="dot" w:pos="9720"/>
        <w:tab w:val="right" w:pos="10080"/>
      </w:tabs>
      <w:ind w:left="720" w:hanging="720"/>
    </w:pPr>
    <w:rPr>
      <w:lang w:val="en-US"/>
    </w:rPr>
  </w:style>
  <w:style w:type="paragraph" w:customStyle="1" w:styleId="Textbodyindent">
    <w:name w:val="Text body indent"/>
    <w:basedOn w:val="Standard"/>
    <w:rsid w:val="007C547A"/>
    <w:pPr>
      <w:tabs>
        <w:tab w:val="left" w:pos="4383"/>
        <w:tab w:val="left" w:pos="10206"/>
      </w:tabs>
      <w:ind w:left="5103" w:hanging="5103"/>
      <w:jc w:val="both"/>
    </w:pPr>
    <w:rPr>
      <w:rFonts w:ascii="Arial" w:hAnsi="Arial" w:cs="Arial"/>
      <w:spacing w:val="-3"/>
      <w:sz w:val="28"/>
    </w:rPr>
  </w:style>
  <w:style w:type="paragraph" w:customStyle="1" w:styleId="Car0">
    <w:name w:val="Car"/>
    <w:basedOn w:val="Standard"/>
    <w:rsid w:val="007C547A"/>
    <w:pPr>
      <w:spacing w:after="160" w:line="240" w:lineRule="exact"/>
    </w:pPr>
    <w:rPr>
      <w:rFonts w:ascii="Tahoma" w:hAnsi="Tahoma" w:cs="Tahoma"/>
      <w:sz w:val="20"/>
      <w:lang w:val="en-US"/>
    </w:rPr>
  </w:style>
  <w:style w:type="paragraph" w:customStyle="1" w:styleId="WW-Default">
    <w:name w:val="WW-Default"/>
    <w:rsid w:val="007C547A"/>
    <w:pPr>
      <w:suppressAutoHyphens/>
      <w:autoSpaceDE w:val="0"/>
      <w:autoSpaceDN w:val="0"/>
      <w:textAlignment w:val="baseline"/>
    </w:pPr>
    <w:rPr>
      <w:rFonts w:ascii="Verdana" w:hAnsi="Verdana" w:cs="Verdana"/>
      <w:color w:val="000000"/>
      <w:kern w:val="3"/>
      <w:sz w:val="24"/>
      <w:szCs w:val="24"/>
      <w:lang w:val="es-ES" w:eastAsia="zh-CN"/>
    </w:rPr>
  </w:style>
  <w:style w:type="character" w:customStyle="1" w:styleId="WW8Num1z0">
    <w:name w:val="WW8Num1z0"/>
    <w:rsid w:val="007C547A"/>
    <w:rPr>
      <w:rFonts w:ascii="Arial" w:hAnsi="Arial" w:cs="Arial"/>
      <w:spacing w:val="6"/>
      <w:sz w:val="22"/>
      <w:szCs w:val="22"/>
    </w:rPr>
  </w:style>
  <w:style w:type="character" w:customStyle="1" w:styleId="WW8Num2z0">
    <w:name w:val="WW8Num2z0"/>
    <w:rsid w:val="007C547A"/>
    <w:rPr>
      <w:rFonts w:ascii="Arial" w:hAnsi="Arial" w:cs="Arial"/>
      <w:sz w:val="24"/>
      <w:szCs w:val="24"/>
    </w:rPr>
  </w:style>
  <w:style w:type="character" w:customStyle="1" w:styleId="WW8Num5z0">
    <w:name w:val="WW8Num5z0"/>
    <w:rsid w:val="007C547A"/>
    <w:rPr>
      <w:b w:val="0"/>
    </w:rPr>
  </w:style>
  <w:style w:type="character" w:customStyle="1" w:styleId="WW8Num8z0">
    <w:name w:val="WW8Num8z0"/>
    <w:rsid w:val="007C547A"/>
    <w:rPr>
      <w:rFonts w:ascii="Arial" w:hAnsi="Arial" w:cs="Arial"/>
      <w:b w:val="0"/>
      <w:i w:val="0"/>
      <w:sz w:val="22"/>
    </w:rPr>
  </w:style>
  <w:style w:type="character" w:customStyle="1" w:styleId="WW8Num9z0">
    <w:name w:val="WW8Num9z0"/>
    <w:rsid w:val="007C547A"/>
    <w:rPr>
      <w:rFonts w:ascii="Symbol" w:hAnsi="Symbol" w:cs="Symbol"/>
    </w:rPr>
  </w:style>
  <w:style w:type="character" w:customStyle="1" w:styleId="WW8Num9z1">
    <w:name w:val="WW8Num9z1"/>
    <w:rsid w:val="007C547A"/>
    <w:rPr>
      <w:rFonts w:ascii="Courier New" w:hAnsi="Courier New" w:cs="Courier New"/>
    </w:rPr>
  </w:style>
  <w:style w:type="character" w:customStyle="1" w:styleId="WW8Num9z2">
    <w:name w:val="WW8Num9z2"/>
    <w:rsid w:val="007C547A"/>
    <w:rPr>
      <w:rFonts w:ascii="Wingdings" w:hAnsi="Wingdings" w:cs="Wingdings"/>
    </w:rPr>
  </w:style>
  <w:style w:type="character" w:customStyle="1" w:styleId="WW8Num14z0">
    <w:name w:val="WW8Num14z0"/>
    <w:rsid w:val="007C547A"/>
    <w:rPr>
      <w:b w:val="0"/>
    </w:rPr>
  </w:style>
  <w:style w:type="character" w:customStyle="1" w:styleId="Internetlink">
    <w:name w:val="Internet link"/>
    <w:rsid w:val="007C547A"/>
    <w:rPr>
      <w:color w:val="0000FF"/>
      <w:u w:val="single"/>
    </w:rPr>
  </w:style>
  <w:style w:type="character" w:customStyle="1" w:styleId="StrongEmphasis">
    <w:name w:val="Strong Emphasis"/>
    <w:rsid w:val="007C547A"/>
    <w:rPr>
      <w:b/>
      <w:bCs/>
    </w:rPr>
  </w:style>
  <w:style w:type="character" w:customStyle="1" w:styleId="EncabezadoCar">
    <w:name w:val="Encabezado Car"/>
    <w:rsid w:val="007C547A"/>
    <w:rPr>
      <w:rFonts w:cs="Mangal"/>
      <w:szCs w:val="21"/>
    </w:rPr>
  </w:style>
  <w:style w:type="character" w:customStyle="1" w:styleId="PiedepginaCar">
    <w:name w:val="Pie de página Car"/>
    <w:rsid w:val="007C547A"/>
    <w:rPr>
      <w:rFonts w:cs="Mangal"/>
      <w:szCs w:val="21"/>
    </w:rPr>
  </w:style>
  <w:style w:type="character" w:styleId="Refdecomentario">
    <w:name w:val="annotation reference"/>
    <w:rsid w:val="007C547A"/>
    <w:rPr>
      <w:sz w:val="16"/>
      <w:szCs w:val="16"/>
    </w:rPr>
  </w:style>
  <w:style w:type="paragraph" w:styleId="Asuntodelcomentario">
    <w:name w:val="annotation subject"/>
    <w:basedOn w:val="Textocomentario"/>
    <w:next w:val="Textocomentario"/>
    <w:link w:val="AsuntodelcomentarioCar"/>
    <w:rsid w:val="007C547A"/>
    <w:pPr>
      <w:widowControl w:val="0"/>
      <w:suppressAutoHyphens/>
      <w:autoSpaceDN w:val="0"/>
      <w:textAlignment w:val="baseline"/>
    </w:pPr>
    <w:rPr>
      <w:rFonts w:ascii="Liberation Serif" w:eastAsia="DejaVu Sans" w:hAnsi="Liberation Serif" w:cs="Mangal"/>
      <w:b/>
      <w:bCs/>
      <w:kern w:val="3"/>
      <w:szCs w:val="18"/>
      <w:lang w:eastAsia="zh-CN" w:bidi="hi-IN"/>
    </w:rPr>
  </w:style>
  <w:style w:type="character" w:customStyle="1" w:styleId="TextocomentarioCar">
    <w:name w:val="Texto comentario Car"/>
    <w:link w:val="Textocomentario"/>
    <w:rsid w:val="007C547A"/>
    <w:rPr>
      <w:rFonts w:ascii="Arial" w:hAnsi="Arial"/>
      <w:lang w:val="es-ES" w:eastAsia="es-ES"/>
    </w:rPr>
  </w:style>
  <w:style w:type="character" w:customStyle="1" w:styleId="AsuntodelcomentarioCar">
    <w:name w:val="Asunto del comentario Car"/>
    <w:link w:val="Asuntodelcomentario"/>
    <w:rsid w:val="007C547A"/>
    <w:rPr>
      <w:rFonts w:ascii="Liberation Serif" w:eastAsia="DejaVu Sans" w:hAnsi="Liberation Serif" w:cs="Mangal"/>
      <w:b/>
      <w:bCs/>
      <w:kern w:val="3"/>
      <w:szCs w:val="18"/>
      <w:lang w:val="es-ES" w:eastAsia="zh-CN" w:bidi="hi-IN"/>
    </w:rPr>
  </w:style>
  <w:style w:type="character" w:customStyle="1" w:styleId="StandardCar">
    <w:name w:val="Standard Car"/>
    <w:rsid w:val="007C547A"/>
    <w:rPr>
      <w:rFonts w:ascii="Courier New" w:eastAsia="Times New Roman" w:hAnsi="Courier New" w:cs="Courier New"/>
      <w:szCs w:val="20"/>
      <w:lang w:bidi="ar-SA"/>
    </w:rPr>
  </w:style>
  <w:style w:type="numbering" w:customStyle="1" w:styleId="WW8Num1">
    <w:name w:val="WW8Num1"/>
    <w:basedOn w:val="Sinlista"/>
    <w:rsid w:val="007C547A"/>
    <w:pPr>
      <w:numPr>
        <w:numId w:val="2"/>
      </w:numPr>
    </w:pPr>
  </w:style>
  <w:style w:type="numbering" w:customStyle="1" w:styleId="WW8Num2">
    <w:name w:val="WW8Num2"/>
    <w:basedOn w:val="Sinlista"/>
    <w:rsid w:val="007C547A"/>
    <w:pPr>
      <w:numPr>
        <w:numId w:val="3"/>
      </w:numPr>
    </w:pPr>
  </w:style>
  <w:style w:type="numbering" w:customStyle="1" w:styleId="WW8Num3">
    <w:name w:val="WW8Num3"/>
    <w:basedOn w:val="Sinlista"/>
    <w:rsid w:val="007C547A"/>
    <w:pPr>
      <w:numPr>
        <w:numId w:val="4"/>
      </w:numPr>
    </w:pPr>
  </w:style>
  <w:style w:type="numbering" w:customStyle="1" w:styleId="WW8Num4">
    <w:name w:val="WW8Num4"/>
    <w:basedOn w:val="Sinlista"/>
    <w:rsid w:val="007C547A"/>
    <w:pPr>
      <w:numPr>
        <w:numId w:val="5"/>
      </w:numPr>
    </w:pPr>
  </w:style>
  <w:style w:type="numbering" w:customStyle="1" w:styleId="WW8Num5">
    <w:name w:val="WW8Num5"/>
    <w:basedOn w:val="Sinlista"/>
    <w:rsid w:val="007C547A"/>
    <w:pPr>
      <w:numPr>
        <w:numId w:val="6"/>
      </w:numPr>
    </w:pPr>
  </w:style>
  <w:style w:type="numbering" w:customStyle="1" w:styleId="WW8Num6">
    <w:name w:val="WW8Num6"/>
    <w:basedOn w:val="Sinlista"/>
    <w:rsid w:val="007C547A"/>
    <w:pPr>
      <w:numPr>
        <w:numId w:val="7"/>
      </w:numPr>
    </w:pPr>
  </w:style>
  <w:style w:type="numbering" w:customStyle="1" w:styleId="WW8Num7">
    <w:name w:val="WW8Num7"/>
    <w:basedOn w:val="Sinlista"/>
    <w:rsid w:val="007C547A"/>
    <w:pPr>
      <w:numPr>
        <w:numId w:val="8"/>
      </w:numPr>
    </w:pPr>
  </w:style>
  <w:style w:type="numbering" w:customStyle="1" w:styleId="WW8Num8">
    <w:name w:val="WW8Num8"/>
    <w:basedOn w:val="Sinlista"/>
    <w:rsid w:val="007C547A"/>
    <w:pPr>
      <w:numPr>
        <w:numId w:val="9"/>
      </w:numPr>
    </w:pPr>
  </w:style>
  <w:style w:type="numbering" w:customStyle="1" w:styleId="WW8Num9">
    <w:name w:val="WW8Num9"/>
    <w:basedOn w:val="Sinlista"/>
    <w:rsid w:val="007C547A"/>
    <w:pPr>
      <w:numPr>
        <w:numId w:val="10"/>
      </w:numPr>
    </w:pPr>
  </w:style>
  <w:style w:type="numbering" w:customStyle="1" w:styleId="WW8Num10">
    <w:name w:val="WW8Num10"/>
    <w:basedOn w:val="Sinlista"/>
    <w:rsid w:val="007C547A"/>
    <w:pPr>
      <w:numPr>
        <w:numId w:val="11"/>
      </w:numPr>
    </w:pPr>
  </w:style>
  <w:style w:type="numbering" w:customStyle="1" w:styleId="WW8Num11">
    <w:name w:val="WW8Num11"/>
    <w:basedOn w:val="Sinlista"/>
    <w:rsid w:val="007C547A"/>
    <w:pPr>
      <w:numPr>
        <w:numId w:val="12"/>
      </w:numPr>
    </w:pPr>
  </w:style>
  <w:style w:type="numbering" w:customStyle="1" w:styleId="WW8Num12">
    <w:name w:val="WW8Num12"/>
    <w:basedOn w:val="Sinlista"/>
    <w:rsid w:val="007C547A"/>
    <w:pPr>
      <w:numPr>
        <w:numId w:val="13"/>
      </w:numPr>
    </w:pPr>
  </w:style>
  <w:style w:type="numbering" w:customStyle="1" w:styleId="WW8Num13">
    <w:name w:val="WW8Num13"/>
    <w:basedOn w:val="Sinlista"/>
    <w:rsid w:val="007C547A"/>
    <w:pPr>
      <w:numPr>
        <w:numId w:val="14"/>
      </w:numPr>
    </w:pPr>
  </w:style>
  <w:style w:type="numbering" w:customStyle="1" w:styleId="WW8Num14">
    <w:name w:val="WW8Num14"/>
    <w:basedOn w:val="Sinlista"/>
    <w:rsid w:val="007C547A"/>
    <w:pPr>
      <w:numPr>
        <w:numId w:val="15"/>
      </w:numPr>
    </w:pPr>
  </w:style>
  <w:style w:type="numbering" w:customStyle="1" w:styleId="WW8Num15">
    <w:name w:val="WW8Num15"/>
    <w:basedOn w:val="Sinlista"/>
    <w:rsid w:val="007C547A"/>
    <w:pPr>
      <w:numPr>
        <w:numId w:val="16"/>
      </w:numPr>
    </w:pPr>
  </w:style>
  <w:style w:type="numbering" w:customStyle="1" w:styleId="WW8Num16">
    <w:name w:val="WW8Num16"/>
    <w:basedOn w:val="Sinlista"/>
    <w:rsid w:val="007C547A"/>
    <w:pPr>
      <w:numPr>
        <w:numId w:val="17"/>
      </w:numPr>
    </w:pPr>
  </w:style>
  <w:style w:type="numbering" w:customStyle="1" w:styleId="WW8Num17">
    <w:name w:val="WW8Num17"/>
    <w:basedOn w:val="Sinlista"/>
    <w:rsid w:val="007C547A"/>
    <w:pPr>
      <w:numPr>
        <w:numId w:val="18"/>
      </w:numPr>
    </w:pPr>
  </w:style>
  <w:style w:type="numbering" w:customStyle="1" w:styleId="WW8Num18">
    <w:name w:val="WW8Num18"/>
    <w:basedOn w:val="Sinlista"/>
    <w:rsid w:val="007C547A"/>
    <w:pPr>
      <w:numPr>
        <w:numId w:val="19"/>
      </w:numPr>
    </w:pPr>
  </w:style>
  <w:style w:type="numbering" w:customStyle="1" w:styleId="WW8Num19">
    <w:name w:val="WW8Num19"/>
    <w:basedOn w:val="Sinlista"/>
    <w:rsid w:val="007C547A"/>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00911">
      <w:bodyDiv w:val="1"/>
      <w:marLeft w:val="0"/>
      <w:marRight w:val="0"/>
      <w:marTop w:val="0"/>
      <w:marBottom w:val="0"/>
      <w:divBdr>
        <w:top w:val="none" w:sz="0" w:space="0" w:color="auto"/>
        <w:left w:val="none" w:sz="0" w:space="0" w:color="auto"/>
        <w:bottom w:val="none" w:sz="0" w:space="0" w:color="auto"/>
        <w:right w:val="none" w:sz="0" w:space="0" w:color="auto"/>
      </w:divBdr>
    </w:div>
    <w:div w:id="154687108">
      <w:bodyDiv w:val="1"/>
      <w:marLeft w:val="0"/>
      <w:marRight w:val="0"/>
      <w:marTop w:val="0"/>
      <w:marBottom w:val="0"/>
      <w:divBdr>
        <w:top w:val="none" w:sz="0" w:space="0" w:color="auto"/>
        <w:left w:val="none" w:sz="0" w:space="0" w:color="auto"/>
        <w:bottom w:val="none" w:sz="0" w:space="0" w:color="auto"/>
        <w:right w:val="none" w:sz="0" w:space="0" w:color="auto"/>
      </w:divBdr>
      <w:divsChild>
        <w:div w:id="582028669">
          <w:marLeft w:val="0"/>
          <w:marRight w:val="0"/>
          <w:marTop w:val="0"/>
          <w:marBottom w:val="0"/>
          <w:divBdr>
            <w:top w:val="none" w:sz="0" w:space="0" w:color="auto"/>
            <w:left w:val="none" w:sz="0" w:space="0" w:color="auto"/>
            <w:bottom w:val="none" w:sz="0" w:space="0" w:color="auto"/>
            <w:right w:val="none" w:sz="0" w:space="0" w:color="auto"/>
          </w:divBdr>
          <w:divsChild>
            <w:div w:id="760032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08028">
      <w:bodyDiv w:val="1"/>
      <w:marLeft w:val="0"/>
      <w:marRight w:val="0"/>
      <w:marTop w:val="0"/>
      <w:marBottom w:val="0"/>
      <w:divBdr>
        <w:top w:val="none" w:sz="0" w:space="0" w:color="auto"/>
        <w:left w:val="none" w:sz="0" w:space="0" w:color="auto"/>
        <w:bottom w:val="none" w:sz="0" w:space="0" w:color="auto"/>
        <w:right w:val="none" w:sz="0" w:space="0" w:color="auto"/>
      </w:divBdr>
      <w:divsChild>
        <w:div w:id="1772969320">
          <w:marLeft w:val="0"/>
          <w:marRight w:val="0"/>
          <w:marTop w:val="0"/>
          <w:marBottom w:val="0"/>
          <w:divBdr>
            <w:top w:val="none" w:sz="0" w:space="0" w:color="auto"/>
            <w:left w:val="none" w:sz="0" w:space="0" w:color="auto"/>
            <w:bottom w:val="none" w:sz="0" w:space="0" w:color="auto"/>
            <w:right w:val="none" w:sz="0" w:space="0" w:color="auto"/>
          </w:divBdr>
          <w:divsChild>
            <w:div w:id="1258636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98232">
      <w:bodyDiv w:val="1"/>
      <w:marLeft w:val="0"/>
      <w:marRight w:val="0"/>
      <w:marTop w:val="0"/>
      <w:marBottom w:val="0"/>
      <w:divBdr>
        <w:top w:val="none" w:sz="0" w:space="0" w:color="auto"/>
        <w:left w:val="none" w:sz="0" w:space="0" w:color="auto"/>
        <w:bottom w:val="none" w:sz="0" w:space="0" w:color="auto"/>
        <w:right w:val="none" w:sz="0" w:space="0" w:color="auto"/>
      </w:divBdr>
      <w:divsChild>
        <w:div w:id="2071802864">
          <w:marLeft w:val="0"/>
          <w:marRight w:val="0"/>
          <w:marTop w:val="0"/>
          <w:marBottom w:val="0"/>
          <w:divBdr>
            <w:top w:val="none" w:sz="0" w:space="0" w:color="auto"/>
            <w:left w:val="none" w:sz="0" w:space="0" w:color="auto"/>
            <w:bottom w:val="none" w:sz="0" w:space="0" w:color="auto"/>
            <w:right w:val="none" w:sz="0" w:space="0" w:color="auto"/>
          </w:divBdr>
          <w:divsChild>
            <w:div w:id="102301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520835">
      <w:bodyDiv w:val="1"/>
      <w:marLeft w:val="0"/>
      <w:marRight w:val="0"/>
      <w:marTop w:val="0"/>
      <w:marBottom w:val="0"/>
      <w:divBdr>
        <w:top w:val="none" w:sz="0" w:space="0" w:color="auto"/>
        <w:left w:val="none" w:sz="0" w:space="0" w:color="auto"/>
        <w:bottom w:val="none" w:sz="0" w:space="0" w:color="auto"/>
        <w:right w:val="none" w:sz="0" w:space="0" w:color="auto"/>
      </w:divBdr>
    </w:div>
    <w:div w:id="424889689">
      <w:bodyDiv w:val="1"/>
      <w:marLeft w:val="0"/>
      <w:marRight w:val="0"/>
      <w:marTop w:val="0"/>
      <w:marBottom w:val="0"/>
      <w:divBdr>
        <w:top w:val="none" w:sz="0" w:space="0" w:color="auto"/>
        <w:left w:val="none" w:sz="0" w:space="0" w:color="auto"/>
        <w:bottom w:val="none" w:sz="0" w:space="0" w:color="auto"/>
        <w:right w:val="none" w:sz="0" w:space="0" w:color="auto"/>
      </w:divBdr>
    </w:div>
    <w:div w:id="456949199">
      <w:bodyDiv w:val="1"/>
      <w:marLeft w:val="0"/>
      <w:marRight w:val="0"/>
      <w:marTop w:val="0"/>
      <w:marBottom w:val="0"/>
      <w:divBdr>
        <w:top w:val="none" w:sz="0" w:space="0" w:color="auto"/>
        <w:left w:val="none" w:sz="0" w:space="0" w:color="auto"/>
        <w:bottom w:val="none" w:sz="0" w:space="0" w:color="auto"/>
        <w:right w:val="none" w:sz="0" w:space="0" w:color="auto"/>
      </w:divBdr>
      <w:divsChild>
        <w:div w:id="1382484062">
          <w:marLeft w:val="0"/>
          <w:marRight w:val="0"/>
          <w:marTop w:val="0"/>
          <w:marBottom w:val="0"/>
          <w:divBdr>
            <w:top w:val="none" w:sz="0" w:space="0" w:color="auto"/>
            <w:left w:val="none" w:sz="0" w:space="0" w:color="auto"/>
            <w:bottom w:val="none" w:sz="0" w:space="0" w:color="auto"/>
            <w:right w:val="none" w:sz="0" w:space="0" w:color="auto"/>
          </w:divBdr>
          <w:divsChild>
            <w:div w:id="22815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123361">
      <w:bodyDiv w:val="1"/>
      <w:marLeft w:val="0"/>
      <w:marRight w:val="0"/>
      <w:marTop w:val="0"/>
      <w:marBottom w:val="0"/>
      <w:divBdr>
        <w:top w:val="none" w:sz="0" w:space="0" w:color="auto"/>
        <w:left w:val="none" w:sz="0" w:space="0" w:color="auto"/>
        <w:bottom w:val="none" w:sz="0" w:space="0" w:color="auto"/>
        <w:right w:val="none" w:sz="0" w:space="0" w:color="auto"/>
      </w:divBdr>
      <w:divsChild>
        <w:div w:id="566303490">
          <w:marLeft w:val="0"/>
          <w:marRight w:val="0"/>
          <w:marTop w:val="105"/>
          <w:marBottom w:val="0"/>
          <w:divBdr>
            <w:top w:val="none" w:sz="0" w:space="0" w:color="auto"/>
            <w:left w:val="none" w:sz="0" w:space="0" w:color="auto"/>
            <w:bottom w:val="none" w:sz="0" w:space="0" w:color="auto"/>
            <w:right w:val="none" w:sz="0" w:space="0" w:color="auto"/>
          </w:divBdr>
          <w:divsChild>
            <w:div w:id="573244947">
              <w:marLeft w:val="0"/>
              <w:marRight w:val="0"/>
              <w:marTop w:val="0"/>
              <w:marBottom w:val="0"/>
              <w:divBdr>
                <w:top w:val="single" w:sz="18" w:space="0" w:color="2D6282"/>
                <w:left w:val="single" w:sz="18" w:space="0" w:color="2D6282"/>
                <w:bottom w:val="single" w:sz="18" w:space="0" w:color="2D6282"/>
                <w:right w:val="single" w:sz="18" w:space="0" w:color="2D6282"/>
              </w:divBdr>
              <w:divsChild>
                <w:div w:id="114833863">
                  <w:marLeft w:val="0"/>
                  <w:marRight w:val="0"/>
                  <w:marTop w:val="0"/>
                  <w:marBottom w:val="0"/>
                  <w:divBdr>
                    <w:top w:val="none" w:sz="0" w:space="0" w:color="auto"/>
                    <w:left w:val="single" w:sz="6" w:space="0" w:color="CAD8E0"/>
                    <w:bottom w:val="none" w:sz="0" w:space="0" w:color="auto"/>
                    <w:right w:val="single" w:sz="6" w:space="0" w:color="CAD8E0"/>
                  </w:divBdr>
                  <w:divsChild>
                    <w:div w:id="1437283882">
                      <w:marLeft w:val="0"/>
                      <w:marRight w:val="0"/>
                      <w:marTop w:val="0"/>
                      <w:marBottom w:val="0"/>
                      <w:divBdr>
                        <w:top w:val="none" w:sz="0" w:space="0" w:color="auto"/>
                        <w:left w:val="none" w:sz="0" w:space="0" w:color="auto"/>
                        <w:bottom w:val="none" w:sz="0" w:space="0" w:color="auto"/>
                        <w:right w:val="none" w:sz="0" w:space="0" w:color="auto"/>
                      </w:divBdr>
                      <w:divsChild>
                        <w:div w:id="956639407">
                          <w:marLeft w:val="3030"/>
                          <w:marRight w:val="0"/>
                          <w:marTop w:val="0"/>
                          <w:marBottom w:val="0"/>
                          <w:divBdr>
                            <w:top w:val="none" w:sz="0" w:space="0" w:color="auto"/>
                            <w:left w:val="none" w:sz="0" w:space="0" w:color="auto"/>
                            <w:bottom w:val="none" w:sz="0" w:space="0" w:color="auto"/>
                            <w:right w:val="none" w:sz="0" w:space="0" w:color="auto"/>
                          </w:divBdr>
                          <w:divsChild>
                            <w:div w:id="626356033">
                              <w:marLeft w:val="0"/>
                              <w:marRight w:val="0"/>
                              <w:marTop w:val="0"/>
                              <w:marBottom w:val="0"/>
                              <w:divBdr>
                                <w:top w:val="none" w:sz="0" w:space="0" w:color="auto"/>
                                <w:left w:val="none" w:sz="0" w:space="0" w:color="auto"/>
                                <w:bottom w:val="none" w:sz="0" w:space="0" w:color="auto"/>
                                <w:right w:val="none" w:sz="0" w:space="0" w:color="auto"/>
                              </w:divBdr>
                              <w:divsChild>
                                <w:div w:id="640232368">
                                  <w:marLeft w:val="0"/>
                                  <w:marRight w:val="0"/>
                                  <w:marTop w:val="150"/>
                                  <w:marBottom w:val="0"/>
                                  <w:divBdr>
                                    <w:top w:val="none" w:sz="0" w:space="0" w:color="auto"/>
                                    <w:left w:val="none" w:sz="0" w:space="0" w:color="auto"/>
                                    <w:bottom w:val="none" w:sz="0" w:space="0" w:color="auto"/>
                                    <w:right w:val="none" w:sz="0" w:space="0" w:color="auto"/>
                                  </w:divBdr>
                                  <w:divsChild>
                                    <w:div w:id="2001345365">
                                      <w:marLeft w:val="0"/>
                                      <w:marRight w:val="0"/>
                                      <w:marTop w:val="0"/>
                                      <w:marBottom w:val="0"/>
                                      <w:divBdr>
                                        <w:top w:val="none" w:sz="0" w:space="0" w:color="auto"/>
                                        <w:left w:val="none" w:sz="0" w:space="0" w:color="auto"/>
                                        <w:bottom w:val="none" w:sz="0" w:space="0" w:color="auto"/>
                                        <w:right w:val="none" w:sz="0" w:space="0" w:color="auto"/>
                                      </w:divBdr>
                                      <w:divsChild>
                                        <w:div w:id="481655873">
                                          <w:marLeft w:val="0"/>
                                          <w:marRight w:val="0"/>
                                          <w:marTop w:val="0"/>
                                          <w:marBottom w:val="0"/>
                                          <w:divBdr>
                                            <w:top w:val="none" w:sz="0" w:space="0" w:color="auto"/>
                                            <w:left w:val="none" w:sz="0" w:space="0" w:color="auto"/>
                                            <w:bottom w:val="none" w:sz="0" w:space="0" w:color="auto"/>
                                            <w:right w:val="none" w:sz="0" w:space="0" w:color="auto"/>
                                          </w:divBdr>
                                          <w:divsChild>
                                            <w:div w:id="1673947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24241001">
      <w:bodyDiv w:val="1"/>
      <w:marLeft w:val="0"/>
      <w:marRight w:val="0"/>
      <w:marTop w:val="0"/>
      <w:marBottom w:val="0"/>
      <w:divBdr>
        <w:top w:val="none" w:sz="0" w:space="0" w:color="auto"/>
        <w:left w:val="none" w:sz="0" w:space="0" w:color="auto"/>
        <w:bottom w:val="none" w:sz="0" w:space="0" w:color="auto"/>
        <w:right w:val="none" w:sz="0" w:space="0" w:color="auto"/>
      </w:divBdr>
      <w:divsChild>
        <w:div w:id="572079866">
          <w:marLeft w:val="0"/>
          <w:marRight w:val="0"/>
          <w:marTop w:val="0"/>
          <w:marBottom w:val="0"/>
          <w:divBdr>
            <w:top w:val="none" w:sz="0" w:space="0" w:color="auto"/>
            <w:left w:val="none" w:sz="0" w:space="0" w:color="auto"/>
            <w:bottom w:val="none" w:sz="0" w:space="0" w:color="auto"/>
            <w:right w:val="none" w:sz="0" w:space="0" w:color="auto"/>
          </w:divBdr>
          <w:divsChild>
            <w:div w:id="154259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859535">
      <w:bodyDiv w:val="1"/>
      <w:marLeft w:val="0"/>
      <w:marRight w:val="0"/>
      <w:marTop w:val="0"/>
      <w:marBottom w:val="0"/>
      <w:divBdr>
        <w:top w:val="none" w:sz="0" w:space="0" w:color="auto"/>
        <w:left w:val="none" w:sz="0" w:space="0" w:color="auto"/>
        <w:bottom w:val="none" w:sz="0" w:space="0" w:color="auto"/>
        <w:right w:val="none" w:sz="0" w:space="0" w:color="auto"/>
      </w:divBdr>
    </w:div>
    <w:div w:id="868764765">
      <w:bodyDiv w:val="1"/>
      <w:marLeft w:val="0"/>
      <w:marRight w:val="0"/>
      <w:marTop w:val="0"/>
      <w:marBottom w:val="0"/>
      <w:divBdr>
        <w:top w:val="none" w:sz="0" w:space="0" w:color="auto"/>
        <w:left w:val="none" w:sz="0" w:space="0" w:color="auto"/>
        <w:bottom w:val="none" w:sz="0" w:space="0" w:color="auto"/>
        <w:right w:val="none" w:sz="0" w:space="0" w:color="auto"/>
      </w:divBdr>
    </w:div>
    <w:div w:id="929696596">
      <w:bodyDiv w:val="1"/>
      <w:marLeft w:val="0"/>
      <w:marRight w:val="0"/>
      <w:marTop w:val="0"/>
      <w:marBottom w:val="0"/>
      <w:divBdr>
        <w:top w:val="none" w:sz="0" w:space="0" w:color="auto"/>
        <w:left w:val="none" w:sz="0" w:space="0" w:color="auto"/>
        <w:bottom w:val="none" w:sz="0" w:space="0" w:color="auto"/>
        <w:right w:val="none" w:sz="0" w:space="0" w:color="auto"/>
      </w:divBdr>
    </w:div>
    <w:div w:id="933199582">
      <w:bodyDiv w:val="1"/>
      <w:marLeft w:val="0"/>
      <w:marRight w:val="0"/>
      <w:marTop w:val="0"/>
      <w:marBottom w:val="0"/>
      <w:divBdr>
        <w:top w:val="none" w:sz="0" w:space="0" w:color="auto"/>
        <w:left w:val="none" w:sz="0" w:space="0" w:color="auto"/>
        <w:bottom w:val="none" w:sz="0" w:space="0" w:color="auto"/>
        <w:right w:val="none" w:sz="0" w:space="0" w:color="auto"/>
      </w:divBdr>
      <w:divsChild>
        <w:div w:id="1945768939">
          <w:marLeft w:val="0"/>
          <w:marRight w:val="0"/>
          <w:marTop w:val="0"/>
          <w:marBottom w:val="0"/>
          <w:divBdr>
            <w:top w:val="none" w:sz="0" w:space="0" w:color="auto"/>
            <w:left w:val="none" w:sz="0" w:space="0" w:color="auto"/>
            <w:bottom w:val="none" w:sz="0" w:space="0" w:color="auto"/>
            <w:right w:val="none" w:sz="0" w:space="0" w:color="auto"/>
          </w:divBdr>
          <w:divsChild>
            <w:div w:id="32317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530845">
      <w:bodyDiv w:val="1"/>
      <w:marLeft w:val="0"/>
      <w:marRight w:val="0"/>
      <w:marTop w:val="0"/>
      <w:marBottom w:val="0"/>
      <w:divBdr>
        <w:top w:val="none" w:sz="0" w:space="0" w:color="auto"/>
        <w:left w:val="none" w:sz="0" w:space="0" w:color="auto"/>
        <w:bottom w:val="none" w:sz="0" w:space="0" w:color="auto"/>
        <w:right w:val="none" w:sz="0" w:space="0" w:color="auto"/>
      </w:divBdr>
    </w:div>
    <w:div w:id="975259910">
      <w:bodyDiv w:val="1"/>
      <w:marLeft w:val="0"/>
      <w:marRight w:val="0"/>
      <w:marTop w:val="0"/>
      <w:marBottom w:val="0"/>
      <w:divBdr>
        <w:top w:val="none" w:sz="0" w:space="0" w:color="auto"/>
        <w:left w:val="none" w:sz="0" w:space="0" w:color="auto"/>
        <w:bottom w:val="none" w:sz="0" w:space="0" w:color="auto"/>
        <w:right w:val="none" w:sz="0" w:space="0" w:color="auto"/>
      </w:divBdr>
      <w:divsChild>
        <w:div w:id="1110320916">
          <w:marLeft w:val="0"/>
          <w:marRight w:val="0"/>
          <w:marTop w:val="0"/>
          <w:marBottom w:val="0"/>
          <w:divBdr>
            <w:top w:val="none" w:sz="0" w:space="0" w:color="auto"/>
            <w:left w:val="none" w:sz="0" w:space="0" w:color="auto"/>
            <w:bottom w:val="none" w:sz="0" w:space="0" w:color="auto"/>
            <w:right w:val="none" w:sz="0" w:space="0" w:color="auto"/>
          </w:divBdr>
          <w:divsChild>
            <w:div w:id="1174414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325751">
      <w:bodyDiv w:val="1"/>
      <w:marLeft w:val="0"/>
      <w:marRight w:val="0"/>
      <w:marTop w:val="0"/>
      <w:marBottom w:val="0"/>
      <w:divBdr>
        <w:top w:val="none" w:sz="0" w:space="0" w:color="auto"/>
        <w:left w:val="none" w:sz="0" w:space="0" w:color="auto"/>
        <w:bottom w:val="none" w:sz="0" w:space="0" w:color="auto"/>
        <w:right w:val="none" w:sz="0" w:space="0" w:color="auto"/>
      </w:divBdr>
    </w:div>
    <w:div w:id="1090272392">
      <w:bodyDiv w:val="1"/>
      <w:marLeft w:val="0"/>
      <w:marRight w:val="0"/>
      <w:marTop w:val="0"/>
      <w:marBottom w:val="0"/>
      <w:divBdr>
        <w:top w:val="none" w:sz="0" w:space="0" w:color="auto"/>
        <w:left w:val="none" w:sz="0" w:space="0" w:color="auto"/>
        <w:bottom w:val="none" w:sz="0" w:space="0" w:color="auto"/>
        <w:right w:val="none" w:sz="0" w:space="0" w:color="auto"/>
      </w:divBdr>
      <w:divsChild>
        <w:div w:id="433133231">
          <w:marLeft w:val="0"/>
          <w:marRight w:val="0"/>
          <w:marTop w:val="0"/>
          <w:marBottom w:val="0"/>
          <w:divBdr>
            <w:top w:val="none" w:sz="0" w:space="0" w:color="auto"/>
            <w:left w:val="none" w:sz="0" w:space="0" w:color="auto"/>
            <w:bottom w:val="none" w:sz="0" w:space="0" w:color="auto"/>
            <w:right w:val="none" w:sz="0" w:space="0" w:color="auto"/>
          </w:divBdr>
          <w:divsChild>
            <w:div w:id="142083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2380530">
      <w:bodyDiv w:val="1"/>
      <w:marLeft w:val="0"/>
      <w:marRight w:val="0"/>
      <w:marTop w:val="0"/>
      <w:marBottom w:val="0"/>
      <w:divBdr>
        <w:top w:val="none" w:sz="0" w:space="0" w:color="auto"/>
        <w:left w:val="none" w:sz="0" w:space="0" w:color="auto"/>
        <w:bottom w:val="none" w:sz="0" w:space="0" w:color="auto"/>
        <w:right w:val="none" w:sz="0" w:space="0" w:color="auto"/>
      </w:divBdr>
    </w:div>
    <w:div w:id="1243174470">
      <w:bodyDiv w:val="1"/>
      <w:marLeft w:val="0"/>
      <w:marRight w:val="0"/>
      <w:marTop w:val="0"/>
      <w:marBottom w:val="0"/>
      <w:divBdr>
        <w:top w:val="none" w:sz="0" w:space="0" w:color="auto"/>
        <w:left w:val="none" w:sz="0" w:space="0" w:color="auto"/>
        <w:bottom w:val="none" w:sz="0" w:space="0" w:color="auto"/>
        <w:right w:val="none" w:sz="0" w:space="0" w:color="auto"/>
      </w:divBdr>
    </w:div>
    <w:div w:id="1256207230">
      <w:bodyDiv w:val="1"/>
      <w:marLeft w:val="0"/>
      <w:marRight w:val="0"/>
      <w:marTop w:val="0"/>
      <w:marBottom w:val="0"/>
      <w:divBdr>
        <w:top w:val="none" w:sz="0" w:space="0" w:color="auto"/>
        <w:left w:val="none" w:sz="0" w:space="0" w:color="auto"/>
        <w:bottom w:val="none" w:sz="0" w:space="0" w:color="auto"/>
        <w:right w:val="none" w:sz="0" w:space="0" w:color="auto"/>
      </w:divBdr>
    </w:div>
    <w:div w:id="1345477197">
      <w:bodyDiv w:val="1"/>
      <w:marLeft w:val="0"/>
      <w:marRight w:val="0"/>
      <w:marTop w:val="0"/>
      <w:marBottom w:val="0"/>
      <w:divBdr>
        <w:top w:val="none" w:sz="0" w:space="0" w:color="auto"/>
        <w:left w:val="none" w:sz="0" w:space="0" w:color="auto"/>
        <w:bottom w:val="none" w:sz="0" w:space="0" w:color="auto"/>
        <w:right w:val="none" w:sz="0" w:space="0" w:color="auto"/>
      </w:divBdr>
    </w:div>
    <w:div w:id="1497455955">
      <w:bodyDiv w:val="1"/>
      <w:marLeft w:val="0"/>
      <w:marRight w:val="0"/>
      <w:marTop w:val="0"/>
      <w:marBottom w:val="0"/>
      <w:divBdr>
        <w:top w:val="none" w:sz="0" w:space="0" w:color="auto"/>
        <w:left w:val="none" w:sz="0" w:space="0" w:color="auto"/>
        <w:bottom w:val="none" w:sz="0" w:space="0" w:color="auto"/>
        <w:right w:val="none" w:sz="0" w:space="0" w:color="auto"/>
      </w:divBdr>
    </w:div>
    <w:div w:id="1616133135">
      <w:bodyDiv w:val="1"/>
      <w:marLeft w:val="0"/>
      <w:marRight w:val="0"/>
      <w:marTop w:val="0"/>
      <w:marBottom w:val="0"/>
      <w:divBdr>
        <w:top w:val="none" w:sz="0" w:space="0" w:color="auto"/>
        <w:left w:val="none" w:sz="0" w:space="0" w:color="auto"/>
        <w:bottom w:val="none" w:sz="0" w:space="0" w:color="auto"/>
        <w:right w:val="none" w:sz="0" w:space="0" w:color="auto"/>
      </w:divBdr>
      <w:divsChild>
        <w:div w:id="471798344">
          <w:marLeft w:val="0"/>
          <w:marRight w:val="0"/>
          <w:marTop w:val="0"/>
          <w:marBottom w:val="0"/>
          <w:divBdr>
            <w:top w:val="none" w:sz="0" w:space="0" w:color="auto"/>
            <w:left w:val="none" w:sz="0" w:space="0" w:color="auto"/>
            <w:bottom w:val="none" w:sz="0" w:space="0" w:color="auto"/>
            <w:right w:val="none" w:sz="0" w:space="0" w:color="auto"/>
          </w:divBdr>
          <w:divsChild>
            <w:div w:id="1896771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83247">
      <w:bodyDiv w:val="1"/>
      <w:marLeft w:val="0"/>
      <w:marRight w:val="0"/>
      <w:marTop w:val="0"/>
      <w:marBottom w:val="0"/>
      <w:divBdr>
        <w:top w:val="none" w:sz="0" w:space="0" w:color="auto"/>
        <w:left w:val="none" w:sz="0" w:space="0" w:color="auto"/>
        <w:bottom w:val="none" w:sz="0" w:space="0" w:color="auto"/>
        <w:right w:val="none" w:sz="0" w:space="0" w:color="auto"/>
      </w:divBdr>
    </w:div>
    <w:div w:id="1838034550">
      <w:bodyDiv w:val="1"/>
      <w:marLeft w:val="0"/>
      <w:marRight w:val="0"/>
      <w:marTop w:val="0"/>
      <w:marBottom w:val="0"/>
      <w:divBdr>
        <w:top w:val="none" w:sz="0" w:space="0" w:color="auto"/>
        <w:left w:val="none" w:sz="0" w:space="0" w:color="auto"/>
        <w:bottom w:val="none" w:sz="0" w:space="0" w:color="auto"/>
        <w:right w:val="none" w:sz="0" w:space="0" w:color="auto"/>
      </w:divBdr>
    </w:div>
    <w:div w:id="1872958438">
      <w:bodyDiv w:val="1"/>
      <w:marLeft w:val="0"/>
      <w:marRight w:val="0"/>
      <w:marTop w:val="0"/>
      <w:marBottom w:val="0"/>
      <w:divBdr>
        <w:top w:val="none" w:sz="0" w:space="0" w:color="auto"/>
        <w:left w:val="none" w:sz="0" w:space="0" w:color="auto"/>
        <w:bottom w:val="none" w:sz="0" w:space="0" w:color="auto"/>
        <w:right w:val="none" w:sz="0" w:space="0" w:color="auto"/>
      </w:divBdr>
    </w:div>
    <w:div w:id="2003005616">
      <w:bodyDiv w:val="1"/>
      <w:marLeft w:val="0"/>
      <w:marRight w:val="0"/>
      <w:marTop w:val="0"/>
      <w:marBottom w:val="0"/>
      <w:divBdr>
        <w:top w:val="none" w:sz="0" w:space="0" w:color="auto"/>
        <w:left w:val="none" w:sz="0" w:space="0" w:color="auto"/>
        <w:bottom w:val="none" w:sz="0" w:space="0" w:color="auto"/>
        <w:right w:val="none" w:sz="0" w:space="0" w:color="auto"/>
      </w:divBdr>
    </w:div>
    <w:div w:id="2046128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oncesionvialdelosllanos.c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cllanos.co" TargetMode="External"/><Relationship Id="rId17" Type="http://schemas.microsoft.com/office/2011/relationships/people" Target="people.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Archivos%20de%20programa\Microsoft%20Office\Plantillas\~wd09.tmp"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FE58336-3986-485A-A6E5-689132D125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~wd09.tmp</Template>
  <TotalTime>11</TotalTime>
  <Pages>1</Pages>
  <Words>5397</Words>
  <Characters>29684</Characters>
  <Application>Microsoft Office Word</Application>
  <DocSecurity>0</DocSecurity>
  <Lines>247</Lines>
  <Paragraphs>70</Paragraphs>
  <ScaleCrop>false</ScaleCrop>
  <HeadingPairs>
    <vt:vector size="2" baseType="variant">
      <vt:variant>
        <vt:lpstr>Título</vt:lpstr>
      </vt:variant>
      <vt:variant>
        <vt:i4>1</vt:i4>
      </vt:variant>
    </vt:vector>
  </HeadingPairs>
  <TitlesOfParts>
    <vt:vector size="1" baseType="lpstr">
      <vt:lpstr>SERVI001</vt:lpstr>
    </vt:vector>
  </TitlesOfParts>
  <Company/>
  <LinksUpToDate>false</LinksUpToDate>
  <CharactersWithSpaces>35011</CharactersWithSpaces>
  <SharedDoc>false</SharedDoc>
  <HLinks>
    <vt:vector size="12" baseType="variant">
      <vt:variant>
        <vt:i4>6815806</vt:i4>
      </vt:variant>
      <vt:variant>
        <vt:i4>3</vt:i4>
      </vt:variant>
      <vt:variant>
        <vt:i4>0</vt:i4>
      </vt:variant>
      <vt:variant>
        <vt:i4>5</vt:i4>
      </vt:variant>
      <vt:variant>
        <vt:lpwstr>http://www.concesionvialdelosllanos.co/</vt:lpwstr>
      </vt:variant>
      <vt:variant>
        <vt:lpwstr/>
      </vt:variant>
      <vt:variant>
        <vt:i4>7667827</vt:i4>
      </vt:variant>
      <vt:variant>
        <vt:i4>0</vt:i4>
      </vt:variant>
      <vt:variant>
        <vt:i4>0</vt:i4>
      </vt:variant>
      <vt:variant>
        <vt:i4>5</vt:i4>
      </vt:variant>
      <vt:variant>
        <vt:lpwstr>http://www.cllanos.co/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SERVI001</dc:title>
  <dc:creator>Ministerio de Transporte</dc:creator>
  <cp:lastModifiedBy>Sonia Jaqueline Angarita Salazar</cp:lastModifiedBy>
  <cp:revision>2</cp:revision>
  <cp:lastPrinted>2014-10-07T15:16:00Z</cp:lastPrinted>
  <dcterms:created xsi:type="dcterms:W3CDTF">2015-12-30T15:51:00Z</dcterms:created>
  <dcterms:modified xsi:type="dcterms:W3CDTF">2015-12-30T15:51:00Z</dcterms:modified>
</cp:coreProperties>
</file>