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67" w:rsidRDefault="005F5E67">
      <w:pPr>
        <w:keepNext/>
        <w:tabs>
          <w:tab w:val="left" w:pos="4253"/>
        </w:tabs>
        <w:jc w:val="center"/>
        <w:rPr>
          <w:rFonts w:ascii="Calibri Light" w:eastAsia="Times New Roman" w:hAnsi="Calibri Light" w:cs="Times New Roman"/>
          <w:b/>
          <w:lang w:val="es" w:eastAsia="es-ES"/>
        </w:rPr>
      </w:pPr>
      <w:bookmarkStart w:id="0" w:name="_GoBack"/>
      <w:bookmarkEnd w:id="0"/>
    </w:p>
    <w:p w:rsidR="005F5E67" w:rsidRDefault="005F5E67">
      <w:pPr>
        <w:keepNext/>
        <w:tabs>
          <w:tab w:val="left" w:pos="4253"/>
        </w:tabs>
        <w:jc w:val="center"/>
        <w:rPr>
          <w:rFonts w:ascii="Calibri Light" w:eastAsia="Times New Roman" w:hAnsi="Calibri Light" w:cs="Times New Roman"/>
          <w:b/>
          <w:lang w:val="es" w:eastAsia="es-ES"/>
        </w:rPr>
      </w:pPr>
    </w:p>
    <w:p w:rsidR="005F5E67" w:rsidRDefault="005F5E67">
      <w:pPr>
        <w:keepNext/>
        <w:tabs>
          <w:tab w:val="left" w:pos="4253"/>
        </w:tabs>
        <w:jc w:val="center"/>
        <w:rPr>
          <w:rFonts w:ascii="Calibri Light" w:eastAsia="Times New Roman" w:hAnsi="Calibri Light" w:cs="Times New Roman"/>
          <w:b/>
          <w:lang w:val="es" w:eastAsia="es-ES"/>
        </w:rPr>
      </w:pPr>
    </w:p>
    <w:p w:rsidR="005F5E67" w:rsidRDefault="005F5E67">
      <w:pPr>
        <w:keepNext/>
        <w:tabs>
          <w:tab w:val="left" w:pos="4253"/>
        </w:tabs>
        <w:jc w:val="center"/>
        <w:rPr>
          <w:rFonts w:ascii="Calibri Light" w:eastAsia="Times New Roman" w:hAnsi="Calibri Light" w:cs="Times New Roman"/>
          <w:b/>
          <w:lang w:val="es" w:eastAsia="es-ES"/>
        </w:rPr>
      </w:pPr>
    </w:p>
    <w:p w:rsidR="005F5E67" w:rsidRDefault="00307F2A">
      <w:pPr>
        <w:pStyle w:val="Ttulo2"/>
        <w:tabs>
          <w:tab w:val="left" w:pos="4253"/>
        </w:tabs>
        <w:rPr>
          <w:rFonts w:ascii="Times New Roman" w:hAnsi="Times New Roman"/>
          <w:sz w:val="22"/>
          <w:szCs w:val="22"/>
        </w:rPr>
      </w:pPr>
      <w:r>
        <w:rPr>
          <w:rFonts w:ascii="Times New Roman" w:hAnsi="Times New Roman"/>
          <w:sz w:val="22"/>
          <w:szCs w:val="22"/>
        </w:rPr>
        <w:t>RESOLUCIÓN  NÚMERO                                          DE 2015</w:t>
      </w:r>
    </w:p>
    <w:p w:rsidR="005F5E67" w:rsidRDefault="005F5E67">
      <w:pPr>
        <w:pStyle w:val="toa"/>
        <w:tabs>
          <w:tab w:val="clear" w:pos="9000"/>
          <w:tab w:val="clear" w:pos="9360"/>
        </w:tabs>
        <w:suppressAutoHyphens w:val="0"/>
        <w:jc w:val="center"/>
        <w:rPr>
          <w:rFonts w:ascii="Times New Roman" w:hAnsi="Times New Roman"/>
          <w:sz w:val="22"/>
          <w:szCs w:val="22"/>
          <w:lang w:val="es-ES_tradnl"/>
        </w:rPr>
      </w:pPr>
    </w:p>
    <w:p w:rsidR="005F5E67" w:rsidRDefault="005F5E67">
      <w:pPr>
        <w:pStyle w:val="toa"/>
        <w:tabs>
          <w:tab w:val="clear" w:pos="9000"/>
          <w:tab w:val="clear" w:pos="9360"/>
        </w:tabs>
        <w:suppressAutoHyphens w:val="0"/>
        <w:jc w:val="center"/>
        <w:rPr>
          <w:rFonts w:ascii="Times New Roman" w:hAnsi="Times New Roman"/>
          <w:b/>
          <w:sz w:val="22"/>
          <w:szCs w:val="22"/>
          <w:lang w:val="es-ES_tradnl"/>
        </w:rPr>
      </w:pPr>
    </w:p>
    <w:p w:rsidR="005F5E67" w:rsidRPr="00337871" w:rsidRDefault="00307F2A">
      <w:pPr>
        <w:pStyle w:val="toa"/>
        <w:tabs>
          <w:tab w:val="clear" w:pos="9000"/>
          <w:tab w:val="clear" w:pos="9360"/>
        </w:tabs>
        <w:suppressAutoHyphens w:val="0"/>
        <w:jc w:val="center"/>
        <w:rPr>
          <w:lang w:val="es-MX"/>
        </w:rPr>
      </w:pPr>
      <w:r>
        <w:rPr>
          <w:rFonts w:ascii="Times New Roman" w:hAnsi="Times New Roman"/>
          <w:b/>
          <w:sz w:val="22"/>
          <w:szCs w:val="22"/>
          <w:lang w:val="es-ES_tradnl"/>
        </w:rPr>
        <w:t xml:space="preserve">(                                             </w:t>
      </w:r>
      <w:r>
        <w:rPr>
          <w:rFonts w:ascii="Times New Roman" w:hAnsi="Times New Roman"/>
          <w:sz w:val="22"/>
          <w:szCs w:val="22"/>
          <w:lang w:val="es-ES_tradnl"/>
        </w:rPr>
        <w:t>)</w:t>
      </w:r>
    </w:p>
    <w:p w:rsidR="005F5E67" w:rsidRDefault="005F5E67">
      <w:pPr>
        <w:pStyle w:val="Default"/>
        <w:jc w:val="center"/>
        <w:rPr>
          <w:rFonts w:ascii="Times New Roman" w:hAnsi="Times New Roman" w:cs="Times New Roman"/>
          <w:sz w:val="22"/>
          <w:szCs w:val="22"/>
        </w:rPr>
      </w:pPr>
    </w:p>
    <w:p w:rsidR="005F5E67" w:rsidRDefault="005F5E67">
      <w:pPr>
        <w:pStyle w:val="Default"/>
        <w:jc w:val="center"/>
        <w:rPr>
          <w:rFonts w:ascii="Times New Roman" w:hAnsi="Times New Roman" w:cs="Times New Roman"/>
          <w:sz w:val="22"/>
          <w:szCs w:val="22"/>
        </w:rPr>
      </w:pPr>
    </w:p>
    <w:p w:rsidR="005F5E67" w:rsidRDefault="00307F2A">
      <w:pPr>
        <w:pStyle w:val="Default"/>
        <w:jc w:val="center"/>
        <w:rPr>
          <w:rFonts w:ascii="Times New Roman" w:hAnsi="Times New Roman" w:cs="Times New Roman"/>
          <w:sz w:val="22"/>
          <w:szCs w:val="22"/>
        </w:rPr>
      </w:pPr>
      <w:r>
        <w:rPr>
          <w:rFonts w:ascii="Times New Roman" w:hAnsi="Times New Roman" w:cs="Times New Roman"/>
          <w:sz w:val="22"/>
          <w:szCs w:val="22"/>
        </w:rPr>
        <w:t xml:space="preserve">“Por la cual se emite Concepto vinculante previo al </w:t>
      </w:r>
      <w:r>
        <w:rPr>
          <w:rFonts w:ascii="Times New Roman" w:hAnsi="Times New Roman" w:cs="Times New Roman"/>
          <w:sz w:val="22"/>
          <w:szCs w:val="22"/>
        </w:rPr>
        <w:t>establecimiento de una estación de peaje denominada El Cairo y sus puntos de control de acceso, y se establecen las tarifas a cobrar en las estaciones denominadas El Cairo, Iracá, Ocoa, la Libertad, Casetabla y Yucao que formarán parte del Proyecto vial de</w:t>
      </w:r>
      <w:r>
        <w:rPr>
          <w:rFonts w:ascii="Times New Roman" w:hAnsi="Times New Roman" w:cs="Times New Roman"/>
          <w:sz w:val="22"/>
          <w:szCs w:val="22"/>
        </w:rPr>
        <w:t xml:space="preserve"> Iniciativa Privada Malla Vial del Meta “I.P. Malla Vial del Meta” y se dictan otras disposiciones”</w:t>
      </w:r>
    </w:p>
    <w:p w:rsidR="005F5E67" w:rsidRDefault="005F5E67">
      <w:pPr>
        <w:pStyle w:val="Default"/>
        <w:jc w:val="center"/>
        <w:rPr>
          <w:rFonts w:ascii="Times New Roman" w:hAnsi="Times New Roman" w:cs="Times New Roman"/>
          <w:sz w:val="22"/>
          <w:szCs w:val="22"/>
        </w:rPr>
      </w:pPr>
    </w:p>
    <w:p w:rsidR="005F5E67" w:rsidRDefault="005F5E67">
      <w:pPr>
        <w:jc w:val="center"/>
        <w:rPr>
          <w:rFonts w:ascii="Times New Roman" w:hAnsi="Times New Roman"/>
          <w:b/>
          <w:i/>
          <w:sz w:val="22"/>
          <w:szCs w:val="22"/>
        </w:rPr>
      </w:pPr>
    </w:p>
    <w:p w:rsidR="005F5E67" w:rsidRDefault="00307F2A">
      <w:pPr>
        <w:jc w:val="center"/>
        <w:rPr>
          <w:rFonts w:ascii="Times New Roman" w:hAnsi="Times New Roman"/>
          <w:b/>
          <w:sz w:val="22"/>
          <w:szCs w:val="22"/>
        </w:rPr>
      </w:pPr>
      <w:r>
        <w:rPr>
          <w:rFonts w:ascii="Times New Roman" w:hAnsi="Times New Roman"/>
          <w:b/>
          <w:sz w:val="22"/>
          <w:szCs w:val="22"/>
        </w:rPr>
        <w:t>LA MINISTRA DE TRANSPORTE</w:t>
      </w:r>
    </w:p>
    <w:p w:rsidR="005F5E67" w:rsidRDefault="005F5E67">
      <w:pPr>
        <w:jc w:val="center"/>
        <w:rPr>
          <w:rFonts w:ascii="Times New Roman" w:hAnsi="Times New Roman"/>
          <w:sz w:val="22"/>
          <w:szCs w:val="22"/>
        </w:rPr>
      </w:pPr>
    </w:p>
    <w:p w:rsidR="005F5E67" w:rsidRDefault="00307F2A">
      <w:pPr>
        <w:jc w:val="center"/>
      </w:pPr>
      <w:r>
        <w:rPr>
          <w:rFonts w:ascii="Times New Roman" w:hAnsi="Times New Roman"/>
          <w:sz w:val="22"/>
          <w:szCs w:val="22"/>
        </w:rPr>
        <w:t>En ejercicio de las facultades legales y en especial las conferidas en el artículo 21 de la ley 105 de 1993 y los Numerales 6.1</w:t>
      </w:r>
      <w:r>
        <w:rPr>
          <w:rFonts w:ascii="Times New Roman" w:hAnsi="Times New Roman"/>
          <w:sz w:val="22"/>
          <w:szCs w:val="22"/>
        </w:rPr>
        <w:t>4 y 6.15 del artículo 6 del  Decreto 087 de 2011.</w:t>
      </w:r>
      <w:r>
        <w:rPr>
          <w:rFonts w:ascii="Times New Roman" w:hAnsi="Times New Roman"/>
          <w:b/>
          <w:sz w:val="22"/>
          <w:szCs w:val="22"/>
        </w:rPr>
        <w:t xml:space="preserve"> </w:t>
      </w:r>
    </w:p>
    <w:p w:rsidR="005F5E67" w:rsidRDefault="005F5E67">
      <w:pPr>
        <w:jc w:val="center"/>
        <w:rPr>
          <w:rFonts w:ascii="Times New Roman" w:hAnsi="Times New Roman"/>
          <w:b/>
          <w:sz w:val="22"/>
          <w:szCs w:val="22"/>
        </w:rPr>
      </w:pPr>
    </w:p>
    <w:p w:rsidR="005F5E67" w:rsidRDefault="00307F2A">
      <w:pPr>
        <w:jc w:val="center"/>
        <w:rPr>
          <w:rFonts w:ascii="Times New Roman" w:hAnsi="Times New Roman"/>
          <w:b/>
          <w:sz w:val="22"/>
          <w:szCs w:val="22"/>
        </w:rPr>
      </w:pPr>
      <w:r>
        <w:rPr>
          <w:rFonts w:ascii="Times New Roman" w:hAnsi="Times New Roman"/>
          <w:b/>
          <w:sz w:val="22"/>
          <w:szCs w:val="22"/>
        </w:rPr>
        <w:t>CONSIDERANDO</w:t>
      </w:r>
    </w:p>
    <w:p w:rsidR="005F5E67" w:rsidRDefault="005F5E67">
      <w:pPr>
        <w:tabs>
          <w:tab w:val="left" w:pos="0"/>
        </w:tabs>
        <w:jc w:val="both"/>
        <w:rPr>
          <w:rFonts w:ascii="Times New Roman" w:hAnsi="Times New Roman"/>
          <w:sz w:val="22"/>
          <w:szCs w:val="22"/>
        </w:rPr>
      </w:pPr>
    </w:p>
    <w:p w:rsidR="005F5E67" w:rsidRDefault="005F5E67">
      <w:pPr>
        <w:jc w:val="both"/>
        <w:rPr>
          <w:rFonts w:ascii="Times New Roman" w:hAnsi="Times New Roman"/>
          <w:i/>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Que el Decreto 087 de 2011 “Por el cual se modifica la estructura del Ministerio de Transporte, y se determinan las funciones de sus dependencias” Estableció en los numerales 6.14 y 6.15 </w:t>
      </w:r>
      <w:r>
        <w:rPr>
          <w:rFonts w:ascii="Times New Roman" w:hAnsi="Times New Roman"/>
          <w:sz w:val="22"/>
          <w:szCs w:val="22"/>
        </w:rPr>
        <w:t>del artículo 6:</w:t>
      </w:r>
    </w:p>
    <w:p w:rsidR="005F5E67" w:rsidRDefault="005F5E67">
      <w:pPr>
        <w:tabs>
          <w:tab w:val="left" w:pos="0"/>
        </w:tabs>
        <w:jc w:val="both"/>
        <w:rPr>
          <w:rFonts w:ascii="Times New Roman" w:hAnsi="Times New Roman"/>
          <w:sz w:val="22"/>
          <w:szCs w:val="22"/>
        </w:rPr>
      </w:pPr>
    </w:p>
    <w:p w:rsidR="005F5E67" w:rsidRDefault="00307F2A">
      <w:pPr>
        <w:ind w:left="851" w:right="616"/>
        <w:jc w:val="both"/>
        <w:rPr>
          <w:rFonts w:ascii="Times New Roman" w:hAnsi="Times New Roman"/>
          <w:i/>
          <w:sz w:val="22"/>
          <w:szCs w:val="22"/>
        </w:rPr>
      </w:pPr>
      <w:r>
        <w:rPr>
          <w:rFonts w:ascii="Times New Roman" w:hAnsi="Times New Roman"/>
          <w:i/>
          <w:sz w:val="22"/>
          <w:szCs w:val="22"/>
        </w:rPr>
        <w:t>“6.14. Emitir, en su calidad de suprema autoridad del Sector Transporte y del Sistema Nacional de Transporte, concepto vinculante previo al establecimiento de los peajes que deban cobrarse por el uso de las vías a cargo de la Nación, los d</w:t>
      </w:r>
      <w:r>
        <w:rPr>
          <w:rFonts w:ascii="Times New Roman" w:hAnsi="Times New Roman"/>
          <w:i/>
          <w:sz w:val="22"/>
          <w:szCs w:val="22"/>
        </w:rPr>
        <w:t xml:space="preserve">epartamentos, distritos y municipios. </w:t>
      </w:r>
    </w:p>
    <w:p w:rsidR="005F5E67" w:rsidRDefault="00307F2A">
      <w:pPr>
        <w:ind w:left="851" w:right="616"/>
        <w:jc w:val="both"/>
        <w:rPr>
          <w:rFonts w:ascii="Times New Roman" w:hAnsi="Times New Roman"/>
          <w:i/>
          <w:sz w:val="22"/>
          <w:szCs w:val="22"/>
        </w:rPr>
      </w:pPr>
      <w:r>
        <w:rPr>
          <w:rFonts w:ascii="Times New Roman" w:hAnsi="Times New Roman"/>
          <w:i/>
          <w:sz w:val="22"/>
          <w:szCs w:val="22"/>
        </w:rPr>
        <w:t xml:space="preserve"> </w:t>
      </w:r>
    </w:p>
    <w:p w:rsidR="005F5E67" w:rsidRDefault="00307F2A">
      <w:pPr>
        <w:ind w:left="851" w:right="616"/>
        <w:jc w:val="both"/>
        <w:rPr>
          <w:rFonts w:ascii="Times New Roman" w:hAnsi="Times New Roman"/>
          <w:i/>
          <w:sz w:val="22"/>
          <w:szCs w:val="22"/>
        </w:rPr>
      </w:pPr>
      <w:r>
        <w:rPr>
          <w:rFonts w:ascii="Times New Roman" w:hAnsi="Times New Roman"/>
          <w:i/>
          <w:sz w:val="22"/>
          <w:szCs w:val="22"/>
        </w:rPr>
        <w:t>6.15. Establecer los peajes, tarifas, tasas y derechos a cobrar por el uso de la infraestructura de los modos de transporte, excepto el aéreo.”</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Que los numerales 1 y 5 del artículo 4 del Decreto 4165 de 2011, estab</w:t>
      </w:r>
      <w:r>
        <w:rPr>
          <w:rFonts w:ascii="Times New Roman" w:hAnsi="Times New Roman"/>
          <w:sz w:val="22"/>
          <w:szCs w:val="22"/>
        </w:rPr>
        <w:t>lecen que le corresponde a la Agencia Nacional de Infraestructura ANI identificar, evaluar la viabilidad y proponer iniciativas de concesión u otras formas de Asociación Público Privada para el desarrollo de la infraestructura de transporte y de los servic</w:t>
      </w:r>
      <w:r>
        <w:rPr>
          <w:rFonts w:ascii="Times New Roman" w:hAnsi="Times New Roman"/>
          <w:sz w:val="22"/>
          <w:szCs w:val="22"/>
        </w:rPr>
        <w:t>ios conexos y relacionados así como elaborar los estudios para definir los peajes, tasas, tarifas, contribución de valorización y otras modalidades de retribución por el diseño, construcción, operación, explotación, mantenimiento o rehabilitación de la inf</w:t>
      </w:r>
      <w:r>
        <w:rPr>
          <w:rFonts w:ascii="Times New Roman" w:hAnsi="Times New Roman"/>
          <w:sz w:val="22"/>
          <w:szCs w:val="22"/>
        </w:rPr>
        <w:t>raestructura relacionada con los proyectos de concesión u otras formas de Asociación Público Privada a su cargo.</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Que igualmente el numeral 15 del artículo 11 ibídem, dispone que la Agencia Nacional de Infraestructura ANI, debe solicitar al Ministerio de T</w:t>
      </w:r>
      <w:r>
        <w:rPr>
          <w:rFonts w:ascii="Times New Roman" w:hAnsi="Times New Roman"/>
          <w:sz w:val="22"/>
          <w:szCs w:val="22"/>
        </w:rPr>
        <w:t>ransporte, concepto vinculante previo para la instalación de las casetas de peaje y otros puntos de cobro de acuerdo con las normas vigentes y las políticas del Ministerio para los proyectos a cargo de la misma.</w:t>
      </w:r>
    </w:p>
    <w:p w:rsidR="005F5E67" w:rsidRDefault="005F5E67">
      <w:pPr>
        <w:jc w:val="both"/>
        <w:rPr>
          <w:rFonts w:ascii="Times New Roman" w:hAnsi="Times New Roman"/>
          <w:i/>
          <w:sz w:val="22"/>
          <w:szCs w:val="22"/>
        </w:rPr>
      </w:pPr>
    </w:p>
    <w:p w:rsidR="005F5E67" w:rsidRDefault="00307F2A">
      <w:pPr>
        <w:tabs>
          <w:tab w:val="left" w:pos="0"/>
        </w:tabs>
        <w:jc w:val="both"/>
      </w:pPr>
      <w:r>
        <w:rPr>
          <w:rFonts w:ascii="Times New Roman" w:hAnsi="Times New Roman"/>
          <w:sz w:val="22"/>
          <w:szCs w:val="22"/>
        </w:rPr>
        <w:t xml:space="preserve">Que de conformidad con los artículos 1 y 5 </w:t>
      </w:r>
      <w:r>
        <w:rPr>
          <w:rFonts w:ascii="Times New Roman" w:hAnsi="Times New Roman"/>
          <w:sz w:val="22"/>
          <w:szCs w:val="22"/>
        </w:rPr>
        <w:t>de la Ley 1508 de 2012, las Asociaciones Público Privadas son un instrumento de vinculación de capital privado, que se materializa en un contrato entre una entidad estatal y una persona natural o jurídica, en el cual se involucran mecanismos de pago relaci</w:t>
      </w:r>
      <w:r>
        <w:rPr>
          <w:rFonts w:ascii="Times New Roman" w:hAnsi="Times New Roman"/>
          <w:sz w:val="22"/>
          <w:szCs w:val="22"/>
        </w:rPr>
        <w:t>onados con la disponibilidad, el nivel de servicio de la infraestructura y/o servicio</w:t>
      </w:r>
      <w:r>
        <w:rPr>
          <w:rFonts w:ascii="Times New Roman" w:eastAsia="Calibri" w:hAnsi="Times New Roman"/>
          <w:color w:val="000000"/>
          <w:sz w:val="22"/>
          <w:szCs w:val="22"/>
          <w:lang w:val="es-MX" w:eastAsia="en-US"/>
        </w:rPr>
        <w:t xml:space="preserve">; igualmente se contempla el derecho al recaudo de recursos de explotación económica del proyecto. </w:t>
      </w:r>
    </w:p>
    <w:p w:rsidR="005F5E67" w:rsidRDefault="005F5E67">
      <w:pPr>
        <w:tabs>
          <w:tab w:val="left" w:pos="0"/>
        </w:tabs>
        <w:jc w:val="both"/>
        <w:rPr>
          <w:rFonts w:ascii="Times New Roman" w:hAnsi="Times New Roman"/>
          <w:sz w:val="22"/>
          <w:szCs w:val="22"/>
        </w:rPr>
      </w:pPr>
    </w:p>
    <w:p w:rsidR="005F5E67" w:rsidRDefault="00307F2A">
      <w:pPr>
        <w:autoSpaceDE w:val="0"/>
        <w:jc w:val="both"/>
      </w:pPr>
      <w:r>
        <w:rPr>
          <w:rFonts w:ascii="Times New Roman" w:eastAsia="Calibri" w:hAnsi="Times New Roman"/>
          <w:color w:val="000000"/>
          <w:sz w:val="22"/>
          <w:szCs w:val="22"/>
          <w:lang w:val="es-MX" w:eastAsia="en-US"/>
        </w:rPr>
        <w:t>Que el proyecto de Iniciativa Privada para la Malla Vial del Meta “I.P</w:t>
      </w:r>
      <w:r>
        <w:rPr>
          <w:rFonts w:ascii="Times New Roman" w:eastAsia="Calibri" w:hAnsi="Times New Roman"/>
          <w:color w:val="000000"/>
          <w:sz w:val="22"/>
          <w:szCs w:val="22"/>
          <w:lang w:val="es-MX" w:eastAsia="en-US"/>
        </w:rPr>
        <w:t xml:space="preserve">. Malla Vial del Meta”, </w:t>
      </w:r>
      <w:r>
        <w:rPr>
          <w:rFonts w:ascii="Times New Roman" w:eastAsia="Calibri" w:hAnsi="Times New Roman"/>
          <w:color w:val="000000"/>
          <w:sz w:val="22"/>
          <w:szCs w:val="22"/>
          <w:lang w:val="es-MX" w:eastAsia="en-US"/>
        </w:rPr>
        <w:lastRenderedPageBreak/>
        <w:t>presentado por el Grupo Odinsa S.A  posteriormente Estructura Plural AUTOPISTAS DEL META, como Originador, ante la Agencia Nacional de Infraestructura (ANI) cuenta con 12 Unidades Funcionales, comprendidas entre los tramos Granada –</w:t>
      </w:r>
      <w:r>
        <w:rPr>
          <w:rFonts w:ascii="Times New Roman" w:eastAsia="Calibri" w:hAnsi="Times New Roman"/>
          <w:color w:val="000000"/>
          <w:sz w:val="22"/>
          <w:szCs w:val="22"/>
          <w:lang w:val="es-MX" w:eastAsia="en-US"/>
        </w:rPr>
        <w:t xml:space="preserve"> Villavicencio, Villavicencio – Puerto López – Puerto Gaitán – Puente Arimena, y el Anillo Vial de Villavicencio y sus accesos, con el fin de </w:t>
      </w:r>
      <w:r>
        <w:rPr>
          <w:rFonts w:ascii="Times New Roman" w:hAnsi="Times New Roman"/>
          <w:sz w:val="22"/>
          <w:szCs w:val="22"/>
        </w:rPr>
        <w:t xml:space="preserve">mejorar las condiciones de operatividad del tráfico pesado durante su tránsito por la ciudad de Villavicencio y a </w:t>
      </w:r>
      <w:r>
        <w:rPr>
          <w:rFonts w:ascii="Times New Roman" w:hAnsi="Times New Roman"/>
          <w:sz w:val="22"/>
          <w:szCs w:val="22"/>
        </w:rPr>
        <w:t>lo largo de las vías mencionadas.</w:t>
      </w:r>
    </w:p>
    <w:p w:rsidR="005F5E67" w:rsidRDefault="005F5E67">
      <w:pPr>
        <w:autoSpaceDE w:val="0"/>
        <w:jc w:val="both"/>
        <w:rPr>
          <w:rFonts w:ascii="Times New Roman" w:eastAsia="Calibri" w:hAnsi="Times New Roman"/>
          <w:color w:val="000000"/>
          <w:sz w:val="22"/>
          <w:szCs w:val="22"/>
          <w:lang w:val="es-MX" w:eastAsia="en-US"/>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Que de conformidad con el estudio de estructuración realizado por el Originador del proyecto, hay viabilidad técnica y socioeconómica para la instalación de una estación de peaje denominada El Cairo en el siguiente sector</w:t>
      </w:r>
      <w:r>
        <w:rPr>
          <w:rFonts w:ascii="Times New Roman" w:hAnsi="Times New Roman"/>
          <w:sz w:val="22"/>
          <w:szCs w:val="22"/>
        </w:rPr>
        <w:t>: en la conectante completamente nueva Catama – Puente Amarillo en el PK 6+100, que se construirá en desarrollo del proyecto IP Malla Vial del Meta..</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lang w:val="es-CO"/>
        </w:rPr>
      </w:pPr>
      <w:r>
        <w:rPr>
          <w:rFonts w:ascii="Times New Roman" w:hAnsi="Times New Roman"/>
          <w:sz w:val="22"/>
          <w:szCs w:val="22"/>
          <w:lang w:val="es-CO"/>
        </w:rPr>
        <w:t>Que de igual forma la Agencia Nacional de Infraestructura ANI ha identificado las siguientes estaciones d</w:t>
      </w:r>
      <w:r>
        <w:rPr>
          <w:rFonts w:ascii="Times New Roman" w:hAnsi="Times New Roman"/>
          <w:sz w:val="22"/>
          <w:szCs w:val="22"/>
          <w:lang w:val="es-CO"/>
        </w:rPr>
        <w:t>e peaje que actualmente están en operación y cuya ubicación se presenta con respecto al abscisado del proyecto, con su equivalente al sistema nacional de referenciación del INVIAS:  Estación Iracá ubicada en el PK 68+500 del tramo Villavicencio – Granada (</w:t>
      </w:r>
      <w:r>
        <w:rPr>
          <w:rFonts w:ascii="Times New Roman" w:hAnsi="Times New Roman"/>
          <w:sz w:val="22"/>
          <w:szCs w:val="22"/>
          <w:lang w:val="es-CO"/>
        </w:rPr>
        <w:t>equivalente al PR06+0947 ruta 65-09), Estación Ocoa ubicada en el PK 20+680 del tramo Villavicencio – Granada (equivalente al PR54+0645 ruta 65-09), Estación la Libertad ubicada en el PK 19+045 del corredor Villavicencio – Puerto López (equivalente al PR17</w:t>
      </w:r>
      <w:r>
        <w:rPr>
          <w:rFonts w:ascii="Times New Roman" w:hAnsi="Times New Roman"/>
          <w:sz w:val="22"/>
          <w:szCs w:val="22"/>
          <w:lang w:val="es-CO"/>
        </w:rPr>
        <w:t>+0585 ruta 40-07), Estación Casetabla ubicada en el PK 16+0250 del corredor Puerto López – Puerto Gaitán (equivalente al PR16+0250 ruta 40-08) y Estación Yucao ubicada en el PK 101+000 del corredor Puerto López – Puerto Gaitán (equivalente al PR99+0216 rut</w:t>
      </w:r>
      <w:r>
        <w:rPr>
          <w:rFonts w:ascii="Times New Roman" w:hAnsi="Times New Roman"/>
          <w:sz w:val="22"/>
          <w:szCs w:val="22"/>
          <w:lang w:val="es-CO"/>
        </w:rPr>
        <w:t>a 40-08).  Las últimas dos estaciones se encuentran a cargo del INVIAS y su derecho al recaudo en el proyecto de I.P. Malla Vial del Meta se llevará a cabo de acuerdo a las condiciones establecidas en la Parte General y Especial del Contrato que se suscrib</w:t>
      </w:r>
      <w:r>
        <w:rPr>
          <w:rFonts w:ascii="Times New Roman" w:hAnsi="Times New Roman"/>
          <w:sz w:val="22"/>
          <w:szCs w:val="22"/>
          <w:lang w:val="es-CO"/>
        </w:rPr>
        <w:t>a.</w:t>
      </w:r>
    </w:p>
    <w:p w:rsidR="005F5E67" w:rsidRDefault="005F5E67">
      <w:pPr>
        <w:tabs>
          <w:tab w:val="left" w:pos="0"/>
        </w:tabs>
        <w:jc w:val="both"/>
        <w:rPr>
          <w:rFonts w:ascii="Times New Roman" w:hAnsi="Times New Roman"/>
          <w:sz w:val="22"/>
          <w:szCs w:val="22"/>
          <w:lang w:val="es-CO"/>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Que el peaje El Cairo funcionará de manera conjunta con cuatro (4) puntos de control de acceso ubicados en los carriles expresos del Anillo Vial de Villavicencio entre la Intersección Fundadores y la Intersección de Catama operando de tal manera que el</w:t>
      </w:r>
      <w:r>
        <w:rPr>
          <w:rFonts w:ascii="Times New Roman" w:hAnsi="Times New Roman"/>
          <w:sz w:val="22"/>
          <w:szCs w:val="22"/>
        </w:rPr>
        <w:t xml:space="preserve"> vehículo que pague la tarifa en la estación de peaje El Cairo, no pagará a su paso por los puntos de control de acceso.  Así mismo, los vehículos que ingresen a los carriles expresos del Anillo Vial de Villavicencio, sólo pagarán en el punto de control de</w:t>
      </w:r>
      <w:r>
        <w:rPr>
          <w:rFonts w:ascii="Times New Roman" w:hAnsi="Times New Roman"/>
          <w:sz w:val="22"/>
          <w:szCs w:val="22"/>
        </w:rPr>
        <w:t xml:space="preserve"> acceso por el que se incorporen al Anillo y tampoco pagarán a su paso por la Estación de peaje de El Cairo.    </w:t>
      </w:r>
    </w:p>
    <w:p w:rsidR="005F5E67" w:rsidRDefault="005F5E67">
      <w:pPr>
        <w:tabs>
          <w:tab w:val="left" w:pos="0"/>
        </w:tabs>
        <w:jc w:val="both"/>
        <w:rPr>
          <w:rFonts w:ascii="Times New Roman" w:hAnsi="Times New Roman"/>
          <w:sz w:val="22"/>
          <w:szCs w:val="22"/>
          <w:lang w:val="es-CO"/>
        </w:rPr>
      </w:pPr>
    </w:p>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 xml:space="preserve">Que en el tramo comprendido entre la Intersección Fundadores y la Intersección Catama se ubicarán los siguientes puntos de control de acceso </w:t>
      </w:r>
      <w:r>
        <w:rPr>
          <w:rFonts w:ascii="Times New Roman" w:eastAsia="Calibri" w:hAnsi="Times New Roman"/>
          <w:sz w:val="22"/>
          <w:szCs w:val="22"/>
          <w:lang w:val="es-CO" w:eastAsia="en-US"/>
        </w:rPr>
        <w:t>que funcionarán de manera conjunta con el peaje de El Cairo: Punto de control de acceso Fundadores PK 0+470 sentido Fundadores – Catama, Punto de control de acceso Séptima Brigada PK 2+900 sentido Catama – Fundadores, Punto de Control acceso Séptima Brigad</w:t>
      </w:r>
      <w:r>
        <w:rPr>
          <w:rFonts w:ascii="Times New Roman" w:eastAsia="Calibri" w:hAnsi="Times New Roman"/>
          <w:sz w:val="22"/>
          <w:szCs w:val="22"/>
          <w:lang w:val="es-CO" w:eastAsia="en-US"/>
        </w:rPr>
        <w:t>a PK 3+350 sentido Fundadores – Catama y Punto de Control de acceso Catama PK 6+000 sentido Catama – Fundadores.</w:t>
      </w:r>
    </w:p>
    <w:p w:rsidR="005F5E67" w:rsidRDefault="00307F2A">
      <w:pPr>
        <w:spacing w:after="160" w:line="256" w:lineRule="auto"/>
        <w:jc w:val="both"/>
        <w:rPr>
          <w:rFonts w:ascii="Times New Roman" w:hAnsi="Times New Roman"/>
          <w:sz w:val="22"/>
          <w:szCs w:val="22"/>
        </w:rPr>
      </w:pPr>
      <w:r>
        <w:rPr>
          <w:rFonts w:ascii="Times New Roman" w:hAnsi="Times New Roman"/>
          <w:sz w:val="22"/>
          <w:szCs w:val="22"/>
        </w:rPr>
        <w:t xml:space="preserve">Que dentro de la estructuración financiera del proyecto se contempla, como única fuente de retribución para el concesionario, el recaudo de </w:t>
      </w:r>
      <w:r>
        <w:rPr>
          <w:rFonts w:ascii="Times New Roman" w:hAnsi="Times New Roman"/>
          <w:sz w:val="22"/>
          <w:szCs w:val="22"/>
        </w:rPr>
        <w:t>peajes una vez se cumplan los requisitos que se establecen en el capítulo III de la minuta del contrato de concesión, razón por la cual se requiere tener certeza sobre la viabilidad técnica de la instalación de la nueva caseta de peaje, así como de las tar</w:t>
      </w:r>
      <w:r>
        <w:rPr>
          <w:rFonts w:ascii="Times New Roman" w:hAnsi="Times New Roman"/>
          <w:sz w:val="22"/>
          <w:szCs w:val="22"/>
        </w:rPr>
        <w:t>ifas que serán cobradas.</w:t>
      </w:r>
    </w:p>
    <w:p w:rsidR="005F5E67" w:rsidRDefault="00307F2A">
      <w:pPr>
        <w:tabs>
          <w:tab w:val="left" w:pos="0"/>
        </w:tabs>
        <w:jc w:val="both"/>
      </w:pPr>
      <w:r>
        <w:rPr>
          <w:rFonts w:ascii="Times New Roman" w:hAnsi="Times New Roman"/>
          <w:sz w:val="22"/>
          <w:szCs w:val="22"/>
        </w:rPr>
        <w:t>Que actualmente se encuentra vigente el contrato de Concesión 446 de 1994 a cargo de la Concesión Autopistas de los Llanos S.A., así como las tarifas que se cobran en las estaciones de peaje que están en operación en la vía</w:t>
      </w:r>
      <w:r>
        <w:rPr>
          <w:rFonts w:ascii="Times New Roman" w:hAnsi="Times New Roman"/>
          <w:sz w:val="22"/>
          <w:szCs w:val="22"/>
          <w:lang w:val="es-CO"/>
        </w:rPr>
        <w:t xml:space="preserve"> Granada</w:t>
      </w:r>
      <w:r>
        <w:rPr>
          <w:rFonts w:ascii="Times New Roman" w:hAnsi="Times New Roman"/>
          <w:sz w:val="22"/>
          <w:szCs w:val="22"/>
          <w:lang w:val="es-CO"/>
        </w:rPr>
        <w:t xml:space="preserve"> - Villavicencio (Iracá y Ocoa) y Villavicencio – Puerto López (La Libertad)</w:t>
      </w:r>
      <w:r>
        <w:rPr>
          <w:rFonts w:ascii="Times New Roman" w:hAnsi="Times New Roman"/>
          <w:sz w:val="22"/>
          <w:szCs w:val="22"/>
        </w:rPr>
        <w:t>, y que se vincularán al proyecto “I.P. Malla Vial del Meta”, fueron aprobadas por el Ministerio de Transporte mediante la resolución 003962 del 20 de junio de 1995, modificada por</w:t>
      </w:r>
      <w:r>
        <w:rPr>
          <w:rFonts w:ascii="Times New Roman" w:hAnsi="Times New Roman"/>
          <w:sz w:val="22"/>
          <w:szCs w:val="22"/>
        </w:rPr>
        <w:t xml:space="preserve"> la resolución 8869 del 24 de diciembre de 1996 y finalmente modificada por la resolución 1860 del 2 </w:t>
      </w:r>
      <w:r>
        <w:rPr>
          <w:rFonts w:ascii="Times New Roman" w:hAnsi="Times New Roman"/>
          <w:sz w:val="22"/>
          <w:szCs w:val="22"/>
        </w:rPr>
        <w:lastRenderedPageBreak/>
        <w:t>de julio del 2014.</w:t>
      </w:r>
    </w:p>
    <w:p w:rsidR="005F5E67" w:rsidRDefault="005F5E67">
      <w:pPr>
        <w:tabs>
          <w:tab w:val="left" w:pos="0"/>
        </w:tabs>
        <w:jc w:val="both"/>
        <w:rPr>
          <w:rFonts w:ascii="Times New Roman" w:hAnsi="Times New Roman"/>
          <w:sz w:val="22"/>
          <w:szCs w:val="22"/>
        </w:rPr>
      </w:pPr>
    </w:p>
    <w:p w:rsidR="005F5E67" w:rsidRDefault="00307F2A">
      <w:pPr>
        <w:jc w:val="both"/>
        <w:rPr>
          <w:rFonts w:ascii="Times New Roman" w:hAnsi="Times New Roman"/>
          <w:sz w:val="22"/>
          <w:szCs w:val="22"/>
        </w:rPr>
      </w:pPr>
      <w:r>
        <w:rPr>
          <w:rFonts w:ascii="Times New Roman" w:hAnsi="Times New Roman"/>
          <w:sz w:val="22"/>
          <w:szCs w:val="22"/>
        </w:rPr>
        <w:t>Que para la estación de peaje de Ocoa es necesario asignar un máximo de 216 beneficios de los 5759 relacionados en el Artículo 2° de la</w:t>
      </w:r>
      <w:r>
        <w:rPr>
          <w:rFonts w:ascii="Times New Roman" w:hAnsi="Times New Roman"/>
          <w:sz w:val="22"/>
          <w:szCs w:val="22"/>
        </w:rPr>
        <w:t xml:space="preserve"> resolución 3126 del 17 de octubre de 2014, referentes a la tarifa especial diferencial, para servicio público de transporte urbano (tipo taxi) cuyo radio de operación es el municipio de Acacias, Meta;  lo anterior teniendo en cuenta que la estación de pea</w:t>
      </w:r>
      <w:r>
        <w:rPr>
          <w:rFonts w:ascii="Times New Roman" w:hAnsi="Times New Roman"/>
          <w:sz w:val="22"/>
          <w:szCs w:val="22"/>
        </w:rPr>
        <w:t>je Ocoa se encuentra dentro de la jurisdicción rural del municipio de Acacias y es paso para el acceso a algunas veredas donde es prestado el servicio de transporte por parte de estos vehículos..</w:t>
      </w:r>
    </w:p>
    <w:p w:rsidR="005F5E67" w:rsidRDefault="005F5E67">
      <w:pPr>
        <w:tabs>
          <w:tab w:val="left" w:pos="0"/>
        </w:tabs>
        <w:jc w:val="both"/>
        <w:rPr>
          <w:rFonts w:ascii="Times New Roman" w:hAnsi="Times New Roman"/>
          <w:sz w:val="22"/>
          <w:szCs w:val="22"/>
        </w:rPr>
      </w:pP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Que las tarifas son el resultado de un estudio de tráfico </w:t>
      </w:r>
      <w:r>
        <w:rPr>
          <w:rFonts w:ascii="Times New Roman" w:hAnsi="Times New Roman"/>
          <w:sz w:val="22"/>
          <w:szCs w:val="22"/>
        </w:rPr>
        <w:t xml:space="preserve">específico realizado para el proyecto, para determinar los ingresos dentro del modelo financiero de estructuración de la concesión sin recursos del Estado, constituyéndose en el parámetro principal para la obtención de la viabilidad financiera del mismo.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pPr>
      <w:r>
        <w:rPr>
          <w:rFonts w:ascii="Times New Roman" w:hAnsi="Times New Roman"/>
          <w:sz w:val="22"/>
          <w:szCs w:val="22"/>
          <w:lang w:val="es-MX"/>
        </w:rPr>
        <w:t>Que como consecuencia de lo anterior, la oficina de Regulación Económica el día xx de xxxxxxx de 2015, emitió concepto vinculante previo favorable, para el establecimiento de la estación de peaje de El Cairo ubicada exactamente en el PK 6+100 de la vía co</w:t>
      </w:r>
      <w:r>
        <w:rPr>
          <w:rFonts w:ascii="Times New Roman" w:hAnsi="Times New Roman"/>
          <w:sz w:val="22"/>
          <w:szCs w:val="22"/>
          <w:lang w:val="es-MX"/>
        </w:rPr>
        <w:t>mpletamente nueva comprendida entre las Intersecciones de Catama y Puente Amarillo y sus cuatro (4) puntos de control de acceso</w:t>
      </w:r>
      <w:r>
        <w:rPr>
          <w:rFonts w:ascii="Times New Roman" w:hAnsi="Times New Roman"/>
          <w:sz w:val="22"/>
          <w:szCs w:val="22"/>
        </w:rPr>
        <w:t>.</w:t>
      </w:r>
      <w:r>
        <w:rPr>
          <w:rFonts w:ascii="Times New Roman" w:hAnsi="Times New Roman"/>
          <w:sz w:val="22"/>
          <w:szCs w:val="22"/>
          <w:lang w:val="es-MX"/>
        </w:rPr>
        <w:t xml:space="preserve"> </w:t>
      </w:r>
    </w:p>
    <w:p w:rsidR="005F5E67" w:rsidRDefault="005F5E67">
      <w:pPr>
        <w:tabs>
          <w:tab w:val="left" w:pos="0"/>
        </w:tabs>
        <w:jc w:val="both"/>
        <w:rPr>
          <w:rFonts w:ascii="Times New Roman" w:hAnsi="Times New Roman"/>
          <w:sz w:val="22"/>
          <w:szCs w:val="22"/>
          <w:lang w:val="es-MX"/>
        </w:rPr>
      </w:pPr>
    </w:p>
    <w:p w:rsidR="005F5E67" w:rsidRDefault="00307F2A">
      <w:pPr>
        <w:tabs>
          <w:tab w:val="left" w:pos="0"/>
        </w:tabs>
        <w:jc w:val="both"/>
        <w:rPr>
          <w:rFonts w:ascii="Times New Roman" w:hAnsi="Times New Roman"/>
          <w:sz w:val="22"/>
          <w:szCs w:val="22"/>
          <w:lang w:val="es-MX"/>
        </w:rPr>
      </w:pPr>
      <w:r>
        <w:rPr>
          <w:rFonts w:ascii="Times New Roman" w:hAnsi="Times New Roman"/>
          <w:sz w:val="22"/>
          <w:szCs w:val="22"/>
          <w:lang w:val="es-MX"/>
        </w:rPr>
        <w:t xml:space="preserve">Que el contenido de la presente Resolución, fue publicado en la página web de la Agencia Nacional de Infraestructura ANI, el </w:t>
      </w:r>
      <w:r>
        <w:rPr>
          <w:rFonts w:ascii="Times New Roman" w:hAnsi="Times New Roman"/>
          <w:sz w:val="22"/>
          <w:szCs w:val="22"/>
          <w:lang w:val="es-MX"/>
        </w:rPr>
        <w:t xml:space="preserve">día 08 de abril del 2015 en cumplimiento a lo determinado en el numeral 8 del artículo 8 de la Ley 1437 de 2011, con el objeto de recibir opiniones, sugerencias o propuestas alternativas.  </w:t>
      </w:r>
    </w:p>
    <w:p w:rsidR="005F5E67" w:rsidRDefault="005F5E67">
      <w:pPr>
        <w:tabs>
          <w:tab w:val="left" w:pos="0"/>
        </w:tabs>
        <w:jc w:val="both"/>
        <w:rPr>
          <w:rFonts w:ascii="Times New Roman" w:hAnsi="Times New Roman"/>
          <w:sz w:val="22"/>
          <w:szCs w:val="22"/>
          <w:lang w:val="es-MX"/>
        </w:rPr>
      </w:pPr>
    </w:p>
    <w:p w:rsidR="005F5E67" w:rsidRDefault="00307F2A">
      <w:pPr>
        <w:tabs>
          <w:tab w:val="left" w:pos="0"/>
        </w:tabs>
        <w:jc w:val="both"/>
        <w:rPr>
          <w:rFonts w:ascii="Times New Roman" w:hAnsi="Times New Roman"/>
          <w:sz w:val="22"/>
          <w:szCs w:val="22"/>
          <w:lang w:val="es-MX"/>
        </w:rPr>
      </w:pPr>
      <w:r>
        <w:rPr>
          <w:rFonts w:ascii="Times New Roman" w:hAnsi="Times New Roman"/>
          <w:sz w:val="22"/>
          <w:szCs w:val="22"/>
          <w:lang w:val="es-MX"/>
        </w:rPr>
        <w:t>Que los comentarios recibidos fueron evaluados, atendidos y los p</w:t>
      </w:r>
      <w:r>
        <w:rPr>
          <w:rFonts w:ascii="Times New Roman" w:hAnsi="Times New Roman"/>
          <w:sz w:val="22"/>
          <w:szCs w:val="22"/>
          <w:lang w:val="es-MX"/>
        </w:rPr>
        <w:t>ertinentes fueron incorporados en el contenido del presente acto administrativo.</w:t>
      </w:r>
    </w:p>
    <w:p w:rsidR="005F5E67" w:rsidRDefault="005F5E67">
      <w:pPr>
        <w:tabs>
          <w:tab w:val="left" w:pos="0"/>
        </w:tabs>
        <w:jc w:val="both"/>
        <w:rPr>
          <w:rFonts w:ascii="Times New Roman" w:hAnsi="Times New Roman"/>
          <w:sz w:val="22"/>
          <w:szCs w:val="22"/>
          <w:lang w:val="es-MX"/>
        </w:rPr>
      </w:pPr>
    </w:p>
    <w:p w:rsidR="005F5E67" w:rsidRDefault="00307F2A">
      <w:pPr>
        <w:jc w:val="both"/>
      </w:pPr>
      <w:r>
        <w:rPr>
          <w:rFonts w:ascii="Times New Roman" w:hAnsi="Times New Roman"/>
          <w:sz w:val="22"/>
          <w:szCs w:val="22"/>
          <w:lang w:val="es-CO"/>
        </w:rPr>
        <w:t xml:space="preserve">En mérito de lo expuesto, </w:t>
      </w:r>
    </w:p>
    <w:p w:rsidR="005F5E67" w:rsidRDefault="005F5E67">
      <w:pPr>
        <w:jc w:val="center"/>
        <w:rPr>
          <w:rFonts w:ascii="Times New Roman" w:hAnsi="Times New Roman"/>
          <w:b/>
          <w:sz w:val="22"/>
          <w:szCs w:val="22"/>
        </w:rPr>
      </w:pPr>
    </w:p>
    <w:p w:rsidR="005F5E67" w:rsidRDefault="00307F2A">
      <w:pPr>
        <w:jc w:val="center"/>
        <w:rPr>
          <w:rFonts w:ascii="Times New Roman" w:hAnsi="Times New Roman"/>
          <w:b/>
          <w:sz w:val="22"/>
          <w:szCs w:val="22"/>
        </w:rPr>
      </w:pPr>
      <w:r>
        <w:rPr>
          <w:rFonts w:ascii="Times New Roman" w:hAnsi="Times New Roman"/>
          <w:b/>
          <w:sz w:val="22"/>
          <w:szCs w:val="22"/>
        </w:rPr>
        <w:t>RESUELVE:</w:t>
      </w:r>
    </w:p>
    <w:p w:rsidR="005F5E67" w:rsidRDefault="005F5E67">
      <w:pPr>
        <w:jc w:val="center"/>
        <w:rPr>
          <w:rFonts w:ascii="Times New Roman" w:hAnsi="Times New Roman"/>
          <w:b/>
          <w:sz w:val="22"/>
          <w:szCs w:val="22"/>
        </w:rPr>
      </w:pPr>
    </w:p>
    <w:p w:rsidR="005F5E67" w:rsidRDefault="00307F2A">
      <w:pPr>
        <w:tabs>
          <w:tab w:val="left" w:pos="0"/>
        </w:tabs>
        <w:jc w:val="both"/>
      </w:pPr>
      <w:r>
        <w:rPr>
          <w:rFonts w:ascii="Times New Roman" w:hAnsi="Times New Roman"/>
          <w:b/>
          <w:sz w:val="22"/>
          <w:szCs w:val="22"/>
        </w:rPr>
        <w:t xml:space="preserve">ARTÍCULO PRIMERO: </w:t>
      </w:r>
      <w:r>
        <w:rPr>
          <w:rFonts w:ascii="Times New Roman" w:hAnsi="Times New Roman"/>
          <w:sz w:val="22"/>
          <w:szCs w:val="22"/>
        </w:rPr>
        <w:t xml:space="preserve">Emitir concepto vinculante previo favorable, para el establecimiento de una estación de peaje con cobro </w:t>
      </w:r>
      <w:r>
        <w:rPr>
          <w:rFonts w:ascii="Times New Roman" w:hAnsi="Times New Roman"/>
          <w:sz w:val="22"/>
          <w:szCs w:val="22"/>
        </w:rPr>
        <w:t>bidireccional, y sus casetas de control de acceso, en el proyecto vial de Iniciativa Privada Malla Vial del Meta</w:t>
      </w:r>
      <w:r>
        <w:rPr>
          <w:rFonts w:ascii="Times New Roman" w:hAnsi="Times New Roman"/>
          <w:i/>
          <w:sz w:val="22"/>
          <w:szCs w:val="22"/>
        </w:rPr>
        <w:t xml:space="preserve"> “I.P. Malla Vial del Meta”.</w:t>
      </w:r>
      <w:r>
        <w:rPr>
          <w:rFonts w:ascii="Times New Roman" w:hAnsi="Times New Roman"/>
          <w:sz w:val="22"/>
          <w:szCs w:val="22"/>
        </w:rPr>
        <w:t xml:space="preserve"> La estación se denominará El Cairo y estará ubicada en la conectante completamente nueva Catama – Puente Amarillo, </w:t>
      </w:r>
      <w:r>
        <w:rPr>
          <w:rFonts w:ascii="Times New Roman" w:hAnsi="Times New Roman"/>
          <w:sz w:val="22"/>
          <w:szCs w:val="22"/>
        </w:rPr>
        <w:t>exactamente en el PK 6+100.</w:t>
      </w:r>
      <w:r>
        <w:rPr>
          <w:rFonts w:ascii="Times New Roman" w:hAnsi="Times New Roman"/>
          <w:sz w:val="22"/>
          <w:szCs w:val="22"/>
          <w:lang w:val="es-MX"/>
        </w:rPr>
        <w:t xml:space="preserve">  </w:t>
      </w:r>
      <w:r>
        <w:rPr>
          <w:rFonts w:ascii="Times New Roman" w:hAnsi="Times New Roman"/>
          <w:sz w:val="22"/>
          <w:szCs w:val="22"/>
          <w:lang w:val="es-CO"/>
        </w:rPr>
        <w:t xml:space="preserve"> </w:t>
      </w:r>
    </w:p>
    <w:p w:rsidR="005F5E67" w:rsidRDefault="005F5E67">
      <w:pPr>
        <w:tabs>
          <w:tab w:val="left" w:pos="0"/>
        </w:tabs>
        <w:jc w:val="both"/>
        <w:rPr>
          <w:rFonts w:ascii="Times New Roman" w:hAnsi="Times New Roman"/>
          <w:sz w:val="22"/>
          <w:szCs w:val="22"/>
          <w:lang w:val="es-CO"/>
        </w:rPr>
      </w:pPr>
    </w:p>
    <w:p w:rsidR="005F5E67" w:rsidRDefault="005F5E67">
      <w:pPr>
        <w:jc w:val="both"/>
        <w:rPr>
          <w:rFonts w:ascii="Times New Roman" w:hAnsi="Times New Roman"/>
          <w:sz w:val="22"/>
          <w:szCs w:val="22"/>
        </w:rPr>
      </w:pPr>
    </w:p>
    <w:p w:rsidR="005F5E67" w:rsidRDefault="00307F2A">
      <w:pPr>
        <w:spacing w:after="160" w:line="256" w:lineRule="auto"/>
        <w:jc w:val="both"/>
      </w:pPr>
      <w:r>
        <w:rPr>
          <w:rFonts w:ascii="Times New Roman" w:hAnsi="Times New Roman"/>
          <w:b/>
          <w:sz w:val="22"/>
          <w:szCs w:val="22"/>
        </w:rPr>
        <w:t xml:space="preserve">ARTÍCULO SEGUNDO: </w:t>
      </w:r>
      <w:r>
        <w:rPr>
          <w:rFonts w:ascii="Times New Roman" w:hAnsi="Times New Roman"/>
          <w:sz w:val="22"/>
          <w:szCs w:val="22"/>
        </w:rPr>
        <w:t>Establecer el cobro de tarifas de peaje de tránsito vehicular bidireccional en las estaciones de Peaje: Iracá ubicada en el PK 68+500 del tramo Villavicencio - Granada</w:t>
      </w:r>
      <w:r>
        <w:rPr>
          <w:rFonts w:ascii="Times New Roman" w:hAnsi="Times New Roman"/>
          <w:sz w:val="22"/>
          <w:szCs w:val="22"/>
          <w:lang w:val="es-CO"/>
        </w:rPr>
        <w:t xml:space="preserve"> (equivalente al PR06+0947 ruta 65-09)</w:t>
      </w:r>
      <w:r>
        <w:rPr>
          <w:rFonts w:ascii="Times New Roman" w:hAnsi="Times New Roman"/>
          <w:sz w:val="22"/>
          <w:szCs w:val="22"/>
          <w:lang w:val="es-CO"/>
        </w:rPr>
        <w:t>,</w:t>
      </w:r>
      <w:r>
        <w:rPr>
          <w:rFonts w:ascii="Times New Roman" w:hAnsi="Times New Roman"/>
          <w:sz w:val="22"/>
          <w:szCs w:val="22"/>
        </w:rPr>
        <w:t xml:space="preserve"> Ocoa ubicada en el PK 20+680 del tramo Villavicencio – Granada </w:t>
      </w:r>
      <w:r>
        <w:rPr>
          <w:rFonts w:ascii="Times New Roman" w:hAnsi="Times New Roman"/>
          <w:sz w:val="22"/>
          <w:szCs w:val="22"/>
          <w:lang w:val="es-CO"/>
        </w:rPr>
        <w:t>(equivalente al PR54+0645 ruta 65-09)</w:t>
      </w:r>
      <w:r>
        <w:rPr>
          <w:rFonts w:ascii="Times New Roman" w:hAnsi="Times New Roman"/>
          <w:sz w:val="22"/>
          <w:szCs w:val="22"/>
        </w:rPr>
        <w:t xml:space="preserve">, La Libertad ubicada en el PK 19+045 del tramo Villavicencio – Puerto López </w:t>
      </w:r>
      <w:r>
        <w:rPr>
          <w:rFonts w:ascii="Times New Roman" w:hAnsi="Times New Roman"/>
          <w:sz w:val="22"/>
          <w:szCs w:val="22"/>
          <w:lang w:val="es-CO"/>
        </w:rPr>
        <w:t>(equivalente al PR17+0585 ruta 40-07)</w:t>
      </w:r>
      <w:r>
        <w:rPr>
          <w:rFonts w:ascii="Times New Roman" w:hAnsi="Times New Roman"/>
          <w:sz w:val="22"/>
          <w:szCs w:val="22"/>
        </w:rPr>
        <w:t>, Casetabla ubicada en el PK 16+0250 del</w:t>
      </w:r>
      <w:r>
        <w:rPr>
          <w:rFonts w:ascii="Times New Roman" w:hAnsi="Times New Roman"/>
          <w:sz w:val="22"/>
          <w:szCs w:val="22"/>
        </w:rPr>
        <w:t xml:space="preserve"> tramo Puerto López – Puerto Gaitán (equivalente al PR16+0250 ruta 40-08), Yucao ubicada en el </w:t>
      </w:r>
      <w:r>
        <w:rPr>
          <w:rFonts w:ascii="Times New Roman" w:hAnsi="Times New Roman"/>
          <w:sz w:val="22"/>
          <w:szCs w:val="22"/>
          <w:lang w:val="es-CO"/>
        </w:rPr>
        <w:t xml:space="preserve">PK 101+000 </w:t>
      </w:r>
      <w:r>
        <w:rPr>
          <w:rFonts w:ascii="Times New Roman" w:hAnsi="Times New Roman"/>
          <w:sz w:val="22"/>
          <w:szCs w:val="22"/>
        </w:rPr>
        <w:t xml:space="preserve">del tramo Puerto López – Puerto Gaitán </w:t>
      </w:r>
      <w:r>
        <w:rPr>
          <w:rFonts w:ascii="Times New Roman" w:hAnsi="Times New Roman"/>
          <w:sz w:val="22"/>
          <w:szCs w:val="22"/>
          <w:lang w:val="es-CO"/>
        </w:rPr>
        <w:t xml:space="preserve">(equivalente al PR 99+0216 Ruta 40-08) </w:t>
      </w:r>
      <w:r>
        <w:rPr>
          <w:rFonts w:ascii="Times New Roman" w:hAnsi="Times New Roman"/>
          <w:sz w:val="22"/>
          <w:szCs w:val="22"/>
        </w:rPr>
        <w:t xml:space="preserve"> y El Cairo en el PK 6+100 del tramo completamente nuevo Catama – Puente</w:t>
      </w:r>
      <w:r>
        <w:rPr>
          <w:rFonts w:ascii="Times New Roman" w:hAnsi="Times New Roman"/>
          <w:sz w:val="22"/>
          <w:szCs w:val="22"/>
        </w:rPr>
        <w:t xml:space="preserve"> Amarillo y sus puntos de control </w:t>
      </w:r>
      <w:r>
        <w:rPr>
          <w:rFonts w:ascii="Times New Roman" w:eastAsia="Calibri" w:hAnsi="Times New Roman"/>
          <w:sz w:val="22"/>
          <w:szCs w:val="22"/>
          <w:lang w:val="es-CO" w:eastAsia="en-US"/>
        </w:rPr>
        <w:t>de acceso unidireccionales en Fundadores PK 0+470 sentido Fundadores – Catama, Punto de control de acceso Séptima Brigada PK 2+900 sentido Catama – Fundadores, Punto de Control acceso Séptima Brigada PK 3+350 sentido Funda</w:t>
      </w:r>
      <w:r>
        <w:rPr>
          <w:rFonts w:ascii="Times New Roman" w:eastAsia="Calibri" w:hAnsi="Times New Roman"/>
          <w:sz w:val="22"/>
          <w:szCs w:val="22"/>
          <w:lang w:val="es-CO" w:eastAsia="en-US"/>
        </w:rPr>
        <w:t>dores – Catama y Punto de Control de acceso Catama PK 6+000 sentido Catama – Fundadores.</w:t>
      </w:r>
    </w:p>
    <w:p w:rsidR="005F5E67" w:rsidRDefault="00307F2A">
      <w:pPr>
        <w:jc w:val="both"/>
      </w:pPr>
      <w:r>
        <w:rPr>
          <w:rFonts w:ascii="Times New Roman" w:hAnsi="Times New Roman"/>
          <w:b/>
          <w:sz w:val="22"/>
          <w:szCs w:val="22"/>
        </w:rPr>
        <w:lastRenderedPageBreak/>
        <w:t>PARÁGRAFO</w:t>
      </w:r>
      <w:r>
        <w:rPr>
          <w:rFonts w:ascii="Times New Roman" w:hAnsi="Times New Roman"/>
          <w:sz w:val="22"/>
          <w:szCs w:val="22"/>
        </w:rPr>
        <w:t xml:space="preserve">: El derecho a percibir la retribución por recaudo de peajes, sólo procederá una vez se cumplan los presupuestos establecidos en el Contrato de Concesión que </w:t>
      </w:r>
      <w:r>
        <w:rPr>
          <w:rFonts w:ascii="Times New Roman" w:hAnsi="Times New Roman"/>
          <w:sz w:val="22"/>
          <w:szCs w:val="22"/>
        </w:rPr>
        <w:t xml:space="preserve">se suscriba.  </w:t>
      </w:r>
    </w:p>
    <w:p w:rsidR="005F5E67" w:rsidRDefault="005F5E67">
      <w:pPr>
        <w:jc w:val="both"/>
        <w:rPr>
          <w:rFonts w:ascii="Times New Roman" w:hAnsi="Times New Roman"/>
          <w:b/>
          <w:sz w:val="22"/>
          <w:szCs w:val="22"/>
        </w:rPr>
      </w:pPr>
    </w:p>
    <w:p w:rsidR="005F5E67" w:rsidRDefault="00307F2A">
      <w:pPr>
        <w:jc w:val="both"/>
      </w:pPr>
      <w:r>
        <w:rPr>
          <w:rFonts w:ascii="Times New Roman" w:hAnsi="Times New Roman"/>
          <w:b/>
          <w:sz w:val="22"/>
          <w:szCs w:val="22"/>
        </w:rPr>
        <w:t>ARTÍCULO TERCERO:</w:t>
      </w:r>
      <w:r>
        <w:rPr>
          <w:rFonts w:ascii="Times New Roman" w:hAnsi="Times New Roman"/>
          <w:sz w:val="22"/>
          <w:szCs w:val="22"/>
        </w:rPr>
        <w:t xml:space="preserve"> Establecer las siguientes categorías vehiculares y tarifas que podrá cobrar el Concesionario a partir de la Fecha de Inicio del Contrato de Concesión, a todos los usuarios en las estaciones de peaje de El Cairo, Iracá, Oco</w:t>
      </w:r>
      <w:r>
        <w:rPr>
          <w:rFonts w:ascii="Times New Roman" w:hAnsi="Times New Roman"/>
          <w:sz w:val="22"/>
          <w:szCs w:val="22"/>
        </w:rPr>
        <w:t xml:space="preserve">a, La Libertad, CaseTabla y Yucao.  De conformidad con el Contrato de Concesión que se suscribirá como consecuencia del trámite que ha surtido la iniciativa privada </w:t>
      </w:r>
      <w:r>
        <w:rPr>
          <w:rFonts w:ascii="Times New Roman" w:hAnsi="Times New Roman"/>
          <w:i/>
          <w:sz w:val="22"/>
          <w:szCs w:val="22"/>
        </w:rPr>
        <w:t>“I.P. Malla Vial del Meta”</w:t>
      </w:r>
      <w:r>
        <w:rPr>
          <w:rFonts w:ascii="Times New Roman" w:hAnsi="Times New Roman"/>
          <w:sz w:val="22"/>
          <w:szCs w:val="22"/>
        </w:rPr>
        <w:t xml:space="preserve"> en el marco de la Ley 1508 de 2012 y sus decretos reglamentarios</w:t>
      </w:r>
      <w:r>
        <w:rPr>
          <w:rFonts w:ascii="Times New Roman" w:hAnsi="Times New Roman"/>
          <w:sz w:val="22"/>
          <w:szCs w:val="22"/>
        </w:rPr>
        <w:t xml:space="preserve">,  la Fecha de Inicio corresponde al día siguiente a la fecha en que las partes suscriban el Acta de Inicio de ejecución del Contrato o el día siguiente a la fecha en que la ANI imparta la Orden de Inicio de ejecución del Contrato. La estructura tarifaria </w:t>
      </w:r>
      <w:r>
        <w:rPr>
          <w:rFonts w:ascii="Times New Roman" w:hAnsi="Times New Roman"/>
          <w:sz w:val="22"/>
          <w:szCs w:val="22"/>
        </w:rPr>
        <w:t>se expresa en pesos de enero del año 2015, para establecer la tarifa que será cobrada esta deberá ser indexada mediante IPC al mes en que la estación de peaje respectiva entre en operación:</w:t>
      </w:r>
    </w:p>
    <w:p w:rsidR="005F5E67" w:rsidRDefault="005F5E67">
      <w:pPr>
        <w:jc w:val="both"/>
        <w:rPr>
          <w:rFonts w:ascii="Times New Roman" w:hAnsi="Times New Roman"/>
          <w:sz w:val="22"/>
          <w:szCs w:val="22"/>
        </w:rPr>
      </w:pPr>
    </w:p>
    <w:p w:rsidR="005F5E67" w:rsidRDefault="005F5E67">
      <w:pPr>
        <w:jc w:val="both"/>
        <w:rPr>
          <w:rFonts w:ascii="Times New Roman" w:hAnsi="Times New Roman"/>
          <w:sz w:val="22"/>
          <w:szCs w:val="22"/>
        </w:rPr>
      </w:pPr>
    </w:p>
    <w:p w:rsidR="005F5E67" w:rsidRDefault="005F5E67">
      <w:pPr>
        <w:jc w:val="both"/>
        <w:rPr>
          <w:rFonts w:ascii="Times New Roman" w:hAnsi="Times New Roman"/>
          <w:sz w:val="22"/>
          <w:szCs w:val="22"/>
        </w:rPr>
      </w:pPr>
    </w:p>
    <w:tbl>
      <w:tblPr>
        <w:tblW w:w="7280" w:type="dxa"/>
        <w:jc w:val="center"/>
        <w:tblCellMar>
          <w:left w:w="10" w:type="dxa"/>
          <w:right w:w="10" w:type="dxa"/>
        </w:tblCellMar>
        <w:tblLook w:val="0000" w:firstRow="0" w:lastRow="0" w:firstColumn="0" w:lastColumn="0" w:noHBand="0" w:noVBand="0"/>
      </w:tblPr>
      <w:tblGrid>
        <w:gridCol w:w="1240"/>
        <w:gridCol w:w="1660"/>
        <w:gridCol w:w="3140"/>
        <w:gridCol w:w="1240"/>
      </w:tblGrid>
      <w:tr w:rsidR="005F5E67">
        <w:tblPrEx>
          <w:tblCellMar>
            <w:top w:w="0" w:type="dxa"/>
            <w:bottom w:w="0" w:type="dxa"/>
          </w:tblCellMar>
        </w:tblPrEx>
        <w:trPr>
          <w:trHeight w:val="840"/>
          <w:jc w:val="center"/>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Nombre Peaje</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CATEGORÍAS</w:t>
            </w:r>
          </w:p>
        </w:tc>
        <w:tc>
          <w:tcPr>
            <w:tcW w:w="31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DESCRIPCIÓN</w:t>
            </w:r>
          </w:p>
        </w:tc>
        <w:tc>
          <w:tcPr>
            <w:tcW w:w="12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 xml:space="preserve">Tarifa Año 2015 </w:t>
            </w:r>
          </w:p>
        </w:tc>
      </w:tr>
      <w:tr w:rsidR="005F5E67">
        <w:tblPrEx>
          <w:tblCellMar>
            <w:top w:w="0" w:type="dxa"/>
            <w:bottom w:w="0" w:type="dxa"/>
          </w:tblCellMar>
        </w:tblPrEx>
        <w:trPr>
          <w:trHeight w:val="492"/>
          <w:jc w:val="center"/>
        </w:trPr>
        <w:tc>
          <w:tcPr>
            <w:tcW w:w="1240" w:type="dxa"/>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El Cairo</w:t>
            </w:r>
          </w:p>
        </w:tc>
        <w:tc>
          <w:tcPr>
            <w:tcW w:w="16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w:t>
            </w:r>
          </w:p>
        </w:tc>
        <w:tc>
          <w:tcPr>
            <w:tcW w:w="31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Automóviles, camperos y camionetas</w:t>
            </w:r>
          </w:p>
        </w:tc>
        <w:tc>
          <w:tcPr>
            <w:tcW w:w="12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4.000 </w:t>
            </w:r>
          </w:p>
        </w:tc>
      </w:tr>
      <w:tr w:rsidR="005F5E67">
        <w:tblPrEx>
          <w:tblCellMar>
            <w:top w:w="0" w:type="dxa"/>
            <w:bottom w:w="0" w:type="dxa"/>
          </w:tblCellMar>
        </w:tblPrEx>
        <w:trPr>
          <w:trHeight w:val="30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31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r>
      <w:tr w:rsidR="005F5E67">
        <w:tblPrEx>
          <w:tblCellMar>
            <w:top w:w="0" w:type="dxa"/>
            <w:bottom w:w="0" w:type="dxa"/>
          </w:tblCellMar>
        </w:tblPrEx>
        <w:trPr>
          <w:trHeight w:val="876"/>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Buses, busetas, microbuses con eje trasero de doble llanta</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 13.700</w:t>
            </w:r>
          </w:p>
        </w:tc>
      </w:tr>
      <w:tr w:rsidR="005F5E67">
        <w:tblPrEx>
          <w:tblCellMar>
            <w:top w:w="0" w:type="dxa"/>
            <w:bottom w:w="0" w:type="dxa"/>
          </w:tblCellMar>
        </w:tblPrEx>
        <w:trPr>
          <w:trHeight w:val="492"/>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pequeños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 9.800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grandes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 15.100</w:t>
            </w:r>
          </w:p>
          <w:p w:rsidR="005F5E67" w:rsidRDefault="005F5E67">
            <w:pPr>
              <w:jc w:val="center"/>
              <w:rPr>
                <w:rFonts w:ascii="Times New Roman" w:hAnsi="Times New Roman"/>
                <w:color w:val="000000"/>
                <w:sz w:val="22"/>
                <w:szCs w:val="22"/>
                <w:lang w:val="es-CO" w:eastAsia="es-CO"/>
              </w:rPr>
            </w:pP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tres y cuatro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21.216 </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cinco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28.600 </w:t>
            </w:r>
          </w:p>
        </w:tc>
      </w:tr>
      <w:tr w:rsidR="005F5E67">
        <w:tblPrEx>
          <w:tblCellMar>
            <w:top w:w="0" w:type="dxa"/>
            <w:bottom w:w="0" w:type="dxa"/>
          </w:tblCellMar>
        </w:tblPrEx>
        <w:trPr>
          <w:trHeight w:val="624"/>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seis ejes o más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32.300 </w:t>
            </w:r>
          </w:p>
        </w:tc>
      </w:tr>
    </w:tbl>
    <w:p w:rsidR="005F5E67" w:rsidRDefault="005F5E67">
      <w:pPr>
        <w:jc w:val="both"/>
        <w:rPr>
          <w:rFonts w:ascii="Times New Roman" w:hAnsi="Times New Roman"/>
          <w:sz w:val="22"/>
          <w:szCs w:val="22"/>
          <w:lang w:val="es-CO"/>
        </w:rPr>
      </w:pPr>
    </w:p>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 xml:space="preserve">No incluyen FOSEVI </w:t>
      </w:r>
    </w:p>
    <w:tbl>
      <w:tblPr>
        <w:tblW w:w="7280" w:type="dxa"/>
        <w:jc w:val="center"/>
        <w:tblCellMar>
          <w:left w:w="10" w:type="dxa"/>
          <w:right w:w="10" w:type="dxa"/>
        </w:tblCellMar>
        <w:tblLook w:val="0000" w:firstRow="0" w:lastRow="0" w:firstColumn="0" w:lastColumn="0" w:noHBand="0" w:noVBand="0"/>
      </w:tblPr>
      <w:tblGrid>
        <w:gridCol w:w="1240"/>
        <w:gridCol w:w="1660"/>
        <w:gridCol w:w="3140"/>
        <w:gridCol w:w="1240"/>
      </w:tblGrid>
      <w:tr w:rsidR="005F5E67">
        <w:tblPrEx>
          <w:tblCellMar>
            <w:top w:w="0" w:type="dxa"/>
            <w:bottom w:w="0" w:type="dxa"/>
          </w:tblCellMar>
        </w:tblPrEx>
        <w:trPr>
          <w:trHeight w:val="840"/>
          <w:jc w:val="center"/>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Nombre Peaje</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CATEGORÍAS</w:t>
            </w:r>
          </w:p>
        </w:tc>
        <w:tc>
          <w:tcPr>
            <w:tcW w:w="31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DESCRIPCIÓN</w:t>
            </w:r>
          </w:p>
        </w:tc>
        <w:tc>
          <w:tcPr>
            <w:tcW w:w="12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 xml:space="preserve">Tarifa Año 2015 </w:t>
            </w:r>
          </w:p>
        </w:tc>
      </w:tr>
      <w:tr w:rsidR="005F5E67">
        <w:tblPrEx>
          <w:tblCellMar>
            <w:top w:w="0" w:type="dxa"/>
            <w:bottom w:w="0" w:type="dxa"/>
          </w:tblCellMar>
        </w:tblPrEx>
        <w:trPr>
          <w:trHeight w:val="492"/>
          <w:jc w:val="center"/>
        </w:trPr>
        <w:tc>
          <w:tcPr>
            <w:tcW w:w="12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Iracá</w:t>
            </w:r>
          </w:p>
        </w:tc>
        <w:tc>
          <w:tcPr>
            <w:tcW w:w="16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w:t>
            </w:r>
          </w:p>
        </w:tc>
        <w:tc>
          <w:tcPr>
            <w:tcW w:w="31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 xml:space="preserve">Automóviles, </w:t>
            </w:r>
            <w:r>
              <w:rPr>
                <w:rFonts w:ascii="Times New Roman" w:hAnsi="Times New Roman"/>
                <w:color w:val="000000"/>
                <w:sz w:val="22"/>
                <w:szCs w:val="22"/>
                <w:lang w:eastAsia="es-CO"/>
              </w:rPr>
              <w:t>camperos y camionetas</w:t>
            </w:r>
          </w:p>
        </w:tc>
        <w:tc>
          <w:tcPr>
            <w:tcW w:w="12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7.800</w:t>
            </w:r>
          </w:p>
        </w:tc>
      </w:tr>
      <w:tr w:rsidR="005F5E67">
        <w:tblPrEx>
          <w:tblCellMar>
            <w:top w:w="0" w:type="dxa"/>
            <w:bottom w:w="0" w:type="dxa"/>
          </w:tblCellMar>
        </w:tblPrEx>
        <w:trPr>
          <w:trHeight w:val="300"/>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31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r>
      <w:tr w:rsidR="005F5E67">
        <w:tblPrEx>
          <w:tblCellMar>
            <w:top w:w="0" w:type="dxa"/>
            <w:bottom w:w="0" w:type="dxa"/>
          </w:tblCellMar>
        </w:tblPrEx>
        <w:trPr>
          <w:trHeight w:val="792"/>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Buses, busetas, microbuses con eje trasero de doble llanta</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15.800</w:t>
            </w:r>
          </w:p>
        </w:tc>
      </w:tr>
      <w:tr w:rsidR="005F5E67">
        <w:tblPrEx>
          <w:tblCellMar>
            <w:top w:w="0" w:type="dxa"/>
            <w:bottom w:w="0" w:type="dxa"/>
          </w:tblCellMar>
        </w:tblPrEx>
        <w:trPr>
          <w:trHeight w:val="804"/>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pequeños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9.800</w:t>
            </w:r>
          </w:p>
        </w:tc>
      </w:tr>
      <w:tr w:rsidR="005F5E67">
        <w:tblPrEx>
          <w:tblCellMar>
            <w:top w:w="0" w:type="dxa"/>
            <w:bottom w:w="0" w:type="dxa"/>
          </w:tblCellMar>
        </w:tblPrEx>
        <w:trPr>
          <w:trHeight w:val="804"/>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grandes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17.300</w:t>
            </w:r>
          </w:p>
        </w:tc>
      </w:tr>
      <w:tr w:rsidR="005F5E67">
        <w:tblPrEx>
          <w:tblCellMar>
            <w:top w:w="0" w:type="dxa"/>
            <w:bottom w:w="0" w:type="dxa"/>
          </w:tblCellMar>
        </w:tblPrEx>
        <w:trPr>
          <w:trHeight w:val="804"/>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tres y cuatro</w:t>
            </w:r>
            <w:r>
              <w:rPr>
                <w:rFonts w:ascii="Times New Roman" w:hAnsi="Times New Roman"/>
                <w:color w:val="000000"/>
                <w:sz w:val="22"/>
                <w:szCs w:val="22"/>
                <w:lang w:eastAsia="es-CO"/>
              </w:rPr>
              <w:t xml:space="preserve">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25.800</w:t>
            </w:r>
          </w:p>
        </w:tc>
      </w:tr>
      <w:tr w:rsidR="005F5E67">
        <w:tblPrEx>
          <w:tblCellMar>
            <w:top w:w="0" w:type="dxa"/>
            <w:bottom w:w="0" w:type="dxa"/>
          </w:tblCellMar>
        </w:tblPrEx>
        <w:trPr>
          <w:trHeight w:val="540"/>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cinco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34.400</w:t>
            </w:r>
          </w:p>
        </w:tc>
      </w:tr>
      <w:tr w:rsidR="005F5E67">
        <w:tblPrEx>
          <w:tblCellMar>
            <w:top w:w="0" w:type="dxa"/>
            <w:bottom w:w="0" w:type="dxa"/>
          </w:tblCellMar>
        </w:tblPrEx>
        <w:trPr>
          <w:trHeight w:val="804"/>
          <w:jc w:val="center"/>
        </w:trPr>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seis ejes o más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37.400</w:t>
            </w:r>
          </w:p>
        </w:tc>
      </w:tr>
    </w:tbl>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No incluye FOSEVI</w:t>
      </w:r>
    </w:p>
    <w:p w:rsidR="005F5E67" w:rsidRDefault="005F5E67">
      <w:pPr>
        <w:spacing w:after="160" w:line="256" w:lineRule="auto"/>
        <w:jc w:val="both"/>
        <w:rPr>
          <w:rFonts w:ascii="Times New Roman" w:eastAsia="Calibri" w:hAnsi="Times New Roman"/>
          <w:sz w:val="22"/>
          <w:szCs w:val="22"/>
          <w:lang w:val="es-CO" w:eastAsia="en-US"/>
        </w:rPr>
      </w:pPr>
    </w:p>
    <w:tbl>
      <w:tblPr>
        <w:tblW w:w="7467" w:type="dxa"/>
        <w:jc w:val="center"/>
        <w:tblCellMar>
          <w:left w:w="10" w:type="dxa"/>
          <w:right w:w="10" w:type="dxa"/>
        </w:tblCellMar>
        <w:tblLook w:val="0000" w:firstRow="0" w:lastRow="0" w:firstColumn="0" w:lastColumn="0" w:noHBand="0" w:noVBand="0"/>
      </w:tblPr>
      <w:tblGrid>
        <w:gridCol w:w="1235"/>
        <w:gridCol w:w="1660"/>
        <w:gridCol w:w="3156"/>
        <w:gridCol w:w="1416"/>
      </w:tblGrid>
      <w:tr w:rsidR="005F5E67">
        <w:tblPrEx>
          <w:tblCellMar>
            <w:top w:w="0" w:type="dxa"/>
            <w:bottom w:w="0" w:type="dxa"/>
          </w:tblCellMar>
        </w:tblPrEx>
        <w:trPr>
          <w:trHeight w:val="840"/>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Nombre Peaje</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CATEGORÍAS</w:t>
            </w:r>
          </w:p>
        </w:tc>
        <w:tc>
          <w:tcPr>
            <w:tcW w:w="315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DESCRIPCIÓN</w:t>
            </w:r>
          </w:p>
        </w:tc>
        <w:tc>
          <w:tcPr>
            <w:tcW w:w="141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 xml:space="preserve">Tarifa Año 2015 </w:t>
            </w:r>
          </w:p>
        </w:tc>
      </w:tr>
      <w:tr w:rsidR="005F5E67">
        <w:tblPrEx>
          <w:tblCellMar>
            <w:top w:w="0" w:type="dxa"/>
            <w:bottom w:w="0" w:type="dxa"/>
          </w:tblCellMar>
        </w:tblPrEx>
        <w:trPr>
          <w:trHeight w:val="492"/>
          <w:jc w:val="center"/>
        </w:trPr>
        <w:tc>
          <w:tcPr>
            <w:tcW w:w="1235"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Ocoa</w:t>
            </w:r>
          </w:p>
        </w:tc>
        <w:tc>
          <w:tcPr>
            <w:tcW w:w="16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w:t>
            </w:r>
          </w:p>
        </w:tc>
        <w:tc>
          <w:tcPr>
            <w:tcW w:w="3156"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Automóviles, camperos y camionetas</w:t>
            </w:r>
          </w:p>
        </w:tc>
        <w:tc>
          <w:tcPr>
            <w:tcW w:w="1416"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7.800</w:t>
            </w:r>
          </w:p>
        </w:tc>
      </w:tr>
      <w:tr w:rsidR="005F5E67">
        <w:tblPrEx>
          <w:tblCellMar>
            <w:top w:w="0" w:type="dxa"/>
            <w:bottom w:w="0" w:type="dxa"/>
          </w:tblCellMar>
        </w:tblPrEx>
        <w:trPr>
          <w:trHeight w:val="300"/>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315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141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r>
      <w:tr w:rsidR="005F5E67">
        <w:tblPrEx>
          <w:tblCellMar>
            <w:top w:w="0" w:type="dxa"/>
            <w:bottom w:w="0" w:type="dxa"/>
          </w:tblCellMar>
        </w:tblPrEx>
        <w:trPr>
          <w:trHeight w:val="528"/>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Categoría IE</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val="es-CO" w:eastAsia="es-CO"/>
              </w:rPr>
              <w:t>Automóviles, camperos, taxis</w:t>
            </w:r>
            <w:r>
              <w:rPr>
                <w:rStyle w:val="Refdenotaalpie"/>
                <w:rFonts w:ascii="Times New Roman" w:hAnsi="Times New Roman"/>
                <w:color w:val="000000"/>
                <w:sz w:val="22"/>
                <w:szCs w:val="22"/>
                <w:lang w:val="es-CO" w:eastAsia="es-CO"/>
              </w:rPr>
              <w:footnoteReference w:id="1"/>
            </w:r>
            <w:r>
              <w:rPr>
                <w:rFonts w:ascii="Times New Roman" w:hAnsi="Times New Roman"/>
                <w:color w:val="000000"/>
                <w:sz w:val="22"/>
                <w:szCs w:val="22"/>
                <w:lang w:val="es-CO" w:eastAsia="es-CO"/>
              </w:rPr>
              <w:t xml:space="preserve"> y camionetas con Beneficio</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2.800</w:t>
            </w:r>
          </w:p>
        </w:tc>
      </w:tr>
      <w:tr w:rsidR="005F5E67">
        <w:tblPrEx>
          <w:tblCellMar>
            <w:top w:w="0" w:type="dxa"/>
            <w:bottom w:w="0" w:type="dxa"/>
          </w:tblCellMar>
        </w:tblPrEx>
        <w:trPr>
          <w:trHeight w:val="792"/>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Buses, busetas, microbuses con eje trasero de doble llanta</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15.800</w:t>
            </w:r>
          </w:p>
        </w:tc>
      </w:tr>
      <w:tr w:rsidR="005F5E67">
        <w:tblPrEx>
          <w:tblCellMar>
            <w:top w:w="0" w:type="dxa"/>
            <w:bottom w:w="0" w:type="dxa"/>
          </w:tblCellMar>
        </w:tblPrEx>
        <w:trPr>
          <w:trHeight w:val="535"/>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III</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pequeños de dos ejes</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9.800</w:t>
            </w:r>
          </w:p>
        </w:tc>
      </w:tr>
      <w:tr w:rsidR="005F5E67">
        <w:tblPrEx>
          <w:tblCellMar>
            <w:top w:w="0" w:type="dxa"/>
            <w:bottom w:w="0" w:type="dxa"/>
          </w:tblCellMar>
        </w:tblPrEx>
        <w:trPr>
          <w:trHeight w:val="804"/>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IV</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grandes de dos ejes</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17.300</w:t>
            </w:r>
          </w:p>
        </w:tc>
      </w:tr>
      <w:tr w:rsidR="005F5E67">
        <w:tblPrEx>
          <w:tblCellMar>
            <w:top w:w="0" w:type="dxa"/>
            <w:bottom w:w="0" w:type="dxa"/>
          </w:tblCellMar>
        </w:tblPrEx>
        <w:trPr>
          <w:trHeight w:val="804"/>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tres y cuatro ejes</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25.800</w:t>
            </w:r>
          </w:p>
        </w:tc>
      </w:tr>
      <w:tr w:rsidR="005F5E67">
        <w:tblPrEx>
          <w:tblCellMar>
            <w:top w:w="0" w:type="dxa"/>
            <w:bottom w:w="0" w:type="dxa"/>
          </w:tblCellMar>
        </w:tblPrEx>
        <w:trPr>
          <w:trHeight w:val="540"/>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cinco ejes</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34.400</w:t>
            </w:r>
          </w:p>
        </w:tc>
      </w:tr>
      <w:tr w:rsidR="005F5E67">
        <w:tblPrEx>
          <w:tblCellMar>
            <w:top w:w="0" w:type="dxa"/>
            <w:bottom w:w="0" w:type="dxa"/>
          </w:tblCellMar>
        </w:tblPrEx>
        <w:trPr>
          <w:trHeight w:val="300"/>
          <w:jc w:val="center"/>
        </w:trPr>
        <w:tc>
          <w:tcPr>
            <w:tcW w:w="1235"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VII</w:t>
            </w:r>
          </w:p>
        </w:tc>
        <w:tc>
          <w:tcPr>
            <w:tcW w:w="315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seis ejes o más</w:t>
            </w:r>
          </w:p>
        </w:tc>
        <w:tc>
          <w:tcPr>
            <w:tcW w:w="14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37.400</w:t>
            </w:r>
          </w:p>
        </w:tc>
      </w:tr>
    </w:tbl>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No incluye FOSEVI</w:t>
      </w:r>
    </w:p>
    <w:tbl>
      <w:tblPr>
        <w:tblW w:w="7350" w:type="dxa"/>
        <w:jc w:val="center"/>
        <w:tblCellMar>
          <w:left w:w="10" w:type="dxa"/>
          <w:right w:w="10" w:type="dxa"/>
        </w:tblCellMar>
        <w:tblLook w:val="0000" w:firstRow="0" w:lastRow="0" w:firstColumn="0" w:lastColumn="0" w:noHBand="0" w:noVBand="0"/>
      </w:tblPr>
      <w:tblGrid>
        <w:gridCol w:w="1310"/>
        <w:gridCol w:w="1660"/>
        <w:gridCol w:w="3140"/>
        <w:gridCol w:w="1240"/>
      </w:tblGrid>
      <w:tr w:rsidR="005F5E67">
        <w:tblPrEx>
          <w:tblCellMar>
            <w:top w:w="0" w:type="dxa"/>
            <w:bottom w:w="0" w:type="dxa"/>
          </w:tblCellMar>
        </w:tblPrEx>
        <w:trPr>
          <w:trHeight w:val="840"/>
          <w:jc w:val="center"/>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Nombre Peaje</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CATEGORÍAS</w:t>
            </w:r>
          </w:p>
        </w:tc>
        <w:tc>
          <w:tcPr>
            <w:tcW w:w="31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DESCRIPCIÓN</w:t>
            </w:r>
          </w:p>
        </w:tc>
        <w:tc>
          <w:tcPr>
            <w:tcW w:w="12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 xml:space="preserve">Tarifa Año 2015 </w:t>
            </w:r>
          </w:p>
        </w:tc>
      </w:tr>
      <w:tr w:rsidR="005F5E67">
        <w:tblPrEx>
          <w:tblCellMar>
            <w:top w:w="0" w:type="dxa"/>
            <w:bottom w:w="0" w:type="dxa"/>
          </w:tblCellMar>
        </w:tblPrEx>
        <w:trPr>
          <w:trHeight w:val="492"/>
          <w:jc w:val="center"/>
        </w:trPr>
        <w:tc>
          <w:tcPr>
            <w:tcW w:w="1310" w:type="dxa"/>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La Libertad</w:t>
            </w:r>
          </w:p>
        </w:tc>
        <w:tc>
          <w:tcPr>
            <w:tcW w:w="16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w:t>
            </w:r>
          </w:p>
        </w:tc>
        <w:tc>
          <w:tcPr>
            <w:tcW w:w="31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 xml:space="preserve">Automóviles, camperos y </w:t>
            </w:r>
            <w:r>
              <w:rPr>
                <w:rFonts w:ascii="Times New Roman" w:hAnsi="Times New Roman"/>
                <w:color w:val="000000"/>
                <w:sz w:val="22"/>
                <w:szCs w:val="22"/>
                <w:lang w:eastAsia="es-CO"/>
              </w:rPr>
              <w:lastRenderedPageBreak/>
              <w:t>camionetas</w:t>
            </w:r>
          </w:p>
        </w:tc>
        <w:tc>
          <w:tcPr>
            <w:tcW w:w="12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lastRenderedPageBreak/>
              <w:t>10.300</w:t>
            </w:r>
          </w:p>
        </w:tc>
      </w:tr>
      <w:tr w:rsidR="005F5E67">
        <w:tblPrEx>
          <w:tblCellMar>
            <w:top w:w="0" w:type="dxa"/>
            <w:bottom w:w="0" w:type="dxa"/>
          </w:tblCellMar>
        </w:tblPrEx>
        <w:trPr>
          <w:trHeight w:val="300"/>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31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r>
      <w:tr w:rsidR="005F5E67">
        <w:tblPrEx>
          <w:tblCellMar>
            <w:top w:w="0" w:type="dxa"/>
            <w:bottom w:w="0" w:type="dxa"/>
          </w:tblCellMar>
        </w:tblPrEx>
        <w:trPr>
          <w:trHeight w:val="876"/>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Buses, busetas, microbuses con eje trasero de doble llanta</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20.600</w:t>
            </w:r>
          </w:p>
        </w:tc>
      </w:tr>
      <w:tr w:rsidR="005F5E67">
        <w:tblPrEx>
          <w:tblCellMar>
            <w:top w:w="0" w:type="dxa"/>
            <w:bottom w:w="0" w:type="dxa"/>
          </w:tblCellMar>
        </w:tblPrEx>
        <w:trPr>
          <w:trHeight w:val="492"/>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pequeños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13.500</w:t>
            </w:r>
          </w:p>
        </w:tc>
      </w:tr>
      <w:tr w:rsidR="005F5E67">
        <w:tblPrEx>
          <w:tblCellMar>
            <w:top w:w="0" w:type="dxa"/>
            <w:bottom w:w="0" w:type="dxa"/>
          </w:tblCellMar>
        </w:tblPrEx>
        <w:trPr>
          <w:trHeight w:val="540"/>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grandes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22.700</w:t>
            </w:r>
          </w:p>
        </w:tc>
      </w:tr>
      <w:tr w:rsidR="005F5E67">
        <w:tblPrEx>
          <w:tblCellMar>
            <w:top w:w="0" w:type="dxa"/>
            <w:bottom w:w="0" w:type="dxa"/>
          </w:tblCellMar>
        </w:tblPrEx>
        <w:trPr>
          <w:trHeight w:val="540"/>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tres y cuatro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33.900</w:t>
            </w:r>
          </w:p>
        </w:tc>
      </w:tr>
      <w:tr w:rsidR="005F5E67">
        <w:tblPrEx>
          <w:tblCellMar>
            <w:top w:w="0" w:type="dxa"/>
            <w:bottom w:w="0" w:type="dxa"/>
          </w:tblCellMar>
        </w:tblPrEx>
        <w:trPr>
          <w:trHeight w:val="540"/>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cinco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44.700</w:t>
            </w:r>
          </w:p>
        </w:tc>
      </w:tr>
      <w:tr w:rsidR="005F5E67">
        <w:tblPrEx>
          <w:tblCellMar>
            <w:top w:w="0" w:type="dxa"/>
            <w:bottom w:w="0" w:type="dxa"/>
          </w:tblCellMar>
        </w:tblPrEx>
        <w:trPr>
          <w:trHeight w:val="624"/>
          <w:jc w:val="center"/>
        </w:trPr>
        <w:tc>
          <w:tcPr>
            <w:tcW w:w="131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seis ejes o más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51.216</w:t>
            </w:r>
          </w:p>
        </w:tc>
      </w:tr>
    </w:tbl>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No incluye FOSEVI</w:t>
      </w:r>
    </w:p>
    <w:tbl>
      <w:tblPr>
        <w:tblW w:w="7280" w:type="dxa"/>
        <w:jc w:val="center"/>
        <w:tblCellMar>
          <w:left w:w="10" w:type="dxa"/>
          <w:right w:w="10" w:type="dxa"/>
        </w:tblCellMar>
        <w:tblLook w:val="0000" w:firstRow="0" w:lastRow="0" w:firstColumn="0" w:lastColumn="0" w:noHBand="0" w:noVBand="0"/>
      </w:tblPr>
      <w:tblGrid>
        <w:gridCol w:w="1240"/>
        <w:gridCol w:w="1660"/>
        <w:gridCol w:w="3140"/>
        <w:gridCol w:w="1240"/>
      </w:tblGrid>
      <w:tr w:rsidR="005F5E67">
        <w:tblPrEx>
          <w:tblCellMar>
            <w:top w:w="0" w:type="dxa"/>
            <w:bottom w:w="0" w:type="dxa"/>
          </w:tblCellMar>
        </w:tblPrEx>
        <w:trPr>
          <w:trHeight w:val="840"/>
          <w:jc w:val="center"/>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Nombre Peaje</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CATEGORÍAS</w:t>
            </w:r>
          </w:p>
        </w:tc>
        <w:tc>
          <w:tcPr>
            <w:tcW w:w="31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DESCRIPCIÓN</w:t>
            </w:r>
          </w:p>
        </w:tc>
        <w:tc>
          <w:tcPr>
            <w:tcW w:w="12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 xml:space="preserve">Tarifa Año 2015 </w:t>
            </w:r>
          </w:p>
        </w:tc>
      </w:tr>
      <w:tr w:rsidR="005F5E67">
        <w:tblPrEx>
          <w:tblCellMar>
            <w:top w:w="0" w:type="dxa"/>
            <w:bottom w:w="0" w:type="dxa"/>
          </w:tblCellMar>
        </w:tblPrEx>
        <w:trPr>
          <w:trHeight w:val="492"/>
          <w:jc w:val="center"/>
        </w:trPr>
        <w:tc>
          <w:tcPr>
            <w:tcW w:w="1240" w:type="dxa"/>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Casetabla</w:t>
            </w:r>
          </w:p>
        </w:tc>
        <w:tc>
          <w:tcPr>
            <w:tcW w:w="16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w:t>
            </w:r>
          </w:p>
        </w:tc>
        <w:tc>
          <w:tcPr>
            <w:tcW w:w="31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Automóviles, camperos y camionetas</w:t>
            </w:r>
          </w:p>
        </w:tc>
        <w:tc>
          <w:tcPr>
            <w:tcW w:w="12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10.300</w:t>
            </w:r>
          </w:p>
        </w:tc>
      </w:tr>
      <w:tr w:rsidR="005F5E67">
        <w:tblPrEx>
          <w:tblCellMar>
            <w:top w:w="0" w:type="dxa"/>
            <w:bottom w:w="0" w:type="dxa"/>
          </w:tblCellMar>
        </w:tblPrEx>
        <w:trPr>
          <w:trHeight w:val="30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31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r>
      <w:tr w:rsidR="005F5E67">
        <w:tblPrEx>
          <w:tblCellMar>
            <w:top w:w="0" w:type="dxa"/>
            <w:bottom w:w="0" w:type="dxa"/>
          </w:tblCellMar>
        </w:tblPrEx>
        <w:trPr>
          <w:trHeight w:val="876"/>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Buses, busetas, microbuses con eje trasero de doble llanta</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20.600</w:t>
            </w:r>
          </w:p>
        </w:tc>
      </w:tr>
      <w:tr w:rsidR="005F5E67">
        <w:tblPrEx>
          <w:tblCellMar>
            <w:top w:w="0" w:type="dxa"/>
            <w:bottom w:w="0" w:type="dxa"/>
          </w:tblCellMar>
        </w:tblPrEx>
        <w:trPr>
          <w:trHeight w:val="492"/>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pequeños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13.500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grandes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22.700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tres y cuatro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33.900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cinco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44.700</w:t>
            </w:r>
          </w:p>
        </w:tc>
      </w:tr>
      <w:tr w:rsidR="005F5E67">
        <w:tblPrEx>
          <w:tblCellMar>
            <w:top w:w="0" w:type="dxa"/>
            <w:bottom w:w="0" w:type="dxa"/>
          </w:tblCellMar>
        </w:tblPrEx>
        <w:trPr>
          <w:trHeight w:val="624"/>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seis ejes o más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51.216</w:t>
            </w:r>
          </w:p>
        </w:tc>
      </w:tr>
    </w:tbl>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No incluye FOSEVI</w:t>
      </w:r>
    </w:p>
    <w:tbl>
      <w:tblPr>
        <w:tblW w:w="7280" w:type="dxa"/>
        <w:jc w:val="center"/>
        <w:tblCellMar>
          <w:left w:w="10" w:type="dxa"/>
          <w:right w:w="10" w:type="dxa"/>
        </w:tblCellMar>
        <w:tblLook w:val="0000" w:firstRow="0" w:lastRow="0" w:firstColumn="0" w:lastColumn="0" w:noHBand="0" w:noVBand="0"/>
      </w:tblPr>
      <w:tblGrid>
        <w:gridCol w:w="1240"/>
        <w:gridCol w:w="1660"/>
        <w:gridCol w:w="3140"/>
        <w:gridCol w:w="1240"/>
      </w:tblGrid>
      <w:tr w:rsidR="005F5E67">
        <w:tblPrEx>
          <w:tblCellMar>
            <w:top w:w="0" w:type="dxa"/>
            <w:bottom w:w="0" w:type="dxa"/>
          </w:tblCellMar>
        </w:tblPrEx>
        <w:trPr>
          <w:trHeight w:val="840"/>
          <w:jc w:val="center"/>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Nombre Peaje</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CATEGORÍAS</w:t>
            </w:r>
          </w:p>
        </w:tc>
        <w:tc>
          <w:tcPr>
            <w:tcW w:w="31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DESCRIPCIÓN</w:t>
            </w:r>
          </w:p>
        </w:tc>
        <w:tc>
          <w:tcPr>
            <w:tcW w:w="12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 xml:space="preserve">Tarifa Año 2015 </w:t>
            </w:r>
          </w:p>
        </w:tc>
      </w:tr>
      <w:tr w:rsidR="005F5E67">
        <w:tblPrEx>
          <w:tblCellMar>
            <w:top w:w="0" w:type="dxa"/>
            <w:bottom w:w="0" w:type="dxa"/>
          </w:tblCellMar>
        </w:tblPrEx>
        <w:trPr>
          <w:trHeight w:val="492"/>
          <w:jc w:val="center"/>
        </w:trPr>
        <w:tc>
          <w:tcPr>
            <w:tcW w:w="1240" w:type="dxa"/>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pPr>
            <w:r>
              <w:rPr>
                <w:rFonts w:ascii="Times New Roman" w:hAnsi="Times New Roman"/>
                <w:b/>
                <w:bCs/>
                <w:color w:val="000000"/>
                <w:sz w:val="22"/>
                <w:szCs w:val="22"/>
                <w:lang w:eastAsia="es-CO"/>
              </w:rPr>
              <w:t>Yucao</w:t>
            </w:r>
          </w:p>
        </w:tc>
        <w:tc>
          <w:tcPr>
            <w:tcW w:w="16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w:t>
            </w:r>
          </w:p>
        </w:tc>
        <w:tc>
          <w:tcPr>
            <w:tcW w:w="31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 xml:space="preserve">Automóviles, </w:t>
            </w:r>
            <w:r>
              <w:rPr>
                <w:rFonts w:ascii="Times New Roman" w:hAnsi="Times New Roman"/>
                <w:color w:val="000000"/>
                <w:sz w:val="22"/>
                <w:szCs w:val="22"/>
                <w:lang w:eastAsia="es-CO"/>
              </w:rPr>
              <w:t>camperos y camionetas</w:t>
            </w:r>
          </w:p>
        </w:tc>
        <w:tc>
          <w:tcPr>
            <w:tcW w:w="124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10.300</w:t>
            </w:r>
          </w:p>
        </w:tc>
      </w:tr>
      <w:tr w:rsidR="005F5E67">
        <w:tblPrEx>
          <w:tblCellMar>
            <w:top w:w="0" w:type="dxa"/>
            <w:bottom w:w="0" w:type="dxa"/>
          </w:tblCellMar>
        </w:tblPrEx>
        <w:trPr>
          <w:trHeight w:val="30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31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c>
          <w:tcPr>
            <w:tcW w:w="124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color w:val="000000"/>
                <w:sz w:val="22"/>
                <w:szCs w:val="22"/>
                <w:lang w:val="es-CO" w:eastAsia="es-CO"/>
              </w:rPr>
            </w:pPr>
          </w:p>
        </w:tc>
      </w:tr>
      <w:tr w:rsidR="005F5E67">
        <w:tblPrEx>
          <w:tblCellMar>
            <w:top w:w="0" w:type="dxa"/>
            <w:bottom w:w="0" w:type="dxa"/>
          </w:tblCellMar>
        </w:tblPrEx>
        <w:trPr>
          <w:trHeight w:val="876"/>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Buses, busetas, microbuses con eje trasero de doble llanta</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20.600</w:t>
            </w:r>
          </w:p>
        </w:tc>
      </w:tr>
      <w:tr w:rsidR="005F5E67">
        <w:tblPrEx>
          <w:tblCellMar>
            <w:top w:w="0" w:type="dxa"/>
            <w:bottom w:w="0" w:type="dxa"/>
          </w:tblCellMar>
        </w:tblPrEx>
        <w:trPr>
          <w:trHeight w:val="492"/>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pequeños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13.500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IV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grandes de dos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22.700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 xml:space="preserve">Camiones de tres y </w:t>
            </w:r>
            <w:r>
              <w:rPr>
                <w:rFonts w:ascii="Times New Roman" w:hAnsi="Times New Roman"/>
                <w:color w:val="000000"/>
                <w:sz w:val="22"/>
                <w:szCs w:val="22"/>
                <w:lang w:eastAsia="es-CO"/>
              </w:rPr>
              <w:t>cuatro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33.900</w:t>
            </w:r>
          </w:p>
        </w:tc>
      </w:tr>
      <w:tr w:rsidR="005F5E67">
        <w:tblPrEx>
          <w:tblCellMar>
            <w:top w:w="0" w:type="dxa"/>
            <w:bottom w:w="0" w:type="dxa"/>
          </w:tblCellMar>
        </w:tblPrEx>
        <w:trPr>
          <w:trHeight w:val="540"/>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cinco ejes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44.700</w:t>
            </w:r>
          </w:p>
        </w:tc>
      </w:tr>
      <w:tr w:rsidR="005F5E67">
        <w:tblPrEx>
          <w:tblCellMar>
            <w:top w:w="0" w:type="dxa"/>
            <w:bottom w:w="0" w:type="dxa"/>
          </w:tblCellMar>
        </w:tblPrEx>
        <w:trPr>
          <w:trHeight w:val="624"/>
          <w:jc w:val="center"/>
        </w:trPr>
        <w:tc>
          <w:tcPr>
            <w:tcW w:w="1240"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5F5E67">
            <w:pPr>
              <w:rPr>
                <w:rFonts w:ascii="Times New Roman" w:hAnsi="Times New Roman"/>
                <w:b/>
                <w:bCs/>
                <w:color w:val="000000"/>
                <w:sz w:val="22"/>
                <w:szCs w:val="22"/>
                <w:lang w:val="es-CO" w:eastAsia="es-CO"/>
              </w:rPr>
            </w:pP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F5E67" w:rsidRDefault="00307F2A">
            <w:pPr>
              <w:jc w:val="center"/>
            </w:pPr>
            <w:r>
              <w:rPr>
                <w:rFonts w:ascii="Times New Roman" w:hAnsi="Times New Roman"/>
                <w:color w:val="000000"/>
                <w:sz w:val="22"/>
                <w:szCs w:val="22"/>
                <w:lang w:eastAsia="es-CO"/>
              </w:rPr>
              <w:t>Categoría VII</w:t>
            </w:r>
          </w:p>
        </w:tc>
        <w:tc>
          <w:tcPr>
            <w:tcW w:w="31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both"/>
            </w:pPr>
            <w:r>
              <w:rPr>
                <w:rFonts w:ascii="Times New Roman" w:hAnsi="Times New Roman"/>
                <w:color w:val="000000"/>
                <w:sz w:val="22"/>
                <w:szCs w:val="22"/>
                <w:lang w:eastAsia="es-CO"/>
              </w:rPr>
              <w:t>Camiones de seis ejes o más</w:t>
            </w:r>
          </w:p>
        </w:tc>
        <w:tc>
          <w:tcPr>
            <w:tcW w:w="124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F5E67" w:rsidRDefault="00307F2A">
            <w:pPr>
              <w:jc w:val="center"/>
              <w:rPr>
                <w:rFonts w:ascii="Times New Roman" w:hAnsi="Times New Roman"/>
                <w:color w:val="000000"/>
                <w:sz w:val="22"/>
                <w:szCs w:val="22"/>
                <w:lang w:val="es-CO" w:eastAsia="es-CO"/>
              </w:rPr>
            </w:pPr>
            <w:r>
              <w:rPr>
                <w:rFonts w:ascii="Times New Roman" w:hAnsi="Times New Roman"/>
                <w:color w:val="000000"/>
                <w:sz w:val="22"/>
                <w:szCs w:val="22"/>
                <w:lang w:val="es-CO" w:eastAsia="es-CO"/>
              </w:rPr>
              <w:t>51.216</w:t>
            </w:r>
          </w:p>
        </w:tc>
      </w:tr>
    </w:tbl>
    <w:p w:rsidR="005F5E67" w:rsidRDefault="00307F2A">
      <w:pPr>
        <w:spacing w:after="160" w:line="256" w:lineRule="auto"/>
        <w:jc w:val="both"/>
        <w:rPr>
          <w:rFonts w:ascii="Times New Roman" w:eastAsia="Calibri" w:hAnsi="Times New Roman"/>
          <w:sz w:val="22"/>
          <w:szCs w:val="22"/>
          <w:lang w:val="es-CO" w:eastAsia="en-US"/>
        </w:rPr>
      </w:pPr>
      <w:r>
        <w:rPr>
          <w:rFonts w:ascii="Times New Roman" w:eastAsia="Calibri" w:hAnsi="Times New Roman"/>
          <w:sz w:val="22"/>
          <w:szCs w:val="22"/>
          <w:lang w:val="es-CO" w:eastAsia="en-US"/>
        </w:rPr>
        <w:t>No incluye FOSEVI</w:t>
      </w:r>
    </w:p>
    <w:p w:rsidR="005F5E67" w:rsidRDefault="00307F2A">
      <w:pPr>
        <w:tabs>
          <w:tab w:val="left" w:pos="0"/>
        </w:tabs>
        <w:jc w:val="both"/>
      </w:pPr>
      <w:r>
        <w:rPr>
          <w:rFonts w:ascii="Times New Roman" w:hAnsi="Times New Roman"/>
          <w:b/>
          <w:sz w:val="22"/>
          <w:szCs w:val="22"/>
        </w:rPr>
        <w:t xml:space="preserve">PARÁGRAFO 1: </w:t>
      </w:r>
      <w:r>
        <w:rPr>
          <w:rFonts w:ascii="Times New Roman" w:hAnsi="Times New Roman"/>
          <w:sz w:val="22"/>
          <w:szCs w:val="22"/>
        </w:rPr>
        <w:t xml:space="preserve">Para el caso de la estación de peaje El Cairo, el Concesionario tendrá derecho a realizar el recaudo una vez </w:t>
      </w:r>
      <w:r>
        <w:rPr>
          <w:rFonts w:ascii="Times New Roman" w:hAnsi="Times New Roman"/>
          <w:sz w:val="22"/>
          <w:szCs w:val="22"/>
        </w:rPr>
        <w:t>se suscriba el Acta de Terminación de Unidad Funcional para la Unidad Funcional 5 o el Acta de Terminación Parcial de Unidad Funcional para la Unidad Funcional 5, según corresponda, de conformidad con lo establecido en el contrato de Concesión que se suscr</w:t>
      </w:r>
      <w:r>
        <w:rPr>
          <w:rFonts w:ascii="Times New Roman" w:hAnsi="Times New Roman"/>
          <w:sz w:val="22"/>
          <w:szCs w:val="22"/>
        </w:rPr>
        <w:t xml:space="preserve">iba como consecuencia del trámite de la iniciativa privada. Seis meses antes de la instalación de la estación de peaje El Cairo, la Agencia Nacional de Infraestructura ANI y el Concesionario deberán socializarla con las comunidades del sector. </w:t>
      </w:r>
    </w:p>
    <w:p w:rsidR="005F5E67" w:rsidRDefault="00307F2A">
      <w:pPr>
        <w:jc w:val="both"/>
        <w:rPr>
          <w:rFonts w:ascii="Times New Roman" w:hAnsi="Times New Roman"/>
          <w:sz w:val="22"/>
          <w:szCs w:val="22"/>
        </w:rPr>
      </w:pPr>
      <w:r>
        <w:rPr>
          <w:rFonts w:ascii="Times New Roman" w:hAnsi="Times New Roman"/>
          <w:sz w:val="22"/>
          <w:szCs w:val="22"/>
        </w:rPr>
        <w:t xml:space="preserve"> </w:t>
      </w:r>
    </w:p>
    <w:p w:rsidR="005F5E67" w:rsidRDefault="005F5E67">
      <w:pPr>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PARÁGRAFO 2:</w:t>
      </w:r>
      <w:r>
        <w:rPr>
          <w:rFonts w:ascii="Times New Roman" w:hAnsi="Times New Roman"/>
          <w:sz w:val="22"/>
          <w:szCs w:val="22"/>
        </w:rPr>
        <w:t xml:space="preserve"> Las Estaciones de Peaje denominadas Casetabla y Yucao se encuentran actualmente operando dentro del Contrato 250 de 2011, celebrado entre el INVIAS y ODINSA PROYECTOS E INVERSIONES S.A. Una vez se efectúe la entrega de la infraestructura por p</w:t>
      </w:r>
      <w:r>
        <w:rPr>
          <w:rFonts w:ascii="Times New Roman" w:hAnsi="Times New Roman"/>
          <w:sz w:val="22"/>
          <w:szCs w:val="22"/>
        </w:rPr>
        <w:t>arte del INVIAS a la ANI, el derecho al recaudo se llevará a acabo de conformidad con las condiciones establecidas en la parte general y especial del contrato que se suscriba.</w:t>
      </w:r>
    </w:p>
    <w:p w:rsidR="005F5E67" w:rsidRDefault="005F5E67">
      <w:pPr>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PARÁGRAFO 3:</w:t>
      </w:r>
      <w:r>
        <w:rPr>
          <w:rFonts w:ascii="Times New Roman" w:hAnsi="Times New Roman"/>
          <w:sz w:val="22"/>
          <w:szCs w:val="22"/>
        </w:rPr>
        <w:t xml:space="preserve"> A las tarifas de peaje de que trata el presente artículo, se les a</w:t>
      </w:r>
      <w:r>
        <w:rPr>
          <w:rFonts w:ascii="Times New Roman" w:hAnsi="Times New Roman"/>
          <w:sz w:val="22"/>
          <w:szCs w:val="22"/>
        </w:rPr>
        <w:t>dicionará el valor del Fondo de Seguridad Vial del periodo de actualización, acorde con la Resolución Vigente que el Ministerio de Trasporte expida para tal efecto.</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 </w:t>
      </w:r>
    </w:p>
    <w:p w:rsidR="005F5E67" w:rsidRDefault="00307F2A">
      <w:pPr>
        <w:tabs>
          <w:tab w:val="left" w:pos="0"/>
        </w:tabs>
        <w:jc w:val="both"/>
      </w:pPr>
      <w:r>
        <w:rPr>
          <w:rFonts w:ascii="Times New Roman" w:hAnsi="Times New Roman"/>
          <w:b/>
          <w:sz w:val="22"/>
          <w:szCs w:val="22"/>
        </w:rPr>
        <w:t>ARTÍCULO CUARTO:</w:t>
      </w:r>
      <w:r>
        <w:rPr>
          <w:rFonts w:ascii="Times New Roman" w:hAnsi="Times New Roman"/>
          <w:sz w:val="22"/>
          <w:szCs w:val="22"/>
        </w:rPr>
        <w:t xml:space="preserve"> Establecer las tarifas especiales diferenciales para los siguientes peaj</w:t>
      </w:r>
      <w:r>
        <w:rPr>
          <w:rFonts w:ascii="Times New Roman" w:hAnsi="Times New Roman"/>
          <w:sz w:val="22"/>
          <w:szCs w:val="22"/>
        </w:rPr>
        <w:t xml:space="preserve">es y beneficiarios para la categoría I (Automóviles, camperos, camionetas y microbuses con ejes de llanta </w:t>
      </w:r>
      <w:proofErr w:type="gramStart"/>
      <w:r>
        <w:rPr>
          <w:rFonts w:ascii="Times New Roman" w:hAnsi="Times New Roman"/>
          <w:sz w:val="22"/>
          <w:szCs w:val="22"/>
        </w:rPr>
        <w:t>sencillo</w:t>
      </w:r>
      <w:proofErr w:type="gramEnd"/>
      <w:r>
        <w:rPr>
          <w:rFonts w:ascii="Times New Roman" w:hAnsi="Times New Roman"/>
          <w:sz w:val="22"/>
          <w:szCs w:val="22"/>
        </w:rPr>
        <w:t>):</w:t>
      </w:r>
    </w:p>
    <w:p w:rsidR="005F5E67" w:rsidRDefault="005F5E67">
      <w:pPr>
        <w:jc w:val="both"/>
        <w:rPr>
          <w:rFonts w:ascii="Times New Roman" w:hAnsi="Times New Roman"/>
          <w:b/>
          <w:sz w:val="22"/>
          <w:szCs w:val="22"/>
        </w:rPr>
      </w:pPr>
    </w:p>
    <w:tbl>
      <w:tblPr>
        <w:tblW w:w="8830" w:type="dxa"/>
        <w:jc w:val="center"/>
        <w:tblCellMar>
          <w:left w:w="10" w:type="dxa"/>
          <w:right w:w="10" w:type="dxa"/>
        </w:tblCellMar>
        <w:tblLook w:val="0000" w:firstRow="0" w:lastRow="0" w:firstColumn="0" w:lastColumn="0" w:noHBand="0" w:noVBand="0"/>
      </w:tblPr>
      <w:tblGrid>
        <w:gridCol w:w="1545"/>
        <w:gridCol w:w="2707"/>
        <w:gridCol w:w="2151"/>
        <w:gridCol w:w="2427"/>
      </w:tblGrid>
      <w:tr w:rsidR="005F5E67">
        <w:tblPrEx>
          <w:tblCellMar>
            <w:top w:w="0" w:type="dxa"/>
            <w:bottom w:w="0" w:type="dxa"/>
          </w:tblCellMar>
        </w:tblPrEx>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Estación de peaje</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Beneficiarios</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 xml:space="preserve">Cantidad de Beneficios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Tarifa Año 2015 (No incluye FOSEVI)</w:t>
            </w:r>
          </w:p>
        </w:tc>
      </w:tr>
      <w:tr w:rsidR="005F5E67">
        <w:tblPrEx>
          <w:tblCellMar>
            <w:top w:w="0" w:type="dxa"/>
            <w:bottom w:w="0" w:type="dxa"/>
          </w:tblCellMar>
        </w:tblPrEx>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Casetabla</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 xml:space="preserve">Residentes Puerto López (viajes </w:t>
            </w:r>
            <w:r>
              <w:rPr>
                <w:rFonts w:ascii="Times New Roman" w:eastAsia="Calibri" w:hAnsi="Times New Roman" w:cs="Times New Roman"/>
                <w:kern w:val="0"/>
                <w:sz w:val="22"/>
                <w:szCs w:val="22"/>
                <w:lang w:val="es-CO" w:eastAsia="en-US" w:bidi="ar-SA"/>
              </w:rPr>
              <w:t>Puerto López – Puerto Gaitán y Puerto Gaitán – Puerto López)</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159 Automóviles y 12 taxis</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5.100</w:t>
            </w:r>
          </w:p>
        </w:tc>
      </w:tr>
      <w:tr w:rsidR="005F5E67">
        <w:tblPrEx>
          <w:tblCellMar>
            <w:top w:w="0" w:type="dxa"/>
            <w:bottom w:w="0" w:type="dxa"/>
          </w:tblCellMar>
        </w:tblPrEx>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Yucao</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Residentes Puerto Gaitán (viajes Puerto Gaitán – Puerto López y Puerto López – Puerto Gaitán)</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132 Automóviles y 7 taxis</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5.100</w:t>
            </w:r>
          </w:p>
        </w:tc>
      </w:tr>
      <w:tr w:rsidR="005F5E67">
        <w:tblPrEx>
          <w:tblCellMar>
            <w:top w:w="0" w:type="dxa"/>
            <w:bottom w:w="0" w:type="dxa"/>
          </w:tblCellMar>
        </w:tblPrEx>
        <w:trPr>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La Libertad</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 xml:space="preserve">Residentes </w:t>
            </w:r>
            <w:r>
              <w:rPr>
                <w:rFonts w:ascii="Times New Roman" w:eastAsia="Calibri" w:hAnsi="Times New Roman" w:cs="Times New Roman"/>
                <w:kern w:val="0"/>
                <w:sz w:val="22"/>
                <w:szCs w:val="22"/>
                <w:lang w:val="es-CO" w:eastAsia="en-US" w:bidi="ar-SA"/>
              </w:rPr>
              <w:t>Pompeya</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67 Automóviles</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E67" w:rsidRDefault="00307F2A">
            <w:pPr>
              <w:widowControl/>
              <w:tabs>
                <w:tab w:val="left" w:pos="0"/>
              </w:tabs>
              <w:spacing w:after="120"/>
              <w:jc w:val="center"/>
              <w:textAlignment w:val="auto"/>
              <w:rPr>
                <w:rFonts w:ascii="Times New Roman" w:eastAsia="Calibri" w:hAnsi="Times New Roman" w:cs="Times New Roman"/>
                <w:kern w:val="0"/>
                <w:sz w:val="22"/>
                <w:szCs w:val="22"/>
                <w:lang w:val="es-CO" w:eastAsia="en-US" w:bidi="ar-SA"/>
              </w:rPr>
            </w:pPr>
            <w:r>
              <w:rPr>
                <w:rFonts w:ascii="Times New Roman" w:eastAsia="Calibri" w:hAnsi="Times New Roman" w:cs="Times New Roman"/>
                <w:kern w:val="0"/>
                <w:sz w:val="22"/>
                <w:szCs w:val="22"/>
                <w:lang w:val="es-CO" w:eastAsia="en-US" w:bidi="ar-SA"/>
              </w:rPr>
              <w:t>5.100</w:t>
            </w:r>
          </w:p>
        </w:tc>
      </w:tr>
    </w:tbl>
    <w:p w:rsidR="005F5E67" w:rsidRDefault="005F5E67">
      <w:pPr>
        <w:jc w:val="both"/>
        <w:rPr>
          <w:rFonts w:ascii="Times New Roman" w:hAnsi="Times New Roman"/>
          <w:b/>
          <w:sz w:val="22"/>
          <w:szCs w:val="22"/>
        </w:rPr>
      </w:pPr>
    </w:p>
    <w:p w:rsidR="005F5E67" w:rsidRDefault="00307F2A">
      <w:pPr>
        <w:tabs>
          <w:tab w:val="left" w:pos="0"/>
        </w:tabs>
        <w:jc w:val="both"/>
      </w:pPr>
      <w:r>
        <w:rPr>
          <w:rFonts w:ascii="Times New Roman" w:hAnsi="Times New Roman"/>
          <w:b/>
          <w:sz w:val="22"/>
          <w:szCs w:val="22"/>
        </w:rPr>
        <w:t>PARÁGRAFO 1</w:t>
      </w:r>
      <w:r>
        <w:rPr>
          <w:rFonts w:ascii="Times New Roman" w:hAnsi="Times New Roman"/>
          <w:sz w:val="22"/>
          <w:szCs w:val="22"/>
        </w:rPr>
        <w:t xml:space="preserve">: Únicamente será otorgada la calidad de usuario beneficiario de la tarifa especial diferencial a las personas naturales propietarias y/o con contrato de leasing de vehículos que cumplan </w:t>
      </w:r>
      <w:r>
        <w:rPr>
          <w:rFonts w:ascii="Times New Roman" w:hAnsi="Times New Roman"/>
          <w:sz w:val="22"/>
          <w:szCs w:val="22"/>
        </w:rPr>
        <w:lastRenderedPageBreak/>
        <w:t>con las condiciones estable</w:t>
      </w:r>
      <w:r>
        <w:rPr>
          <w:rFonts w:ascii="Times New Roman" w:hAnsi="Times New Roman"/>
          <w:sz w:val="22"/>
          <w:szCs w:val="22"/>
        </w:rPr>
        <w:t xml:space="preserve">cidas en la presente Resolución.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PARÁGRAFO 2:</w:t>
      </w:r>
      <w:r>
        <w:rPr>
          <w:rFonts w:ascii="Times New Roman" w:hAnsi="Times New Roman"/>
          <w:sz w:val="22"/>
          <w:szCs w:val="22"/>
        </w:rPr>
        <w:t xml:space="preserve"> La Tarjeta de Identificación Electrónica (TIE) será el único medio válido para identificar los beneficiarios y sus vehículos asignados para la aplicación de dicha tarifa, sin ella, ningún usuario podrá </w:t>
      </w:r>
      <w:r>
        <w:rPr>
          <w:rFonts w:ascii="Times New Roman" w:hAnsi="Times New Roman"/>
          <w:sz w:val="22"/>
          <w:szCs w:val="22"/>
        </w:rPr>
        <w:t>acceder a las tarifas especiales diferenciales.</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PARÁGRAFO 3:</w:t>
      </w:r>
      <w:r>
        <w:rPr>
          <w:rFonts w:ascii="Times New Roman" w:hAnsi="Times New Roman"/>
          <w:sz w:val="22"/>
          <w:szCs w:val="22"/>
        </w:rPr>
        <w:t xml:space="preserve"> Las anteriores tarifas regirán a partir de la Fecha de Inicio del Contrato de Concesión que se suscribirá como consecuencia del trámite que ha surtido la iniciativa privada </w:t>
      </w:r>
      <w:r>
        <w:rPr>
          <w:rFonts w:ascii="Times New Roman" w:hAnsi="Times New Roman"/>
          <w:i/>
          <w:sz w:val="22"/>
          <w:szCs w:val="22"/>
        </w:rPr>
        <w:t xml:space="preserve">“I.P. Malla Vial del </w:t>
      </w:r>
      <w:r>
        <w:rPr>
          <w:rFonts w:ascii="Times New Roman" w:hAnsi="Times New Roman"/>
          <w:i/>
          <w:sz w:val="22"/>
          <w:szCs w:val="22"/>
        </w:rPr>
        <w:t>Meta”</w:t>
      </w:r>
      <w:r>
        <w:rPr>
          <w:rFonts w:ascii="Times New Roman" w:hAnsi="Times New Roman"/>
          <w:sz w:val="22"/>
          <w:szCs w:val="22"/>
        </w:rPr>
        <w:t xml:space="preserve"> en el marco de la Ley 1508 de 2012 y sus decretos reglamentarios.</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PARÁGRAFO 4:</w:t>
      </w:r>
      <w:r>
        <w:rPr>
          <w:rFonts w:ascii="Times New Roman" w:hAnsi="Times New Roman"/>
          <w:sz w:val="22"/>
          <w:szCs w:val="22"/>
        </w:rPr>
        <w:t xml:space="preserve"> El número de beneficiarios se actualizará anualmente con la tasa de crecimiento del TPD anual de cada una de las estaciones de peaje a la que corresponda la tarifa especi</w:t>
      </w:r>
      <w:r>
        <w:rPr>
          <w:rFonts w:ascii="Times New Roman" w:hAnsi="Times New Roman"/>
          <w:sz w:val="22"/>
          <w:szCs w:val="22"/>
        </w:rPr>
        <w:t>al.</w:t>
      </w:r>
    </w:p>
    <w:p w:rsidR="005F5E67" w:rsidRDefault="005F5E67">
      <w:pPr>
        <w:jc w:val="both"/>
        <w:rPr>
          <w:rFonts w:ascii="Times New Roman" w:hAnsi="Times New Roman"/>
          <w:b/>
          <w:sz w:val="22"/>
          <w:szCs w:val="22"/>
        </w:rPr>
      </w:pPr>
    </w:p>
    <w:p w:rsidR="005F5E67" w:rsidRDefault="00307F2A">
      <w:pPr>
        <w:tabs>
          <w:tab w:val="left" w:pos="0"/>
        </w:tabs>
        <w:jc w:val="both"/>
      </w:pPr>
      <w:r>
        <w:rPr>
          <w:rFonts w:ascii="Times New Roman" w:hAnsi="Times New Roman"/>
          <w:b/>
          <w:sz w:val="22"/>
          <w:szCs w:val="22"/>
        </w:rPr>
        <w:t xml:space="preserve">PARÁGRAFO 5: </w:t>
      </w:r>
      <w:r>
        <w:rPr>
          <w:rFonts w:ascii="Times New Roman" w:hAnsi="Times New Roman"/>
          <w:sz w:val="22"/>
          <w:szCs w:val="22"/>
        </w:rPr>
        <w:t>A la tarifas de peajes  de que trata el presente artículo, se les adicionará el valor del Fondo de Seguridad Vial del periodo de actualización, acorde con la Resolución Vigente que el Ministerio de Trasporte expida para tal efecto.</w:t>
      </w:r>
    </w:p>
    <w:p w:rsidR="005F5E67" w:rsidRDefault="005F5E67">
      <w:pPr>
        <w:jc w:val="both"/>
        <w:rPr>
          <w:rFonts w:ascii="Times New Roman" w:hAnsi="Times New Roman"/>
          <w:b/>
          <w:sz w:val="22"/>
          <w:szCs w:val="22"/>
        </w:rPr>
      </w:pPr>
    </w:p>
    <w:p w:rsidR="005F5E67" w:rsidRDefault="005F5E67">
      <w:pPr>
        <w:jc w:val="both"/>
        <w:rPr>
          <w:rFonts w:ascii="Times New Roman" w:hAnsi="Times New Roman"/>
          <w:b/>
          <w:sz w:val="22"/>
          <w:szCs w:val="22"/>
        </w:rPr>
      </w:pPr>
    </w:p>
    <w:p w:rsidR="005F5E67" w:rsidRDefault="00307F2A">
      <w:pPr>
        <w:jc w:val="both"/>
      </w:pPr>
      <w:r>
        <w:rPr>
          <w:rFonts w:ascii="Times New Roman" w:hAnsi="Times New Roman"/>
          <w:b/>
          <w:sz w:val="22"/>
          <w:szCs w:val="22"/>
        </w:rPr>
        <w:t>ARTÍ</w:t>
      </w:r>
      <w:r>
        <w:rPr>
          <w:rFonts w:ascii="Times New Roman" w:hAnsi="Times New Roman"/>
          <w:b/>
          <w:sz w:val="22"/>
          <w:szCs w:val="22"/>
        </w:rPr>
        <w:t>CULO QUINTO:</w:t>
      </w:r>
      <w:r>
        <w:rPr>
          <w:rFonts w:ascii="Times New Roman" w:hAnsi="Times New Roman"/>
          <w:sz w:val="22"/>
          <w:szCs w:val="22"/>
        </w:rPr>
        <w:t xml:space="preserve"> Modificar el artículo segundo de la resolución 3126 del 17 de Octubre de 2014 “ Por medio de la cual se establecen tarifas especiales para transporte particular y público categoría E a los residentes del Municipio de Acacias que sean usuarios </w:t>
      </w:r>
      <w:r>
        <w:rPr>
          <w:rFonts w:ascii="Times New Roman" w:hAnsi="Times New Roman"/>
          <w:sz w:val="22"/>
          <w:szCs w:val="22"/>
        </w:rPr>
        <w:t xml:space="preserve">frecuentes del peaje Ocoa y se dictan otras disposiciones” en el sentido de aclarar que de los 5759 beneficiarios de tarifa especial diferencial, máximo 216 de estos serán otorgados para el servicio público de transporte urbano individual de pasajeros que </w:t>
      </w:r>
      <w:r>
        <w:rPr>
          <w:rFonts w:ascii="Times New Roman" w:hAnsi="Times New Roman"/>
          <w:sz w:val="22"/>
          <w:szCs w:val="22"/>
        </w:rPr>
        <w:t>prestan el servicio en la jurisdicción del municipio de Acacias.</w:t>
      </w:r>
    </w:p>
    <w:p w:rsidR="005F5E67" w:rsidRDefault="005F5E67">
      <w:pPr>
        <w:jc w:val="both"/>
        <w:rPr>
          <w:rFonts w:ascii="Times New Roman" w:hAnsi="Times New Roman"/>
          <w:sz w:val="22"/>
          <w:szCs w:val="22"/>
        </w:rPr>
      </w:pPr>
    </w:p>
    <w:p w:rsidR="005F5E67" w:rsidRDefault="00307F2A">
      <w:pPr>
        <w:jc w:val="both"/>
      </w:pPr>
      <w:r>
        <w:rPr>
          <w:rFonts w:ascii="Times New Roman" w:hAnsi="Times New Roman"/>
          <w:b/>
          <w:sz w:val="22"/>
          <w:szCs w:val="22"/>
        </w:rPr>
        <w:t>ARTICULO SEXTO</w:t>
      </w:r>
      <w:r>
        <w:rPr>
          <w:rFonts w:ascii="Times New Roman" w:hAnsi="Times New Roman"/>
          <w:sz w:val="22"/>
          <w:szCs w:val="22"/>
        </w:rPr>
        <w:t>: Adicionar el siguiente parágrafo al artículo 3 de la Resolución 3126 de 2014 “ Por medio de la cual se establecen tarifas especiales para transporte particular y público cate</w:t>
      </w:r>
      <w:r>
        <w:rPr>
          <w:rFonts w:ascii="Times New Roman" w:hAnsi="Times New Roman"/>
          <w:sz w:val="22"/>
          <w:szCs w:val="22"/>
        </w:rPr>
        <w:t>goría E a los residentes del Municipio de Acacias que sean usuarios frecuentes del peaje Ocoa y se dictan otras disposiciones”:</w:t>
      </w:r>
    </w:p>
    <w:p w:rsidR="005F5E67" w:rsidRDefault="005F5E67">
      <w:pPr>
        <w:jc w:val="both"/>
        <w:rPr>
          <w:rFonts w:ascii="Times New Roman" w:hAnsi="Times New Roman"/>
          <w:sz w:val="22"/>
          <w:szCs w:val="22"/>
        </w:rPr>
      </w:pPr>
    </w:p>
    <w:p w:rsidR="005F5E67" w:rsidRDefault="00307F2A">
      <w:pPr>
        <w:jc w:val="both"/>
      </w:pPr>
      <w:r>
        <w:rPr>
          <w:rFonts w:ascii="Times New Roman" w:hAnsi="Times New Roman"/>
          <w:b/>
          <w:sz w:val="22"/>
          <w:szCs w:val="22"/>
        </w:rPr>
        <w:t>PARÁGRAFO 1</w:t>
      </w:r>
      <w:r>
        <w:rPr>
          <w:rFonts w:ascii="Times New Roman" w:hAnsi="Times New Roman"/>
          <w:sz w:val="22"/>
          <w:szCs w:val="22"/>
        </w:rPr>
        <w:t>: Las personas que tengan sanciones por infracción a las normas de tránsito, en el derecho que les asiste por presun</w:t>
      </w:r>
      <w:r>
        <w:rPr>
          <w:rFonts w:ascii="Times New Roman" w:hAnsi="Times New Roman"/>
          <w:sz w:val="22"/>
          <w:szCs w:val="22"/>
        </w:rPr>
        <w:t>ción de inocencia, podrán aspirar al beneficio de tarifa especial para el peaje de Ocoa siempre y cuando hayan impugnado dentro del término establecido por la Ley y ante la autoridad competente, el acto mediante el cual se les ha declarado la infracción; t</w:t>
      </w:r>
      <w:r>
        <w:rPr>
          <w:rFonts w:ascii="Times New Roman" w:hAnsi="Times New Roman"/>
          <w:sz w:val="22"/>
          <w:szCs w:val="22"/>
        </w:rPr>
        <w:t>ambién podrán aspirar al beneficio aquellas personas que tengan vigente un acuerdo de pago por multas o infracciones. Por lo anterior los aspirantes que se encuentren en esta condición radicarán, junto con los demás documentos exigidos en la presente resol</w:t>
      </w:r>
      <w:r>
        <w:rPr>
          <w:rFonts w:ascii="Times New Roman" w:hAnsi="Times New Roman"/>
          <w:sz w:val="22"/>
          <w:szCs w:val="22"/>
        </w:rPr>
        <w:t>ución, la respectiva copia de solicitud de impugnación que ha dirigido a la autoridad de tránsito o el documento mediante el cual fue aprobado el acuerdo de pago.</w:t>
      </w:r>
    </w:p>
    <w:p w:rsidR="005F5E67" w:rsidRDefault="005F5E67">
      <w:pPr>
        <w:jc w:val="both"/>
        <w:rPr>
          <w:rFonts w:ascii="Times New Roman" w:hAnsi="Times New Roman"/>
          <w:sz w:val="22"/>
          <w:szCs w:val="22"/>
        </w:rPr>
      </w:pPr>
    </w:p>
    <w:p w:rsidR="005F5E67" w:rsidRDefault="00307F2A">
      <w:pPr>
        <w:jc w:val="both"/>
        <w:rPr>
          <w:rFonts w:ascii="Times New Roman" w:hAnsi="Times New Roman"/>
          <w:sz w:val="22"/>
          <w:szCs w:val="22"/>
        </w:rPr>
      </w:pPr>
      <w:r>
        <w:rPr>
          <w:rFonts w:ascii="Times New Roman" w:hAnsi="Times New Roman"/>
          <w:sz w:val="22"/>
          <w:szCs w:val="22"/>
        </w:rPr>
        <w:t>Para los casos particulares de aspirantes con impugnación de comparendos o acuerdo de pago e</w:t>
      </w:r>
      <w:r>
        <w:rPr>
          <w:rFonts w:ascii="Times New Roman" w:hAnsi="Times New Roman"/>
          <w:sz w:val="22"/>
          <w:szCs w:val="22"/>
        </w:rPr>
        <w:t>l beneficio de tarifa diferencial para el peaje de Ocoa (siempre y cuando cumpla también con los demás requisitos) será otorgado con carácter temporal hasta que se resuelva por parte de la autoridad competente su caso, para lo cual el concesionario e inter</w:t>
      </w:r>
      <w:r>
        <w:rPr>
          <w:rFonts w:ascii="Times New Roman" w:hAnsi="Times New Roman"/>
          <w:sz w:val="22"/>
          <w:szCs w:val="22"/>
        </w:rPr>
        <w:t>ventoría realizarán el seguimiento pertinente. Si una vez resuelto por parte de la autoridad competente se demuestra que el fallo es en contra del solicitante, se procederá a retirar el beneficio sin que dé lugar a reclamación alguna por parte del benefici</w:t>
      </w:r>
      <w:r>
        <w:rPr>
          <w:rFonts w:ascii="Times New Roman" w:hAnsi="Times New Roman"/>
          <w:sz w:val="22"/>
          <w:szCs w:val="22"/>
        </w:rPr>
        <w:t>ario. A los beneficios que se otorguen a los aspirantes que tengan acuerdo de pago, se les realizará seguimiento ante las autoridades de tránsito y en caso de que se demuestre incumplimiento en los pagos, se procederá a retirar el beneficio..</w:t>
      </w:r>
    </w:p>
    <w:p w:rsidR="005F5E67" w:rsidRDefault="005F5E67">
      <w:pPr>
        <w:jc w:val="both"/>
        <w:rPr>
          <w:rFonts w:ascii="Times New Roman" w:hAnsi="Times New Roman"/>
          <w:b/>
          <w:sz w:val="22"/>
          <w:szCs w:val="22"/>
        </w:rPr>
      </w:pPr>
    </w:p>
    <w:p w:rsidR="005F5E67" w:rsidRDefault="00307F2A">
      <w:pPr>
        <w:jc w:val="both"/>
      </w:pPr>
      <w:r>
        <w:rPr>
          <w:rFonts w:ascii="Times New Roman" w:hAnsi="Times New Roman"/>
          <w:b/>
          <w:sz w:val="22"/>
          <w:szCs w:val="22"/>
        </w:rPr>
        <w:t>ARTÍCULO SÉP</w:t>
      </w:r>
      <w:r>
        <w:rPr>
          <w:rFonts w:ascii="Times New Roman" w:hAnsi="Times New Roman"/>
          <w:b/>
          <w:sz w:val="22"/>
          <w:szCs w:val="22"/>
        </w:rPr>
        <w:t>TIMO</w:t>
      </w:r>
      <w:proofErr w:type="gramStart"/>
      <w:r>
        <w:rPr>
          <w:rFonts w:ascii="Times New Roman" w:hAnsi="Times New Roman"/>
          <w:b/>
          <w:sz w:val="22"/>
          <w:szCs w:val="22"/>
        </w:rPr>
        <w:t xml:space="preserve">:  </w:t>
      </w:r>
      <w:r>
        <w:rPr>
          <w:rFonts w:ascii="Times New Roman" w:hAnsi="Times New Roman"/>
          <w:color w:val="000000"/>
          <w:sz w:val="22"/>
          <w:szCs w:val="22"/>
          <w:lang w:eastAsia="es-CO"/>
        </w:rPr>
        <w:t>Las</w:t>
      </w:r>
      <w:proofErr w:type="gramEnd"/>
      <w:r>
        <w:rPr>
          <w:rFonts w:ascii="Times New Roman" w:hAnsi="Times New Roman"/>
          <w:color w:val="000000"/>
          <w:sz w:val="22"/>
          <w:szCs w:val="22"/>
          <w:lang w:eastAsia="es-CO"/>
        </w:rPr>
        <w:t xml:space="preserve"> tarifas de peaje de que trata la presente resolución se actualizarán cada año, de acuerdo a lo establecido en la minuta del contrato de concesión que se derive como </w:t>
      </w:r>
      <w:r>
        <w:rPr>
          <w:rFonts w:ascii="Times New Roman" w:hAnsi="Times New Roman"/>
          <w:color w:val="000000"/>
          <w:sz w:val="22"/>
          <w:szCs w:val="22"/>
          <w:lang w:eastAsia="es-CO"/>
        </w:rPr>
        <w:lastRenderedPageBreak/>
        <w:t>consecuencia del trámite de la iniciativa privada presentada por el originador</w:t>
      </w:r>
      <w:r>
        <w:rPr>
          <w:rFonts w:ascii="Times New Roman" w:eastAsia="Calibri" w:hAnsi="Times New Roman"/>
          <w:color w:val="000000"/>
          <w:sz w:val="22"/>
          <w:szCs w:val="22"/>
          <w:lang w:val="es-MX" w:eastAsia="en-US"/>
        </w:rPr>
        <w:t xml:space="preserve"> G</w:t>
      </w:r>
      <w:r>
        <w:rPr>
          <w:rFonts w:ascii="Times New Roman" w:eastAsia="Calibri" w:hAnsi="Times New Roman"/>
          <w:color w:val="000000"/>
          <w:sz w:val="22"/>
          <w:szCs w:val="22"/>
          <w:lang w:val="es-MX" w:eastAsia="en-US"/>
        </w:rPr>
        <w:t>rupo Odinsa S.A  posteriormente Estructura Plural AUTOPISTAS DEL META</w:t>
      </w:r>
      <w:r>
        <w:rPr>
          <w:rFonts w:ascii="Times New Roman" w:hAnsi="Times New Roman"/>
          <w:color w:val="000000"/>
          <w:sz w:val="22"/>
          <w:szCs w:val="22"/>
          <w:lang w:eastAsia="es-CO"/>
        </w:rPr>
        <w:t xml:space="preserve"> y deberán ser ajustadas a la centena más cercana, con el fin de facilitar el recaudo por parte del Concesionario.</w:t>
      </w:r>
    </w:p>
    <w:p w:rsidR="005F5E67" w:rsidRDefault="005F5E67">
      <w:pPr>
        <w:jc w:val="both"/>
        <w:rPr>
          <w:rFonts w:ascii="Times New Roman" w:hAnsi="Times New Roman"/>
          <w:color w:val="000000"/>
          <w:sz w:val="22"/>
          <w:szCs w:val="22"/>
          <w:lang w:eastAsia="es-CO"/>
        </w:rPr>
      </w:pPr>
    </w:p>
    <w:p w:rsidR="005F5E67" w:rsidRDefault="00307F2A">
      <w:pPr>
        <w:tabs>
          <w:tab w:val="left" w:pos="0"/>
        </w:tabs>
        <w:jc w:val="both"/>
      </w:pPr>
      <w:r>
        <w:rPr>
          <w:rFonts w:ascii="Times New Roman" w:hAnsi="Times New Roman"/>
          <w:b/>
          <w:sz w:val="22"/>
          <w:szCs w:val="22"/>
        </w:rPr>
        <w:t>ARTÍCULO OCTAVO</w:t>
      </w:r>
      <w:r>
        <w:rPr>
          <w:rFonts w:ascii="Times New Roman" w:hAnsi="Times New Roman"/>
          <w:sz w:val="22"/>
          <w:szCs w:val="22"/>
        </w:rPr>
        <w:t>: Los requisitos para tener derecho al beneficio de la t</w:t>
      </w:r>
      <w:r>
        <w:rPr>
          <w:rFonts w:ascii="Times New Roman" w:hAnsi="Times New Roman"/>
          <w:sz w:val="22"/>
          <w:szCs w:val="22"/>
        </w:rPr>
        <w:t xml:space="preserve">arifa especial diferencial y el procedimiento para la asignación, serán los relacionados a continuación: </w:t>
      </w:r>
    </w:p>
    <w:p w:rsidR="005F5E67" w:rsidRDefault="005F5E67">
      <w:pPr>
        <w:tabs>
          <w:tab w:val="left" w:pos="0"/>
        </w:tabs>
        <w:jc w:val="both"/>
        <w:rPr>
          <w:rFonts w:ascii="Times New Roman" w:hAnsi="Times New Roman"/>
          <w:sz w:val="22"/>
          <w:szCs w:val="22"/>
        </w:rPr>
      </w:pPr>
    </w:p>
    <w:p w:rsidR="005F5E67" w:rsidRDefault="00307F2A">
      <w:pPr>
        <w:pStyle w:val="Prrafodelista"/>
        <w:numPr>
          <w:ilvl w:val="0"/>
          <w:numId w:val="20"/>
        </w:numPr>
        <w:tabs>
          <w:tab w:val="left" w:pos="-372"/>
        </w:tabs>
        <w:suppressAutoHyphens w:val="0"/>
        <w:jc w:val="both"/>
        <w:textAlignment w:val="auto"/>
        <w:rPr>
          <w:rFonts w:ascii="Times New Roman" w:hAnsi="Times New Roman"/>
          <w:sz w:val="22"/>
          <w:szCs w:val="22"/>
        </w:rPr>
      </w:pPr>
      <w:r>
        <w:rPr>
          <w:rFonts w:ascii="Times New Roman" w:hAnsi="Times New Roman"/>
          <w:sz w:val="22"/>
          <w:szCs w:val="22"/>
        </w:rPr>
        <w:t xml:space="preserve">REQUISITOS PARA OBTENER EL BENEFICIO </w:t>
      </w:r>
    </w:p>
    <w:p w:rsidR="005F5E67" w:rsidRDefault="005F5E67">
      <w:pPr>
        <w:pStyle w:val="Prrafodelista"/>
        <w:tabs>
          <w:tab w:val="left" w:pos="0"/>
        </w:tabs>
        <w:ind w:left="1080"/>
        <w:jc w:val="both"/>
        <w:rPr>
          <w:rFonts w:ascii="Times New Roman" w:hAnsi="Times New Roman"/>
          <w:sz w:val="22"/>
          <w:szCs w:val="22"/>
        </w:rPr>
      </w:pPr>
    </w:p>
    <w:p w:rsidR="005F5E67" w:rsidRDefault="00307F2A">
      <w:pPr>
        <w:pStyle w:val="Prrafodelista"/>
        <w:numPr>
          <w:ilvl w:val="0"/>
          <w:numId w:val="21"/>
        </w:numPr>
        <w:tabs>
          <w:tab w:val="left" w:pos="-732"/>
        </w:tabs>
        <w:suppressAutoHyphens w:val="0"/>
        <w:jc w:val="both"/>
        <w:textAlignment w:val="auto"/>
        <w:rPr>
          <w:rFonts w:ascii="Times New Roman" w:hAnsi="Times New Roman"/>
          <w:sz w:val="22"/>
          <w:szCs w:val="22"/>
        </w:rPr>
      </w:pPr>
      <w:r>
        <w:rPr>
          <w:rFonts w:ascii="Times New Roman" w:hAnsi="Times New Roman"/>
          <w:sz w:val="22"/>
          <w:szCs w:val="22"/>
        </w:rPr>
        <w:t xml:space="preserve">VEHÍCULOS SERVICIO PÚBLICO </w:t>
      </w:r>
    </w:p>
    <w:p w:rsidR="005F5E67" w:rsidRDefault="005F5E67">
      <w:pPr>
        <w:pStyle w:val="Prrafodelista"/>
        <w:tabs>
          <w:tab w:val="left" w:pos="0"/>
        </w:tabs>
        <w:ind w:left="1080"/>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Los propietarios de vehículos de servicio público y/o con contrato de leasing </w:t>
      </w:r>
      <w:r>
        <w:rPr>
          <w:rFonts w:ascii="Times New Roman" w:hAnsi="Times New Roman"/>
          <w:sz w:val="22"/>
          <w:szCs w:val="22"/>
        </w:rPr>
        <w:t xml:space="preserve">indicados en el Artículo Cuarto de la presente Resolución, que soliciten el derecho al beneficio de la tarifa especial en los peajes de Casetabla, Yucao y la Libertad, deberán entregar los documentos reguladas a continuación: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Solicitud escrita a la Agenc</w:t>
      </w:r>
      <w:r>
        <w:rPr>
          <w:rFonts w:ascii="Times New Roman" w:hAnsi="Times New Roman"/>
          <w:sz w:val="22"/>
          <w:szCs w:val="22"/>
        </w:rPr>
        <w:t xml:space="preserve">ia Nacional de Infraestructura – ANI, indicando placas del vehículo, dirección, teléfono, correo electrónico y anexando los siguientes documentos: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a. Certificado de existencia y representación de la empresa de transporte.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b. Resolución de habilitación </w:t>
      </w:r>
      <w:r>
        <w:rPr>
          <w:rFonts w:ascii="Times New Roman" w:hAnsi="Times New Roman"/>
          <w:sz w:val="22"/>
          <w:szCs w:val="22"/>
        </w:rPr>
        <w:t>de la empresa de servicio público para el recorrido Puerto López – Puerto Gaitán.</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c. Fotocopia de la tarjeta de operación vigente.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d. Fotocopia de la Cédula de ciudadanía del propietario del vehículo.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e. Licencia de tránsito y/o SOAT vigente a nombre del</w:t>
      </w:r>
      <w:r>
        <w:rPr>
          <w:rFonts w:ascii="Times New Roman" w:hAnsi="Times New Roman"/>
          <w:sz w:val="22"/>
          <w:szCs w:val="22"/>
        </w:rPr>
        <w:t xml:space="preserve"> titular del vehículo.  En los eventos en los cuales el vehículo se adquirió por leasing se deberá acreditar la calidad de locatario.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f. Certificado de vinculación de las cooperativas o empresas antes mencionadas, expedido por el representante legal de la</w:t>
      </w:r>
      <w:r>
        <w:rPr>
          <w:rFonts w:ascii="Times New Roman" w:hAnsi="Times New Roman"/>
          <w:sz w:val="22"/>
          <w:szCs w:val="22"/>
        </w:rPr>
        <w:t xml:space="preserve"> empresa.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g. No tener sanciones por infracción a las normas de tránsito.</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h. Evitar el fraude en la entrega de la documentación requerida o el mal uso del beneficio.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 </w:t>
      </w:r>
    </w:p>
    <w:p w:rsidR="005F5E67" w:rsidRDefault="005F5E67">
      <w:pPr>
        <w:pStyle w:val="Prrafodelista"/>
        <w:tabs>
          <w:tab w:val="left" w:pos="0"/>
        </w:tabs>
        <w:ind w:left="1080"/>
        <w:jc w:val="both"/>
        <w:rPr>
          <w:rFonts w:ascii="Times New Roman" w:hAnsi="Times New Roman"/>
          <w:sz w:val="22"/>
          <w:szCs w:val="22"/>
        </w:rPr>
      </w:pPr>
    </w:p>
    <w:p w:rsidR="005F5E67" w:rsidRDefault="00307F2A">
      <w:pPr>
        <w:pStyle w:val="Prrafodelista"/>
        <w:numPr>
          <w:ilvl w:val="0"/>
          <w:numId w:val="21"/>
        </w:numPr>
        <w:tabs>
          <w:tab w:val="left" w:pos="-732"/>
        </w:tabs>
        <w:suppressAutoHyphens w:val="0"/>
        <w:jc w:val="both"/>
        <w:textAlignment w:val="auto"/>
        <w:rPr>
          <w:rFonts w:ascii="Times New Roman" w:hAnsi="Times New Roman"/>
          <w:sz w:val="22"/>
          <w:szCs w:val="22"/>
        </w:rPr>
      </w:pPr>
      <w:r>
        <w:rPr>
          <w:rFonts w:ascii="Times New Roman" w:hAnsi="Times New Roman"/>
          <w:sz w:val="22"/>
          <w:szCs w:val="22"/>
        </w:rPr>
        <w:t xml:space="preserve">VEHÍCULOS PARTICULARES: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Los documentos que deberán presentarse para solicitar el be</w:t>
      </w:r>
      <w:r>
        <w:rPr>
          <w:rFonts w:ascii="Times New Roman" w:hAnsi="Times New Roman"/>
          <w:sz w:val="22"/>
          <w:szCs w:val="22"/>
        </w:rPr>
        <w:t>neficio de tarifa especial para cada usuario son:</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Solicitud escrita a la Agencia Nacional de Infraestructura – ANI, indicando placas del vehículo, dirección, teléfono, correo electrónico y anexando los siguientes documentos:</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a. Certificado de tradición y</w:t>
      </w:r>
      <w:r>
        <w:rPr>
          <w:rFonts w:ascii="Times New Roman" w:hAnsi="Times New Roman"/>
          <w:sz w:val="22"/>
          <w:szCs w:val="22"/>
        </w:rPr>
        <w:t xml:space="preserve"> libertad del inmueble del solicitante o copia autentica del contrato de arrendamiento a nombre del solicitante o su conyugue o familiar en primer grado de consanguinidad.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b. Acreditar la titularidad de máximo un (1) vehículo de servicio particular por re</w:t>
      </w:r>
      <w:r>
        <w:rPr>
          <w:rFonts w:ascii="Times New Roman" w:hAnsi="Times New Roman"/>
          <w:sz w:val="22"/>
          <w:szCs w:val="22"/>
        </w:rPr>
        <w:t xml:space="preserve">sidente solicitante ya sea propietario del bien mueble o arrendatario, en su defecto a nombre de su conyugue o familiar en primer grado de consanguinidad.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c. Fotocopia de la cédula de ciudadanía del solicitante.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d. Fotocopia de la Licencia de Conducción </w:t>
      </w:r>
      <w:r>
        <w:rPr>
          <w:rFonts w:ascii="Times New Roman" w:hAnsi="Times New Roman"/>
          <w:sz w:val="22"/>
          <w:szCs w:val="22"/>
        </w:rPr>
        <w:t xml:space="preserve">vigente del solicitante o su conyugue o familiar en primer grado de consanguinidad.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e. Fotocopia de la Licencia de Tránsito y SOAT del vehículo vigente para el cual requiere el beneficio, a nombre del solicitante. </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f. No tener sanciones por infracción a l</w:t>
      </w:r>
      <w:r>
        <w:rPr>
          <w:rFonts w:ascii="Times New Roman" w:hAnsi="Times New Roman"/>
          <w:sz w:val="22"/>
          <w:szCs w:val="22"/>
        </w:rPr>
        <w:t>as normas de tránsito.</w:t>
      </w:r>
    </w:p>
    <w:p w:rsidR="005F5E67" w:rsidRDefault="00307F2A">
      <w:pPr>
        <w:tabs>
          <w:tab w:val="left" w:pos="0"/>
        </w:tabs>
        <w:jc w:val="both"/>
        <w:rPr>
          <w:rFonts w:ascii="Times New Roman" w:hAnsi="Times New Roman"/>
          <w:sz w:val="22"/>
          <w:szCs w:val="22"/>
        </w:rPr>
      </w:pPr>
      <w:r>
        <w:rPr>
          <w:rFonts w:ascii="Times New Roman" w:hAnsi="Times New Roman"/>
          <w:sz w:val="22"/>
          <w:szCs w:val="22"/>
        </w:rPr>
        <w:t xml:space="preserve">g. Evitar el fraude en la entrega de la documentación requerida o el mal uso del beneficio.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lastRenderedPageBreak/>
        <w:t>PARÁGRAFO 1:</w:t>
      </w:r>
      <w:r>
        <w:rPr>
          <w:rFonts w:ascii="Times New Roman" w:hAnsi="Times New Roman"/>
          <w:sz w:val="22"/>
          <w:szCs w:val="22"/>
        </w:rPr>
        <w:t xml:space="preserve"> Las personas que tengan sanciones por infracción a las normas de tránsito, en el derecho que les asiste por presunción de ino</w:t>
      </w:r>
      <w:r>
        <w:rPr>
          <w:rFonts w:ascii="Times New Roman" w:hAnsi="Times New Roman"/>
          <w:sz w:val="22"/>
          <w:szCs w:val="22"/>
        </w:rPr>
        <w:t>cencia, podrán aspirar al beneficio de tarifa especial para las estaciones de peaje Casetabla, Yucao y La Libertad siempre y cuando hayan impugnado, dentro del término establecido por la Ley y ante la autoridad competente, el acto mediante el cual se les h</w:t>
      </w:r>
      <w:r>
        <w:rPr>
          <w:rFonts w:ascii="Times New Roman" w:hAnsi="Times New Roman"/>
          <w:sz w:val="22"/>
          <w:szCs w:val="22"/>
        </w:rPr>
        <w:t>a declarado la infracción; también podrán aspirar al beneficio aquellas personas que tengan vigente un acuerdo de pago por multas o infracciones. Por lo anterior los aspirantes que se encuentren en esta condición radicarán, junto con los demás documentos e</w:t>
      </w:r>
      <w:r>
        <w:rPr>
          <w:rFonts w:ascii="Times New Roman" w:hAnsi="Times New Roman"/>
          <w:sz w:val="22"/>
          <w:szCs w:val="22"/>
        </w:rPr>
        <w:t>xigidos en este Acto Administrativo, la respectiva copia de solicitud de impugnación que ha dirigido a la autoridad de tránsito o el documento mediante el cual fue aprobado el acuerdo de pago.</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PARAGRAFO 2:</w:t>
      </w:r>
      <w:r>
        <w:rPr>
          <w:rFonts w:ascii="Times New Roman" w:hAnsi="Times New Roman"/>
          <w:sz w:val="22"/>
          <w:szCs w:val="22"/>
        </w:rPr>
        <w:t xml:space="preserve"> Para los casos particulares de aspirantes al bene</w:t>
      </w:r>
      <w:r>
        <w:rPr>
          <w:rFonts w:ascii="Times New Roman" w:hAnsi="Times New Roman"/>
          <w:sz w:val="22"/>
          <w:szCs w:val="22"/>
        </w:rPr>
        <w:t>ficio de tarifa especial diferencial con impugnación de comparendos o acuerdo de pago, el beneficio de tarifa diferencial para las estaciones de peaje Casetabla, Yucao y La Libertad (siempre y cuando cumpla también con los demás requisitos) será otorgado c</w:t>
      </w:r>
      <w:r>
        <w:rPr>
          <w:rFonts w:ascii="Times New Roman" w:hAnsi="Times New Roman"/>
          <w:sz w:val="22"/>
          <w:szCs w:val="22"/>
        </w:rPr>
        <w:t xml:space="preserve">on carácter temporal hasta que se resuelva por parte de la autoridad competente su caso, para lo cual el concesionario e interventoría realizarán el seguimiento pertinente. Si una vez resuelto por parte de la autoridad competente se demuestra que el fallo </w:t>
      </w:r>
      <w:r>
        <w:rPr>
          <w:rFonts w:ascii="Times New Roman" w:hAnsi="Times New Roman"/>
          <w:sz w:val="22"/>
          <w:szCs w:val="22"/>
        </w:rPr>
        <w:t>es en contra del solicitante, se procederá a retirar el beneficio sin que dé lugar a reclamación alguna por parte del beneficiario. A los beneficios que se otorguen a los aspirantes que tengan acuerdo de pago, se les realizará seguimiento ante las autorida</w:t>
      </w:r>
      <w:r>
        <w:rPr>
          <w:rFonts w:ascii="Times New Roman" w:hAnsi="Times New Roman"/>
          <w:sz w:val="22"/>
          <w:szCs w:val="22"/>
        </w:rPr>
        <w:t>des de tránsito y en caso de que se demuestre incumplimiento en los pagos, se procederá a retirar el beneficio..</w:t>
      </w:r>
    </w:p>
    <w:p w:rsidR="005F5E67" w:rsidRDefault="005F5E67">
      <w:pPr>
        <w:tabs>
          <w:tab w:val="left" w:pos="0"/>
        </w:tabs>
        <w:jc w:val="both"/>
        <w:rPr>
          <w:rFonts w:ascii="Times New Roman" w:hAnsi="Times New Roman"/>
          <w:b/>
          <w:sz w:val="22"/>
          <w:szCs w:val="22"/>
        </w:rPr>
      </w:pPr>
    </w:p>
    <w:p w:rsidR="005F5E67" w:rsidRDefault="00307F2A">
      <w:pPr>
        <w:tabs>
          <w:tab w:val="left" w:pos="0"/>
        </w:tabs>
        <w:jc w:val="both"/>
      </w:pPr>
      <w:r>
        <w:rPr>
          <w:rFonts w:ascii="Times New Roman" w:hAnsi="Times New Roman"/>
          <w:b/>
          <w:sz w:val="22"/>
          <w:szCs w:val="22"/>
        </w:rPr>
        <w:t>PARÁGRAFO 3:</w:t>
      </w:r>
      <w:r>
        <w:rPr>
          <w:rFonts w:ascii="Times New Roman" w:hAnsi="Times New Roman"/>
          <w:sz w:val="22"/>
          <w:szCs w:val="22"/>
        </w:rPr>
        <w:t xml:space="preserve"> Cada usuario beneficiario de la tarifa especial diferencial, deberá asumir los costos de adquisición y renovación de las Tarjetas</w:t>
      </w:r>
      <w:r>
        <w:rPr>
          <w:rFonts w:ascii="Times New Roman" w:hAnsi="Times New Roman"/>
          <w:sz w:val="22"/>
          <w:szCs w:val="22"/>
        </w:rPr>
        <w:t xml:space="preserve"> de Identificación Electrónica (TIE) y permitir de manera posterior su instalación por el personal autorizado por el concesionario y/o entidad a cargo del corredor vial, además de su respectivo control.</w:t>
      </w:r>
    </w:p>
    <w:p w:rsidR="005F5E67" w:rsidRDefault="005F5E67">
      <w:pPr>
        <w:tabs>
          <w:tab w:val="left" w:pos="0"/>
        </w:tabs>
        <w:jc w:val="both"/>
        <w:rPr>
          <w:rFonts w:ascii="Times New Roman" w:hAnsi="Times New Roman"/>
          <w:sz w:val="22"/>
          <w:szCs w:val="22"/>
        </w:rPr>
      </w:pPr>
    </w:p>
    <w:p w:rsidR="005F5E67" w:rsidRDefault="00307F2A">
      <w:pPr>
        <w:pStyle w:val="Prrafodelista"/>
        <w:numPr>
          <w:ilvl w:val="0"/>
          <w:numId w:val="20"/>
        </w:numPr>
        <w:tabs>
          <w:tab w:val="left" w:pos="-372"/>
        </w:tabs>
        <w:suppressAutoHyphens w:val="0"/>
        <w:jc w:val="both"/>
        <w:textAlignment w:val="auto"/>
        <w:rPr>
          <w:rFonts w:ascii="Times New Roman" w:hAnsi="Times New Roman"/>
          <w:sz w:val="22"/>
          <w:szCs w:val="22"/>
        </w:rPr>
      </w:pPr>
      <w:r>
        <w:rPr>
          <w:rFonts w:ascii="Times New Roman" w:hAnsi="Times New Roman"/>
          <w:sz w:val="22"/>
          <w:szCs w:val="22"/>
        </w:rPr>
        <w:t xml:space="preserve">FRECUENCIA MÍNIMA </w:t>
      </w:r>
    </w:p>
    <w:p w:rsidR="005F5E67" w:rsidRDefault="005F5E67">
      <w:pPr>
        <w:pStyle w:val="Prrafodelista"/>
        <w:tabs>
          <w:tab w:val="left" w:pos="0"/>
        </w:tabs>
        <w:ind w:left="1080"/>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Para acceder y mantener el benef</w:t>
      </w:r>
      <w:r>
        <w:rPr>
          <w:rFonts w:ascii="Times New Roman" w:hAnsi="Times New Roman"/>
          <w:sz w:val="22"/>
          <w:szCs w:val="22"/>
        </w:rPr>
        <w:t xml:space="preserve">icio de la tarifa especial diferencial el propietario del vehículo deberá transitar por la estación de peaje sobre la cual tiene el beneficio, con una frecuencia mínima de cinco (5) viajes (ida y vuelta) al mes. En el evento de no cumplir con un mínimo de </w:t>
      </w:r>
      <w:r>
        <w:rPr>
          <w:rFonts w:ascii="Times New Roman" w:hAnsi="Times New Roman"/>
          <w:sz w:val="22"/>
          <w:szCs w:val="22"/>
        </w:rPr>
        <w:t>treinta (30) viajes (ida y vuelta) durante los últimos seis (6) meses, el beneficio otorgado será suspendido por la Agencia Nacional de Infraestructura, quien informará del hecho al beneficiario de la tarifa, en el término de quince (15) días siguientes al</w:t>
      </w:r>
      <w:r>
        <w:rPr>
          <w:rFonts w:ascii="Times New Roman" w:hAnsi="Times New Roman"/>
          <w:sz w:val="22"/>
          <w:szCs w:val="22"/>
        </w:rPr>
        <w:t xml:space="preserve"> recibo de la comunicación, para que aporte los documentos que justifiquen el no cumplimiento de los pasos mensuales requeridos.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Vencido este término la Agencia Nacional de Infraestructura decidirá si se mantiene o no el beneficio de la tarifa especial d</w:t>
      </w:r>
      <w:r>
        <w:rPr>
          <w:rFonts w:ascii="Times New Roman" w:hAnsi="Times New Roman"/>
          <w:sz w:val="22"/>
          <w:szCs w:val="22"/>
        </w:rPr>
        <w:t>iferencial. En todo caso, la decisión deberá ser informada al Concesionario y al beneficiario. El usuario que ha perdido el beneficio podrá enviar nuevamente su solicitud a la Agencia transcurridos seis (6) meses de retirado el beneficio. Así mismo, para r</w:t>
      </w:r>
      <w:r>
        <w:rPr>
          <w:rFonts w:ascii="Times New Roman" w:hAnsi="Times New Roman"/>
          <w:sz w:val="22"/>
          <w:szCs w:val="22"/>
        </w:rPr>
        <w:t>easignación de un beneficio, el solicitante podrá enviar su solicitud a la Agencia Nacional de Infraestructura, remitiendo en ambos casos los documentos descritos en el presente artículo según el caso para acceder y mantener la tarifa especial diferencial.</w:t>
      </w:r>
      <w:r>
        <w:rPr>
          <w:rFonts w:ascii="Times New Roman" w:hAnsi="Times New Roman"/>
          <w:sz w:val="22"/>
          <w:szCs w:val="22"/>
        </w:rPr>
        <w:t xml:space="preserve">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En caso de no existir disponibilidad de beneficio, el solicitante ingresará a una lista de espera. Una vez cumplidos los requisitos anteriores, se procede con la autorización, emisión y entrega de la tarjeta por parte del concesionario.</w:t>
      </w:r>
    </w:p>
    <w:p w:rsidR="005F5E67" w:rsidRDefault="005F5E67">
      <w:pPr>
        <w:tabs>
          <w:tab w:val="left" w:pos="0"/>
        </w:tabs>
        <w:jc w:val="both"/>
        <w:rPr>
          <w:rFonts w:ascii="Times New Roman" w:hAnsi="Times New Roman"/>
          <w:sz w:val="22"/>
          <w:szCs w:val="22"/>
        </w:rPr>
      </w:pPr>
    </w:p>
    <w:p w:rsidR="005F5E67" w:rsidRDefault="00307F2A">
      <w:pPr>
        <w:pStyle w:val="Prrafodelista"/>
        <w:numPr>
          <w:ilvl w:val="0"/>
          <w:numId w:val="20"/>
        </w:numPr>
        <w:tabs>
          <w:tab w:val="left" w:pos="-372"/>
        </w:tabs>
        <w:suppressAutoHyphens w:val="0"/>
        <w:jc w:val="both"/>
        <w:textAlignment w:val="auto"/>
        <w:rPr>
          <w:rFonts w:ascii="Times New Roman" w:hAnsi="Times New Roman"/>
          <w:sz w:val="22"/>
          <w:szCs w:val="22"/>
        </w:rPr>
      </w:pPr>
      <w:r>
        <w:rPr>
          <w:rFonts w:ascii="Times New Roman" w:hAnsi="Times New Roman"/>
          <w:sz w:val="22"/>
          <w:szCs w:val="22"/>
        </w:rPr>
        <w:t>PROCEDIMIENTO P</w:t>
      </w:r>
      <w:r>
        <w:rPr>
          <w:rFonts w:ascii="Times New Roman" w:hAnsi="Times New Roman"/>
          <w:sz w:val="22"/>
          <w:szCs w:val="22"/>
        </w:rPr>
        <w:t xml:space="preserve">ARA ACCEDER AL BENEFICIO – Vehículos particulares y servicio público. </w:t>
      </w:r>
    </w:p>
    <w:p w:rsidR="005F5E67" w:rsidRDefault="005F5E67">
      <w:pPr>
        <w:tabs>
          <w:tab w:val="left" w:pos="0"/>
        </w:tabs>
        <w:jc w:val="both"/>
        <w:rPr>
          <w:rFonts w:ascii="Times New Roman" w:hAnsi="Times New Roman"/>
          <w:sz w:val="22"/>
          <w:szCs w:val="22"/>
        </w:rPr>
      </w:pPr>
    </w:p>
    <w:p w:rsidR="005F5E67" w:rsidRDefault="00307F2A">
      <w:pPr>
        <w:pStyle w:val="Prrafodelista"/>
        <w:numPr>
          <w:ilvl w:val="0"/>
          <w:numId w:val="22"/>
        </w:numPr>
        <w:tabs>
          <w:tab w:val="left" w:pos="348"/>
        </w:tabs>
        <w:suppressAutoHyphens w:val="0"/>
        <w:jc w:val="both"/>
        <w:textAlignment w:val="auto"/>
        <w:rPr>
          <w:rFonts w:ascii="Times New Roman" w:hAnsi="Times New Roman"/>
          <w:sz w:val="22"/>
          <w:szCs w:val="22"/>
        </w:rPr>
      </w:pPr>
      <w:r>
        <w:rPr>
          <w:rFonts w:ascii="Times New Roman" w:hAnsi="Times New Roman"/>
          <w:sz w:val="22"/>
          <w:szCs w:val="22"/>
        </w:rPr>
        <w:lastRenderedPageBreak/>
        <w:t>Cada usuario deberá asumir el costo de la Tarjeta de Identificación Electrónica (TIE), el cual para el año 2015, corresponde a la suma de $40.000/Mcte. actualizable cada año con la var</w:t>
      </w:r>
      <w:r>
        <w:rPr>
          <w:rFonts w:ascii="Times New Roman" w:hAnsi="Times New Roman"/>
          <w:sz w:val="22"/>
          <w:szCs w:val="22"/>
        </w:rPr>
        <w:t>iación de los últimos 12 meses del IPC.</w:t>
      </w:r>
    </w:p>
    <w:p w:rsidR="005F5E67" w:rsidRDefault="005F5E67">
      <w:pPr>
        <w:pStyle w:val="Prrafodelista"/>
        <w:tabs>
          <w:tab w:val="left" w:pos="0"/>
        </w:tabs>
        <w:jc w:val="both"/>
        <w:rPr>
          <w:rFonts w:ascii="Times New Roman" w:hAnsi="Times New Roman"/>
          <w:sz w:val="22"/>
          <w:szCs w:val="22"/>
        </w:rPr>
      </w:pPr>
    </w:p>
    <w:p w:rsidR="005F5E67" w:rsidRDefault="00307F2A">
      <w:pPr>
        <w:pStyle w:val="Prrafodelista"/>
        <w:tabs>
          <w:tab w:val="left" w:pos="0"/>
        </w:tabs>
        <w:ind w:left="0"/>
        <w:jc w:val="both"/>
      </w:pPr>
      <w:r>
        <w:rPr>
          <w:rFonts w:ascii="Times New Roman" w:hAnsi="Times New Roman"/>
          <w:b/>
          <w:sz w:val="22"/>
          <w:szCs w:val="22"/>
        </w:rPr>
        <w:t>PARÁGRAFO 1:</w:t>
      </w:r>
      <w:r>
        <w:rPr>
          <w:rFonts w:ascii="Times New Roman" w:hAnsi="Times New Roman"/>
          <w:sz w:val="22"/>
          <w:szCs w:val="22"/>
        </w:rPr>
        <w:t xml:space="preserve"> Hasta tanto la Tarjeta de Identificación Electrónica (TIE) no sea instalada en el vehículo correspondiente, el usuario deberá cancelar las tarifas plenas vigentes establecidas para la estación de Peaje.</w:t>
      </w:r>
      <w:r>
        <w:rPr>
          <w:rFonts w:ascii="Times New Roman" w:hAnsi="Times New Roman"/>
          <w:sz w:val="22"/>
          <w:szCs w:val="22"/>
        </w:rPr>
        <w:t xml:space="preserve"> </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pPr>
      <w:r>
        <w:rPr>
          <w:rFonts w:ascii="Times New Roman" w:hAnsi="Times New Roman"/>
          <w:b/>
          <w:sz w:val="22"/>
          <w:szCs w:val="22"/>
        </w:rPr>
        <w:t>PARÁGRAFO 2:</w:t>
      </w:r>
      <w:r>
        <w:rPr>
          <w:rFonts w:ascii="Times New Roman" w:hAnsi="Times New Roman"/>
          <w:sz w:val="22"/>
          <w:szCs w:val="22"/>
        </w:rPr>
        <w:t xml:space="preserve"> El Concesionario enviará a la Agencia Nacional de Infraestructura con una periodicidad mensual, la información actualizada relacionada con el listado de los usuarios beneficiarios, los pasos mínimos efectuados por los vehículos de la tarifa</w:t>
      </w:r>
      <w:r>
        <w:rPr>
          <w:rFonts w:ascii="Times New Roman" w:hAnsi="Times New Roman"/>
          <w:sz w:val="22"/>
          <w:szCs w:val="22"/>
        </w:rPr>
        <w:t xml:space="preserve"> especial diferencial, usuarios inactivos, usuarios con pérdida de beneficio y usuarios en trámite. Igualmente enviará a la Agencia Nacional de Infraestructura la lista de las personas que pretendan acceder a la tarifa especial, compuesta por los nuevos so</w:t>
      </w:r>
      <w:r>
        <w:rPr>
          <w:rFonts w:ascii="Times New Roman" w:hAnsi="Times New Roman"/>
          <w:sz w:val="22"/>
          <w:szCs w:val="22"/>
        </w:rPr>
        <w:t>licitantes a quienes lo hubiesen obtenido y posteriormente perdieron la calidad de usuario beneficiario, siempre y cuando, la causa no corresponda a fraude para acceder a la calidad de usuario beneficiario de la tarifa especial o al mal uso del beneficio m</w:t>
      </w:r>
      <w:r>
        <w:rPr>
          <w:rFonts w:ascii="Times New Roman" w:hAnsi="Times New Roman"/>
          <w:sz w:val="22"/>
          <w:szCs w:val="22"/>
        </w:rPr>
        <w:t>ientras se tuvo la calidad de usuario beneficiario.</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pPr>
      <w:r>
        <w:rPr>
          <w:rFonts w:ascii="Times New Roman" w:hAnsi="Times New Roman"/>
          <w:b/>
          <w:sz w:val="22"/>
          <w:szCs w:val="22"/>
        </w:rPr>
        <w:t>PARÁGRAFO 3:</w:t>
      </w:r>
      <w:r>
        <w:rPr>
          <w:rFonts w:ascii="Times New Roman" w:hAnsi="Times New Roman"/>
          <w:sz w:val="22"/>
          <w:szCs w:val="22"/>
        </w:rPr>
        <w:t xml:space="preserve"> Los beneficios de tarifa especial diferencial que sean retirados a propietarios y/o con contrato de leasing para vehículos de servicio público, sólo podrán ser reasignados a usuarios que per</w:t>
      </w:r>
      <w:r>
        <w:rPr>
          <w:rFonts w:ascii="Times New Roman" w:hAnsi="Times New Roman"/>
          <w:sz w:val="22"/>
          <w:szCs w:val="22"/>
        </w:rPr>
        <w:t xml:space="preserve">tenezcan a la misma cooperativa o empresa de transporte  del beneficio inicial. Es decir, no se podrán modificar el número de beneficios aprobados para cada empresa de transporte. </w:t>
      </w:r>
    </w:p>
    <w:p w:rsidR="005F5E67" w:rsidRDefault="005F5E67">
      <w:pPr>
        <w:tabs>
          <w:tab w:val="left" w:pos="0"/>
        </w:tabs>
        <w:jc w:val="both"/>
        <w:rPr>
          <w:rFonts w:ascii="Times New Roman" w:hAnsi="Times New Roman"/>
          <w:sz w:val="22"/>
          <w:szCs w:val="22"/>
        </w:rPr>
      </w:pPr>
    </w:p>
    <w:p w:rsidR="005F5E67" w:rsidRDefault="00307F2A">
      <w:pPr>
        <w:pStyle w:val="Prrafodelista"/>
        <w:tabs>
          <w:tab w:val="left" w:pos="0"/>
        </w:tabs>
        <w:ind w:left="0"/>
        <w:jc w:val="both"/>
      </w:pPr>
      <w:r>
        <w:rPr>
          <w:rFonts w:ascii="Times New Roman" w:hAnsi="Times New Roman"/>
          <w:b/>
          <w:sz w:val="22"/>
          <w:szCs w:val="22"/>
        </w:rPr>
        <w:t>ARTÍCULO NOVENO</w:t>
      </w:r>
      <w:r>
        <w:rPr>
          <w:rFonts w:ascii="Times New Roman" w:hAnsi="Times New Roman"/>
          <w:sz w:val="22"/>
          <w:szCs w:val="22"/>
        </w:rPr>
        <w:t>: Los usuarios activos de la tarifa especial diferencial po</w:t>
      </w:r>
      <w:r>
        <w:rPr>
          <w:rFonts w:ascii="Times New Roman" w:hAnsi="Times New Roman"/>
          <w:sz w:val="22"/>
          <w:szCs w:val="22"/>
        </w:rPr>
        <w:t xml:space="preserve">drán solicitar el cambio de la tarjeta, en los siguientes casos: </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1. Por pérdida o hurto de la tarjeta.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2. Por deterioro grave.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3. Por rotura del vidrio panorámico del vehículo.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4. Por cambio de vehículo por parte del usuario beneficiario, el titular </w:t>
      </w:r>
      <w:r>
        <w:rPr>
          <w:rFonts w:ascii="Times New Roman" w:hAnsi="Times New Roman"/>
          <w:sz w:val="22"/>
          <w:szCs w:val="22"/>
        </w:rPr>
        <w:t>deberá presentar al concesionario además del oficio que solicita el cambio de Tarjeta de Identificación Electrónica (TIE), fotocopia de la Licencia de Tránsito del vehículo que reemplaza el anterior y devolución de la TIE. Previa autorización de la Agencia</w:t>
      </w:r>
      <w:r>
        <w:rPr>
          <w:rFonts w:ascii="Times New Roman" w:hAnsi="Times New Roman"/>
          <w:sz w:val="22"/>
          <w:szCs w:val="22"/>
        </w:rPr>
        <w:t xml:space="preserve"> Nacional de Infraestructura ANI. </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pPr>
      <w:r>
        <w:rPr>
          <w:rFonts w:ascii="Times New Roman" w:hAnsi="Times New Roman"/>
          <w:b/>
          <w:sz w:val="22"/>
          <w:szCs w:val="22"/>
        </w:rPr>
        <w:t>PARÁGRAFO 1:</w:t>
      </w:r>
      <w:r>
        <w:rPr>
          <w:rFonts w:ascii="Times New Roman" w:hAnsi="Times New Roman"/>
          <w:sz w:val="22"/>
          <w:szCs w:val="22"/>
        </w:rPr>
        <w:t xml:space="preserve"> No se acepta cambio de Tarjeta de Identificación Electrónica (TIE) por cambio de Propietario del vehículo con TIE, dado que el beneficiario es la persona que cumple los requisitos de residencia, más no el ve</w:t>
      </w:r>
      <w:r>
        <w:rPr>
          <w:rFonts w:ascii="Times New Roman" w:hAnsi="Times New Roman"/>
          <w:sz w:val="22"/>
          <w:szCs w:val="22"/>
        </w:rPr>
        <w:t>hículo. Será posible acceder a este beneficio, si el nuevo propietario cumple los requisitos exigidos en la presente Resolución. El usuario de la tarifa especial diferencial deberá en un término no superior a los quince (15) días hábiles siguientes a la oc</w:t>
      </w:r>
      <w:r>
        <w:rPr>
          <w:rFonts w:ascii="Times New Roman" w:hAnsi="Times New Roman"/>
          <w:sz w:val="22"/>
          <w:szCs w:val="22"/>
        </w:rPr>
        <w:t xml:space="preserve">urrencia del hecho, dirigirse a las Oficinas de la Concesión, para tramitar la solicitud con la información actualizada del beneficio, adjuntando: </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a) Oficio solicitando el cambio de Tarjeta de Identificación Electrónica (TIE)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b) La tarjeta original o en</w:t>
      </w:r>
      <w:r>
        <w:rPr>
          <w:rFonts w:ascii="Times New Roman" w:hAnsi="Times New Roman"/>
          <w:sz w:val="22"/>
          <w:szCs w:val="22"/>
        </w:rPr>
        <w:t xml:space="preserve"> su defecto copia del denuncio por pérdida de la tarjeta o hurto del vehículo, según sea el caso.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c) Fotocopia de la cédula de ciudadanía.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d) Fotocopia de la Licencia de Tránsito del nuevo vehículo.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e) Recibo de pago de la Tarjeta de Identificación Elec</w:t>
      </w:r>
      <w:r>
        <w:rPr>
          <w:rFonts w:ascii="Times New Roman" w:hAnsi="Times New Roman"/>
          <w:sz w:val="22"/>
          <w:szCs w:val="22"/>
        </w:rPr>
        <w:t>trónica (TIE).</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f) Para los beneficiarios - propietarios y/o con contrato de leasing, certificado de vinculación a las cooperativas o empresas habilitadas para prestar el servicio en el área de influencia.</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Además del cumplimiento de los requisitos señalado</w:t>
      </w:r>
      <w:r>
        <w:rPr>
          <w:rFonts w:ascii="Times New Roman" w:hAnsi="Times New Roman"/>
          <w:sz w:val="22"/>
          <w:szCs w:val="22"/>
        </w:rPr>
        <w:t xml:space="preserve">s anteriormente, deberán: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lastRenderedPageBreak/>
        <w:t xml:space="preserve">No tener sanciones por infracción a las normas de tránsito. </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No podrá ser aprobado más de un (1) vehículo por unidad familiar.</w:t>
      </w:r>
    </w:p>
    <w:p w:rsidR="005F5E67" w:rsidRDefault="00307F2A">
      <w:pPr>
        <w:pStyle w:val="Prrafodelista"/>
        <w:tabs>
          <w:tab w:val="left" w:pos="0"/>
        </w:tabs>
        <w:ind w:left="0"/>
        <w:jc w:val="both"/>
        <w:rPr>
          <w:rFonts w:ascii="Times New Roman" w:hAnsi="Times New Roman"/>
          <w:sz w:val="22"/>
          <w:szCs w:val="22"/>
        </w:rPr>
      </w:pPr>
      <w:r>
        <w:rPr>
          <w:rFonts w:ascii="Times New Roman" w:hAnsi="Times New Roman"/>
          <w:sz w:val="22"/>
          <w:szCs w:val="22"/>
        </w:rPr>
        <w:t xml:space="preserve"> </w:t>
      </w:r>
    </w:p>
    <w:p w:rsidR="005F5E67" w:rsidRDefault="005F5E67">
      <w:pPr>
        <w:pStyle w:val="Prrafodelista"/>
        <w:tabs>
          <w:tab w:val="left" w:pos="0"/>
        </w:tabs>
        <w:ind w:left="0"/>
        <w:jc w:val="both"/>
        <w:rPr>
          <w:rFonts w:ascii="Times New Roman" w:hAnsi="Times New Roman"/>
          <w:sz w:val="22"/>
          <w:szCs w:val="22"/>
        </w:rPr>
      </w:pPr>
    </w:p>
    <w:p w:rsidR="005F5E67" w:rsidRDefault="00307F2A">
      <w:pPr>
        <w:pStyle w:val="Prrafodelista"/>
        <w:tabs>
          <w:tab w:val="left" w:pos="0"/>
        </w:tabs>
        <w:ind w:left="0"/>
        <w:jc w:val="both"/>
      </w:pPr>
      <w:r>
        <w:rPr>
          <w:rFonts w:ascii="Times New Roman" w:hAnsi="Times New Roman"/>
          <w:b/>
          <w:sz w:val="22"/>
          <w:szCs w:val="22"/>
        </w:rPr>
        <w:t>ARTÍCULO DÉCIMO:</w:t>
      </w:r>
      <w:r>
        <w:rPr>
          <w:rFonts w:ascii="Times New Roman" w:hAnsi="Times New Roman"/>
          <w:sz w:val="22"/>
          <w:szCs w:val="22"/>
        </w:rPr>
        <w:t xml:space="preserve"> CAUSALES DE PÉRDIDA DEL BENEFICIO DE TARIFA ESPECIAL DIFERENCIAL</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Por cambio de </w:t>
      </w:r>
      <w:r>
        <w:rPr>
          <w:rFonts w:ascii="Times New Roman" w:hAnsi="Times New Roman"/>
          <w:sz w:val="22"/>
          <w:szCs w:val="22"/>
        </w:rPr>
        <w:t xml:space="preserve">domicilio del propietario a otro municipio. </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Por venta del vehículo beneficiario, caso en el cual el beneficiario debe informar y tramitar ante el concesionario, el cambio de vehículo. </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Cuando se presente desvinculación del vehículo de la empresa de se</w:t>
      </w:r>
      <w:r>
        <w:rPr>
          <w:rFonts w:ascii="Times New Roman" w:hAnsi="Times New Roman"/>
          <w:sz w:val="22"/>
          <w:szCs w:val="22"/>
        </w:rPr>
        <w:t xml:space="preserve">rvicio público de transporte a la cual se encuentra afiliado. </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Cuando se evidencie fraude en cualquiera de los documentos entregados o mal uso del beneficio. </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Cuando se evidencie que se está comercializando con el derecho a la tarifa diferencial </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Cua</w:t>
      </w:r>
      <w:r>
        <w:rPr>
          <w:rFonts w:ascii="Times New Roman" w:hAnsi="Times New Roman"/>
          <w:sz w:val="22"/>
          <w:szCs w:val="22"/>
        </w:rPr>
        <w:t xml:space="preserve">ndo el vehículo beneficiado se encuentre reportado como evasor de peaje. </w:t>
      </w:r>
    </w:p>
    <w:p w:rsidR="005F5E67" w:rsidRDefault="00307F2A">
      <w:pPr>
        <w:pStyle w:val="Prrafodelista"/>
        <w:tabs>
          <w:tab w:val="left" w:pos="0"/>
        </w:tabs>
        <w:ind w:left="0"/>
        <w:jc w:val="both"/>
      </w:pPr>
      <w:r>
        <w:rPr>
          <w:rFonts w:ascii="Symbol" w:eastAsia="Symbol" w:hAnsi="Symbol" w:cs="Symbol"/>
          <w:sz w:val="22"/>
          <w:szCs w:val="22"/>
        </w:rPr>
        <w:t></w:t>
      </w:r>
      <w:r>
        <w:rPr>
          <w:rFonts w:ascii="Times New Roman" w:hAnsi="Times New Roman"/>
          <w:sz w:val="22"/>
          <w:szCs w:val="22"/>
        </w:rPr>
        <w:t xml:space="preserve"> Cuando el beneficiario no cumpla con la frecuencia mínima de viajes requeridos. </w:t>
      </w:r>
    </w:p>
    <w:p w:rsidR="005F5E67" w:rsidRDefault="00307F2A">
      <w:pPr>
        <w:pStyle w:val="Prrafodelista"/>
        <w:tabs>
          <w:tab w:val="left" w:pos="0"/>
        </w:tabs>
        <w:ind w:left="0"/>
        <w:jc w:val="both"/>
      </w:pPr>
      <w:r>
        <w:rPr>
          <w:rFonts w:ascii="Times New Roman" w:hAnsi="Times New Roman"/>
          <w:b/>
          <w:sz w:val="22"/>
          <w:szCs w:val="22"/>
        </w:rPr>
        <w:t>ARTÍCULO DÉCIMO PRIMERO:</w:t>
      </w:r>
      <w:r>
        <w:rPr>
          <w:rFonts w:ascii="Times New Roman" w:hAnsi="Times New Roman"/>
          <w:sz w:val="22"/>
          <w:szCs w:val="22"/>
        </w:rPr>
        <w:t xml:space="preserve"> Las tarifas especiales diferenciales establecidas en el presente acto admi</w:t>
      </w:r>
      <w:r>
        <w:rPr>
          <w:rFonts w:ascii="Times New Roman" w:hAnsi="Times New Roman"/>
          <w:sz w:val="22"/>
          <w:szCs w:val="22"/>
        </w:rPr>
        <w:t xml:space="preserve">nistrativo se mantendrán a valor constante del 2015. Para los años subsiguientes, serán incrementadas de acuerdo con el índice de precios al consumidor (IPC) establecido por el DANE, para el año inmediatamente anterior. </w:t>
      </w:r>
    </w:p>
    <w:p w:rsidR="005F5E67" w:rsidRDefault="005F5E67">
      <w:pPr>
        <w:pStyle w:val="Prrafodelista"/>
        <w:tabs>
          <w:tab w:val="left" w:pos="0"/>
        </w:tabs>
        <w:ind w:left="0"/>
        <w:jc w:val="both"/>
        <w:rPr>
          <w:rFonts w:ascii="Times New Roman" w:hAnsi="Times New Roman"/>
          <w:sz w:val="22"/>
          <w:szCs w:val="22"/>
        </w:rPr>
      </w:pPr>
    </w:p>
    <w:p w:rsidR="005F5E67" w:rsidRDefault="00307F2A">
      <w:pPr>
        <w:tabs>
          <w:tab w:val="left" w:pos="0"/>
        </w:tabs>
        <w:jc w:val="both"/>
      </w:pPr>
      <w:r>
        <w:rPr>
          <w:rFonts w:ascii="Times New Roman" w:hAnsi="Times New Roman"/>
          <w:b/>
          <w:sz w:val="22"/>
          <w:szCs w:val="22"/>
        </w:rPr>
        <w:t xml:space="preserve">ARTÍCULO DÉCIMO SEGUNDO: </w:t>
      </w:r>
      <w:r>
        <w:rPr>
          <w:rFonts w:ascii="Times New Roman" w:hAnsi="Times New Roman"/>
          <w:sz w:val="22"/>
          <w:szCs w:val="22"/>
        </w:rPr>
        <w:t>La presen</w:t>
      </w:r>
      <w:r>
        <w:rPr>
          <w:rFonts w:ascii="Times New Roman" w:hAnsi="Times New Roman"/>
          <w:sz w:val="22"/>
          <w:szCs w:val="22"/>
        </w:rPr>
        <w:t xml:space="preserve">te Resolución rige a partir de la fecha de su publicación, deroga aquellas disposiciones que le sean contrarias y mantiene vigente las disposiciones que no fueron modificadas de la resolución 3126 de 2014. </w:t>
      </w:r>
    </w:p>
    <w:p w:rsidR="005F5E67" w:rsidRDefault="005F5E67">
      <w:pPr>
        <w:jc w:val="both"/>
        <w:rPr>
          <w:rFonts w:ascii="Times New Roman" w:hAnsi="Times New Roman"/>
          <w:sz w:val="22"/>
          <w:szCs w:val="22"/>
        </w:rPr>
      </w:pPr>
    </w:p>
    <w:p w:rsidR="005F5E67" w:rsidRDefault="005F5E67">
      <w:pPr>
        <w:jc w:val="both"/>
        <w:rPr>
          <w:rFonts w:ascii="Times New Roman" w:hAnsi="Times New Roman"/>
          <w:sz w:val="22"/>
          <w:szCs w:val="22"/>
        </w:rPr>
      </w:pPr>
    </w:p>
    <w:p w:rsidR="005F5E67" w:rsidRDefault="005F5E67">
      <w:pPr>
        <w:jc w:val="both"/>
        <w:rPr>
          <w:rFonts w:ascii="Times New Roman" w:hAnsi="Times New Roman"/>
          <w:sz w:val="22"/>
          <w:szCs w:val="22"/>
        </w:rPr>
      </w:pPr>
    </w:p>
    <w:p w:rsidR="005F5E67" w:rsidRDefault="00307F2A">
      <w:pPr>
        <w:tabs>
          <w:tab w:val="left" w:pos="0"/>
        </w:tabs>
        <w:rPr>
          <w:rFonts w:ascii="Times New Roman" w:hAnsi="Times New Roman"/>
          <w:sz w:val="22"/>
          <w:szCs w:val="22"/>
        </w:rPr>
      </w:pPr>
      <w:r>
        <w:rPr>
          <w:rFonts w:ascii="Times New Roman" w:hAnsi="Times New Roman"/>
          <w:sz w:val="22"/>
          <w:szCs w:val="22"/>
        </w:rPr>
        <w:t xml:space="preserve">Dada en Bogotá D.C., a los </w:t>
      </w:r>
    </w:p>
    <w:p w:rsidR="005F5E67" w:rsidRDefault="005F5E67">
      <w:pPr>
        <w:tabs>
          <w:tab w:val="left" w:pos="0"/>
        </w:tabs>
        <w:jc w:val="both"/>
        <w:rPr>
          <w:rFonts w:ascii="Times New Roman" w:hAnsi="Times New Roman"/>
          <w:sz w:val="22"/>
          <w:szCs w:val="22"/>
        </w:rPr>
      </w:pPr>
    </w:p>
    <w:p w:rsidR="005F5E67" w:rsidRDefault="00307F2A">
      <w:pPr>
        <w:tabs>
          <w:tab w:val="left" w:pos="0"/>
        </w:tabs>
        <w:jc w:val="both"/>
        <w:rPr>
          <w:rFonts w:ascii="Times New Roman" w:hAnsi="Times New Roman"/>
          <w:sz w:val="22"/>
          <w:szCs w:val="22"/>
        </w:rPr>
      </w:pPr>
      <w:r>
        <w:rPr>
          <w:rFonts w:ascii="Times New Roman" w:hAnsi="Times New Roman"/>
          <w:sz w:val="22"/>
          <w:szCs w:val="22"/>
        </w:rPr>
        <w:t>PÚBLIQUESE Y CÚMP</w:t>
      </w:r>
      <w:r>
        <w:rPr>
          <w:rFonts w:ascii="Times New Roman" w:hAnsi="Times New Roman"/>
          <w:sz w:val="22"/>
          <w:szCs w:val="22"/>
        </w:rPr>
        <w:t xml:space="preserve">LASE </w:t>
      </w:r>
    </w:p>
    <w:p w:rsidR="005F5E67" w:rsidRDefault="005F5E67">
      <w:pPr>
        <w:tabs>
          <w:tab w:val="left" w:pos="0"/>
        </w:tabs>
        <w:jc w:val="both"/>
        <w:rPr>
          <w:rFonts w:ascii="Times New Roman" w:hAnsi="Times New Roman"/>
          <w:sz w:val="22"/>
          <w:szCs w:val="22"/>
        </w:rPr>
      </w:pPr>
    </w:p>
    <w:p w:rsidR="005F5E67" w:rsidRDefault="005F5E67">
      <w:pPr>
        <w:tabs>
          <w:tab w:val="left" w:pos="0"/>
        </w:tabs>
        <w:jc w:val="both"/>
        <w:rPr>
          <w:rFonts w:ascii="Times New Roman" w:hAnsi="Times New Roman"/>
          <w:sz w:val="22"/>
          <w:szCs w:val="22"/>
        </w:rPr>
      </w:pPr>
    </w:p>
    <w:p w:rsidR="005F5E67" w:rsidRDefault="005F5E67">
      <w:pPr>
        <w:tabs>
          <w:tab w:val="left" w:pos="0"/>
        </w:tabs>
        <w:jc w:val="both"/>
        <w:rPr>
          <w:rFonts w:ascii="Times New Roman" w:hAnsi="Times New Roman"/>
          <w:sz w:val="22"/>
          <w:szCs w:val="22"/>
        </w:rPr>
      </w:pPr>
    </w:p>
    <w:p w:rsidR="005F5E67" w:rsidRDefault="00307F2A">
      <w:pPr>
        <w:tabs>
          <w:tab w:val="left" w:pos="0"/>
        </w:tabs>
        <w:jc w:val="center"/>
        <w:rPr>
          <w:rFonts w:ascii="Times New Roman" w:hAnsi="Times New Roman"/>
          <w:b/>
          <w:sz w:val="22"/>
          <w:szCs w:val="22"/>
        </w:rPr>
      </w:pPr>
      <w:r>
        <w:rPr>
          <w:rFonts w:ascii="Times New Roman" w:hAnsi="Times New Roman"/>
          <w:b/>
          <w:sz w:val="22"/>
          <w:szCs w:val="22"/>
        </w:rPr>
        <w:t>NATALIA ABELLO VIVES</w:t>
      </w:r>
    </w:p>
    <w:p w:rsidR="005F5E67" w:rsidRDefault="00307F2A">
      <w:pPr>
        <w:tabs>
          <w:tab w:val="left" w:pos="0"/>
        </w:tabs>
        <w:jc w:val="center"/>
      </w:pPr>
      <w:r>
        <w:rPr>
          <w:rFonts w:ascii="Times New Roman" w:hAnsi="Times New Roman"/>
          <w:b/>
          <w:sz w:val="22"/>
          <w:szCs w:val="22"/>
        </w:rPr>
        <w:t>Ministra de Transporte</w:t>
      </w:r>
    </w:p>
    <w:p w:rsidR="005F5E67" w:rsidRDefault="005F5E67">
      <w:pPr>
        <w:rPr>
          <w:rFonts w:ascii="Times New Roman" w:hAnsi="Times New Roman"/>
          <w:sz w:val="22"/>
          <w:szCs w:val="22"/>
        </w:rPr>
      </w:pPr>
    </w:p>
    <w:p w:rsidR="005F5E67" w:rsidRDefault="005F5E67">
      <w:pPr>
        <w:pStyle w:val="Textoindependiente"/>
        <w:rPr>
          <w:rFonts w:ascii="Times New Roman" w:hAnsi="Times New Roman"/>
          <w:sz w:val="22"/>
          <w:szCs w:val="22"/>
        </w:rPr>
      </w:pPr>
    </w:p>
    <w:p w:rsidR="005F5E67" w:rsidRDefault="005F5E67">
      <w:pPr>
        <w:pStyle w:val="Textoindependiente"/>
        <w:rPr>
          <w:rFonts w:ascii="Times New Roman" w:hAnsi="Times New Roman"/>
          <w:sz w:val="22"/>
          <w:szCs w:val="22"/>
        </w:rPr>
      </w:pPr>
    </w:p>
    <w:p w:rsidR="005F5E67" w:rsidRDefault="00307F2A">
      <w:pPr>
        <w:pStyle w:val="Textoindependiente"/>
        <w:rPr>
          <w:rFonts w:ascii="Times New Roman" w:hAnsi="Times New Roman"/>
          <w:sz w:val="16"/>
          <w:szCs w:val="16"/>
        </w:rPr>
      </w:pPr>
      <w:r>
        <w:rPr>
          <w:rFonts w:ascii="Times New Roman" w:hAnsi="Times New Roman"/>
          <w:sz w:val="16"/>
          <w:szCs w:val="16"/>
        </w:rPr>
        <w:t>Proyectó:</w:t>
      </w:r>
      <w:r>
        <w:rPr>
          <w:rFonts w:ascii="Times New Roman" w:hAnsi="Times New Roman"/>
          <w:sz w:val="16"/>
          <w:szCs w:val="16"/>
        </w:rPr>
        <w:tab/>
        <w:t>Felipe Castro Arenas - Experto G3-07 Vicepresidencia de Estructuración ANI</w:t>
      </w:r>
    </w:p>
    <w:p w:rsidR="005F5E67" w:rsidRDefault="00307F2A">
      <w:pPr>
        <w:pStyle w:val="Textoindependiente"/>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t>Juan José Aguilar Higuera - Experto G3-07 Vicepresidencia Jurídica-GJE ANI</w:t>
      </w:r>
    </w:p>
    <w:p w:rsidR="005F5E67" w:rsidRDefault="00307F2A">
      <w:pPr>
        <w:pStyle w:val="Textoindependiente"/>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Victor Manuel Armero Osorio- Experto G3-05 Vicepresidencia Jurídica-GJE ANI</w:t>
      </w:r>
    </w:p>
    <w:p w:rsidR="005F5E67" w:rsidRDefault="00307F2A">
      <w:pPr>
        <w:pStyle w:val="Textoindependiente"/>
        <w:rPr>
          <w:rFonts w:ascii="Times New Roman" w:hAnsi="Times New Roman"/>
          <w:sz w:val="16"/>
          <w:szCs w:val="16"/>
        </w:rPr>
      </w:pPr>
      <w:r>
        <w:rPr>
          <w:rFonts w:ascii="Times New Roman" w:hAnsi="Times New Roman"/>
          <w:sz w:val="16"/>
          <w:szCs w:val="16"/>
        </w:rPr>
        <w:t>Revisó:      Camilo A.Jaramillo Berrocal – Vicepresidente de Estructuración (E) ANI</w:t>
      </w:r>
    </w:p>
    <w:p w:rsidR="005F5E67" w:rsidRDefault="00307F2A">
      <w:pPr>
        <w:pStyle w:val="Textoindependiente"/>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t>Diego A. Beltrán Hernandez - Gerente Jurídico Asesoría en Estructuración- Vicepresidencia Jur</w:t>
      </w:r>
      <w:r>
        <w:rPr>
          <w:rFonts w:ascii="Times New Roman" w:hAnsi="Times New Roman"/>
          <w:sz w:val="16"/>
          <w:szCs w:val="16"/>
        </w:rPr>
        <w:t>ídica ANI</w:t>
      </w:r>
    </w:p>
    <w:p w:rsidR="005F5E67" w:rsidRDefault="00307F2A">
      <w:pPr>
        <w:pStyle w:val="Textoindependiente"/>
        <w:rPr>
          <w:rFonts w:ascii="Times New Roman" w:hAnsi="Times New Roman"/>
          <w:sz w:val="16"/>
          <w:szCs w:val="16"/>
        </w:rPr>
      </w:pPr>
      <w:r>
        <w:rPr>
          <w:rFonts w:ascii="Times New Roman" w:hAnsi="Times New Roman"/>
          <w:sz w:val="16"/>
          <w:szCs w:val="16"/>
        </w:rPr>
        <w:tab/>
        <w:t>Héctor Jaime Pinilla Ortiz –Vicepresidente Jurídico ANI</w:t>
      </w:r>
    </w:p>
    <w:p w:rsidR="005F5E67" w:rsidRDefault="00307F2A">
      <w:pPr>
        <w:pStyle w:val="Textoindependiente"/>
        <w:rPr>
          <w:rFonts w:ascii="Times New Roman" w:hAnsi="Times New Roman"/>
          <w:sz w:val="16"/>
          <w:szCs w:val="16"/>
        </w:rPr>
      </w:pPr>
      <w:r>
        <w:rPr>
          <w:rFonts w:ascii="Times New Roman" w:hAnsi="Times New Roman"/>
          <w:sz w:val="16"/>
          <w:szCs w:val="16"/>
        </w:rPr>
        <w:tab/>
        <w:t>Daniel Antonio Hinestrosa Grisales–Jefe Oficina Asesora  Jurídica MT</w:t>
      </w:r>
    </w:p>
    <w:p w:rsidR="005F5E67" w:rsidRDefault="00307F2A">
      <w:pPr>
        <w:pStyle w:val="Textoindependiente"/>
        <w:rPr>
          <w:rFonts w:ascii="Times New Roman" w:hAnsi="Times New Roman"/>
          <w:sz w:val="16"/>
          <w:szCs w:val="16"/>
        </w:rPr>
      </w:pPr>
      <w:r>
        <w:rPr>
          <w:rFonts w:ascii="Times New Roman" w:hAnsi="Times New Roman"/>
          <w:sz w:val="16"/>
          <w:szCs w:val="16"/>
        </w:rPr>
        <w:tab/>
        <w:t>Lucas Rodriguez Gomez – Jefe Oficina Regulación Económica Ministerio de Transporte</w:t>
      </w:r>
    </w:p>
    <w:p w:rsidR="005F5E67" w:rsidRDefault="005F5E67">
      <w:pPr>
        <w:pStyle w:val="Textoindependiente"/>
        <w:rPr>
          <w:rFonts w:ascii="Times New Roman" w:eastAsia="Calibri" w:hAnsi="Times New Roman"/>
          <w:sz w:val="22"/>
          <w:szCs w:val="22"/>
        </w:rPr>
      </w:pPr>
    </w:p>
    <w:p w:rsidR="005F5E67" w:rsidRDefault="005F5E67">
      <w:pPr>
        <w:pStyle w:val="Textoindependiente"/>
        <w:rPr>
          <w:rFonts w:ascii="Times New Roman" w:hAnsi="Times New Roman"/>
          <w:sz w:val="22"/>
          <w:szCs w:val="22"/>
        </w:rPr>
      </w:pPr>
    </w:p>
    <w:p w:rsidR="005F5E67" w:rsidRDefault="005F5E67">
      <w:pPr>
        <w:pStyle w:val="Standard"/>
        <w:jc w:val="center"/>
        <w:rPr>
          <w:rFonts w:ascii="Calibri Light" w:hAnsi="Calibri Light" w:cs="Times New Roman"/>
          <w:szCs w:val="24"/>
        </w:rPr>
      </w:pPr>
    </w:p>
    <w:p w:rsidR="005F5E67" w:rsidRDefault="005F5E67">
      <w:pPr>
        <w:pStyle w:val="Standard"/>
        <w:jc w:val="center"/>
        <w:rPr>
          <w:rFonts w:ascii="Calibri Light" w:hAnsi="Calibri Light" w:cs="Times New Roman"/>
          <w:szCs w:val="24"/>
        </w:rPr>
      </w:pPr>
    </w:p>
    <w:sectPr w:rsidR="005F5E67">
      <w:headerReference w:type="default" r:id="rId7"/>
      <w:headerReference w:type="first" r:id="rId8"/>
      <w:pgSz w:w="12242" w:h="18722"/>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2A" w:rsidRDefault="00307F2A">
      <w:r>
        <w:separator/>
      </w:r>
    </w:p>
  </w:endnote>
  <w:endnote w:type="continuationSeparator" w:id="0">
    <w:p w:rsidR="00307F2A" w:rsidRDefault="0030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2A" w:rsidRDefault="00307F2A">
      <w:r>
        <w:rPr>
          <w:color w:val="000000"/>
        </w:rPr>
        <w:separator/>
      </w:r>
    </w:p>
  </w:footnote>
  <w:footnote w:type="continuationSeparator" w:id="0">
    <w:p w:rsidR="00307F2A" w:rsidRDefault="00307F2A">
      <w:r>
        <w:continuationSeparator/>
      </w:r>
    </w:p>
  </w:footnote>
  <w:footnote w:id="1">
    <w:p w:rsidR="005F5E67" w:rsidRDefault="00307F2A">
      <w:pPr>
        <w:pStyle w:val="Textonotapie"/>
      </w:pPr>
      <w:r>
        <w:rPr>
          <w:rStyle w:val="Refdenotaalpie"/>
        </w:rPr>
        <w:footnoteRef/>
      </w:r>
      <w:r>
        <w:t xml:space="preserve"> </w:t>
      </w:r>
      <w:r>
        <w:rPr>
          <w:lang w:val="es-CO"/>
        </w:rPr>
        <w:t>Según la resolución 3126 del 17 de octubre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84" w:rsidRDefault="00307F2A">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Pr>
        <w:rFonts w:ascii="Garamond" w:eastAsia="Garamond" w:hAnsi="Garamond" w:cs="Garamond"/>
        <w:b/>
        <w:spacing w:val="-3"/>
        <w:sz w:val="22"/>
        <w:szCs w:val="22"/>
      </w:rPr>
      <w:t xml:space="preserve">                        </w:t>
    </w:r>
    <w:proofErr w:type="gramStart"/>
    <w:r>
      <w:rPr>
        <w:rFonts w:ascii="Garamond" w:hAnsi="Garamond" w:cs="Garamond"/>
        <w:b/>
        <w:spacing w:val="-3"/>
        <w:sz w:val="22"/>
        <w:szCs w:val="22"/>
      </w:rPr>
      <w:t>DEL</w:t>
    </w:r>
    <w:r>
      <w:rPr>
        <w:rFonts w:ascii="Garamond" w:eastAsia="Garamond" w:hAnsi="Garamond" w:cs="Garamond"/>
        <w:b/>
        <w:spacing w:val="-3"/>
        <w:sz w:val="22"/>
        <w:szCs w:val="22"/>
      </w:rPr>
      <w:t xml:space="preserve"> ……</w:t>
    </w:r>
    <w:proofErr w:type="gramEnd"/>
    <w:r>
      <w:rPr>
        <w:rFonts w:ascii="Garamond" w:eastAsia="Garamond" w:hAnsi="Garamond" w:cs="Garamond"/>
        <w:b/>
        <w:spacing w:val="-3"/>
        <w:sz w:val="22"/>
        <w:szCs w:val="22"/>
      </w:rPr>
      <w:t xml:space="preserve">             </w:t>
    </w:r>
    <w:proofErr w:type="gramStart"/>
    <w:r>
      <w:rPr>
        <w:rFonts w:ascii="Garamond" w:hAnsi="Garamond" w:cs="Garamond"/>
        <w:b/>
        <w:spacing w:val="-3"/>
        <w:sz w:val="22"/>
        <w:szCs w:val="22"/>
      </w:rPr>
      <w:t>DE</w:t>
    </w:r>
    <w:r>
      <w:rPr>
        <w:rFonts w:ascii="Garamond" w:eastAsia="Garamond" w:hAnsi="Garamond" w:cs="Garamond"/>
        <w:b/>
        <w:spacing w:val="-3"/>
        <w:sz w:val="22"/>
        <w:szCs w:val="22"/>
      </w:rPr>
      <w:t xml:space="preserve"> …</w:t>
    </w:r>
    <w:proofErr w:type="gramEnd"/>
    <w:r>
      <w:rPr>
        <w:rFonts w:ascii="Garamond" w:eastAsia="Garamond" w:hAnsi="Garamond" w:cs="Garamond"/>
        <w:b/>
        <w:spacing w:val="-3"/>
        <w:sz w:val="22"/>
        <w:szCs w:val="22"/>
      </w:rPr>
      <w:t>…</w:t>
    </w:r>
    <w:r>
      <w:rPr>
        <w:rFonts w:ascii="Garamond" w:hAnsi="Garamond" w:cs="Garamond"/>
        <w:b/>
        <w:spacing w:val="-3"/>
        <w:sz w:val="22"/>
        <w:szCs w:val="22"/>
      </w:rPr>
      <w:t>.</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337871">
      <w:rPr>
        <w:rStyle w:val="Nmerodepgina"/>
        <w:rFonts w:ascii="Garamond" w:hAnsi="Garamond" w:cs="Garamond"/>
        <w:b/>
        <w:noProof/>
        <w:sz w:val="22"/>
        <w:szCs w:val="22"/>
      </w:rPr>
      <w:t>13</w:t>
    </w:r>
    <w:r>
      <w:rPr>
        <w:rStyle w:val="Nmerodepgina"/>
        <w:rFonts w:ascii="Garamond" w:hAnsi="Garamond" w:cs="Garamond"/>
        <w:b/>
        <w:sz w:val="22"/>
        <w:szCs w:val="22"/>
      </w:rPr>
      <w:fldChar w:fldCharType="end"/>
    </w:r>
  </w:p>
  <w:p w:rsidR="00DB1384" w:rsidRDefault="00307F2A">
    <w:pPr>
      <w:pStyle w:val="Standard"/>
      <w:ind w:right="360"/>
      <w:jc w:val="both"/>
      <w:rPr>
        <w:rFonts w:ascii="Garamond" w:hAnsi="Garamond" w:cs="Garamond"/>
        <w:i/>
        <w:spacing w:val="-3"/>
        <w:sz w:val="22"/>
        <w:szCs w:val="22"/>
      </w:rPr>
    </w:pPr>
  </w:p>
  <w:p w:rsidR="00DB1384" w:rsidRDefault="00307F2A">
    <w:pPr>
      <w:pStyle w:val="Standard"/>
      <w:rPr>
        <w:rFonts w:ascii="Garamond" w:hAnsi="Garamond" w:cs="Garamond"/>
        <w:i/>
        <w:sz w:val="22"/>
        <w:szCs w:val="22"/>
      </w:rPr>
    </w:pPr>
  </w:p>
  <w:p w:rsidR="00DB1384" w:rsidRDefault="00307F2A">
    <w:pPr>
      <w:autoSpaceDE w:val="0"/>
      <w:jc w:val="center"/>
      <w:rPr>
        <w:rFonts w:ascii="Times New Roman" w:eastAsia="Times New Roman" w:hAnsi="Times New Roman"/>
        <w:color w:val="000000"/>
        <w:lang w:eastAsia="es-ES"/>
      </w:rPr>
    </w:pPr>
  </w:p>
  <w:p w:rsidR="00DB1384" w:rsidRDefault="00307F2A">
    <w:pPr>
      <w:autoSpaceDE w:val="0"/>
      <w:jc w:val="center"/>
    </w:pPr>
    <w:r>
      <w:rPr>
        <w:rFonts w:ascii="Times New Roman" w:eastAsia="Times New Roman" w:hAnsi="Times New Roman"/>
        <w:color w:val="000000"/>
        <w:lang w:eastAsia="es-ES"/>
      </w:rPr>
      <w:t xml:space="preserve">“Por la cual se establecen las tarifas plenas y especiales diferenciales a cobrar  en las estaciones de Peaje El Carmen ubicada en el PR60+665 y </w:t>
    </w:r>
    <w:r>
      <w:rPr>
        <w:rFonts w:ascii="Times New Roman" w:eastAsia="Times New Roman" w:hAnsi="Times New Roman"/>
        <w:color w:val="000000"/>
        <w:lang w:eastAsia="es-ES"/>
      </w:rPr>
      <w:t>Calamar ubicada en el PR 131+040 de la Ruta 2515 del corredor vial Puerta de Hierro – Palmar de Varela y Carreto – Cruz del Viso”</w:t>
    </w:r>
  </w:p>
  <w:p w:rsidR="00DB1384" w:rsidRDefault="00307F2A">
    <w:pPr>
      <w:autoSpaceDE w:val="0"/>
      <w:jc w:val="center"/>
      <w:rPr>
        <w:rFonts w:ascii="Times New Roman" w:eastAsia="Times New Roman" w:hAnsi="Times New Roman"/>
        <w:color w:val="000000"/>
        <w:lang w:eastAsia="es-ES"/>
      </w:rPr>
    </w:pPr>
  </w:p>
  <w:p w:rsidR="00DB1384" w:rsidRDefault="00307F2A">
    <w:pPr>
      <w:autoSpaceDE w:val="0"/>
      <w:jc w:val="center"/>
      <w:rPr>
        <w:rFonts w:ascii="Times New Roman" w:eastAsia="Times New Roman" w:hAnsi="Times New Roman"/>
        <w:color w:val="000000"/>
        <w:lang w:eastAsia="es-ES"/>
      </w:rPr>
    </w:pPr>
  </w:p>
  <w:p w:rsidR="00DB1384" w:rsidRDefault="00307F2A">
    <w:pPr>
      <w:pStyle w:val="Standard"/>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84" w:rsidRDefault="00307F2A">
    <w:pPr>
      <w:pStyle w:val="Encabezado"/>
    </w:pPr>
    <w:r>
      <w:rPr>
        <w:noProof/>
        <w:lang w:val="es-MX" w:eastAsia="es-MX" w:bidi="ar-SA"/>
      </w:rPr>
      <w:drawing>
        <wp:anchor distT="0" distB="0" distL="114300" distR="114300" simplePos="0" relativeHeight="251659264" behindDoc="0" locked="0" layoutInCell="1" allowOverlap="1">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DB1384" w:rsidRDefault="00307F2A">
    <w:pPr>
      <w:pStyle w:val="Encabezado"/>
    </w:pPr>
  </w:p>
  <w:p w:rsidR="00DB1384" w:rsidRDefault="00307F2A">
    <w:pPr>
      <w:pStyle w:val="Encabezado"/>
      <w:tabs>
        <w:tab w:val="clear" w:pos="4419"/>
        <w:tab w:val="clear" w:pos="8838"/>
        <w:tab w:val="left" w:pos="3695"/>
      </w:tabs>
    </w:pPr>
    <w:r>
      <w:rPr>
        <w:noProof/>
        <w:lang w:val="es-MX" w:eastAsia="es-MX" w:bidi="ar-SA"/>
      </w:rPr>
      <w:drawing>
        <wp:anchor distT="0" distB="0" distL="114300" distR="114300" simplePos="0" relativeHeight="251660288" behindDoc="0" locked="0" layoutInCell="1" allowOverlap="1">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DB1384" w:rsidRDefault="00307F2A">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DB1384" w:rsidRDefault="00307F2A">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00"/>
    <w:multiLevelType w:val="multilevel"/>
    <w:tmpl w:val="4A285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DC5C86"/>
    <w:multiLevelType w:val="multilevel"/>
    <w:tmpl w:val="B9F4501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C818C8"/>
    <w:multiLevelType w:val="multilevel"/>
    <w:tmpl w:val="ED6A9836"/>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87028BD"/>
    <w:multiLevelType w:val="multilevel"/>
    <w:tmpl w:val="46B875FA"/>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EF367EF"/>
    <w:multiLevelType w:val="multilevel"/>
    <w:tmpl w:val="EE7EDBCE"/>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2552F0B"/>
    <w:multiLevelType w:val="multilevel"/>
    <w:tmpl w:val="E43A371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8635C57"/>
    <w:multiLevelType w:val="multilevel"/>
    <w:tmpl w:val="789C909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3CE2716E"/>
    <w:multiLevelType w:val="multilevel"/>
    <w:tmpl w:val="95B6E6BA"/>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47C174D3"/>
    <w:multiLevelType w:val="multilevel"/>
    <w:tmpl w:val="18C6C0D8"/>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4899598E"/>
    <w:multiLevelType w:val="multilevel"/>
    <w:tmpl w:val="E2A209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7B7AB4"/>
    <w:multiLevelType w:val="multilevel"/>
    <w:tmpl w:val="3DA68CFE"/>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FEF4161"/>
    <w:multiLevelType w:val="multilevel"/>
    <w:tmpl w:val="B69E72B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4911356"/>
    <w:multiLevelType w:val="multilevel"/>
    <w:tmpl w:val="FFDC3F2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5A60EDB"/>
    <w:multiLevelType w:val="multilevel"/>
    <w:tmpl w:val="479A67AC"/>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5C002999"/>
    <w:multiLevelType w:val="multilevel"/>
    <w:tmpl w:val="08B8D84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5CAF6ED5"/>
    <w:multiLevelType w:val="multilevel"/>
    <w:tmpl w:val="7D7C90A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659C5CCD"/>
    <w:multiLevelType w:val="multilevel"/>
    <w:tmpl w:val="C660DA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6B072DF8"/>
    <w:multiLevelType w:val="multilevel"/>
    <w:tmpl w:val="8E12E76C"/>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D104F35"/>
    <w:multiLevelType w:val="multilevel"/>
    <w:tmpl w:val="DC80AB66"/>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D343301"/>
    <w:multiLevelType w:val="multilevel"/>
    <w:tmpl w:val="F9E690A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7E850B08"/>
    <w:multiLevelType w:val="multilevel"/>
    <w:tmpl w:val="A96C2376"/>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F0D6226"/>
    <w:multiLevelType w:val="multilevel"/>
    <w:tmpl w:val="2CDC780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20"/>
  </w:num>
  <w:num w:numId="3">
    <w:abstractNumId w:val="17"/>
  </w:num>
  <w:num w:numId="4">
    <w:abstractNumId w:val="11"/>
  </w:num>
  <w:num w:numId="5">
    <w:abstractNumId w:val="7"/>
  </w:num>
  <w:num w:numId="6">
    <w:abstractNumId w:val="2"/>
  </w:num>
  <w:num w:numId="7">
    <w:abstractNumId w:val="15"/>
  </w:num>
  <w:num w:numId="8">
    <w:abstractNumId w:val="8"/>
  </w:num>
  <w:num w:numId="9">
    <w:abstractNumId w:val="19"/>
  </w:num>
  <w:num w:numId="10">
    <w:abstractNumId w:val="21"/>
  </w:num>
  <w:num w:numId="11">
    <w:abstractNumId w:val="3"/>
  </w:num>
  <w:num w:numId="12">
    <w:abstractNumId w:val="5"/>
  </w:num>
  <w:num w:numId="13">
    <w:abstractNumId w:val="6"/>
  </w:num>
  <w:num w:numId="14">
    <w:abstractNumId w:val="14"/>
  </w:num>
  <w:num w:numId="15">
    <w:abstractNumId w:val="12"/>
  </w:num>
  <w:num w:numId="16">
    <w:abstractNumId w:val="18"/>
  </w:num>
  <w:num w:numId="17">
    <w:abstractNumId w:val="1"/>
  </w:num>
  <w:num w:numId="18">
    <w:abstractNumId w:val="13"/>
  </w:num>
  <w:num w:numId="19">
    <w:abstractNumId w:val="10"/>
  </w:num>
  <w:num w:numId="20">
    <w:abstractNumId w:val="9"/>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F5E67"/>
    <w:rsid w:val="00307F2A"/>
    <w:rsid w:val="00337871"/>
    <w:rsid w:val="005F5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2E725-F99C-4DB8-A36B-CE57B50D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customStyle="1" w:styleId="Normal1">
    <w:name w:val="Normal 1"/>
    <w:basedOn w:val="Sangranormal"/>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PrrafodelistaCar">
    <w:name w:val="Párrafo de lista Car"/>
    <w:rPr>
      <w:rFonts w:ascii="Courier New" w:eastAsia="Times New Roman" w:hAnsi="Courier New" w:cs="Courier New"/>
      <w:szCs w:val="20"/>
      <w:lang w:bidi="ar-SA"/>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paragraph" w:styleId="Revisin">
    <w:name w:val="Revision"/>
    <w:pPr>
      <w:widowControl/>
      <w:textAlignment w:val="auto"/>
    </w:pPr>
    <w:rPr>
      <w:rFonts w:cs="Mangal"/>
      <w:szCs w:val="21"/>
    </w:rPr>
  </w:style>
  <w:style w:type="paragraph" w:customStyle="1" w:styleId="Default">
    <w:name w:val="Default"/>
    <w:pPr>
      <w:widowControl/>
      <w:autoSpaceDE w:val="0"/>
      <w:textAlignment w:val="auto"/>
    </w:pPr>
    <w:rPr>
      <w:rFonts w:ascii="Verdana" w:eastAsia="Times New Roman" w:hAnsi="Verdana" w:cs="Verdana"/>
      <w:color w:val="000000"/>
      <w:kern w:val="0"/>
      <w:lang w:eastAsia="es-ES" w:bidi="ar-SA"/>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szCs w:val="21"/>
    </w:rPr>
  </w:style>
  <w:style w:type="character" w:customStyle="1" w:styleId="Ttulo2Car">
    <w:name w:val="Título 2 Car"/>
    <w:basedOn w:val="Fuentedeprrafopredeter"/>
    <w:rPr>
      <w:rFonts w:ascii="Arial" w:eastAsia="Times New Roman" w:hAnsi="Arial" w:cs="Arial"/>
      <w:b/>
      <w:szCs w:val="20"/>
      <w:lang w:bidi="ar-SA"/>
    </w:rPr>
  </w:style>
  <w:style w:type="paragraph" w:styleId="Textonotaalfinal">
    <w:name w:val="endnote text"/>
    <w:basedOn w:val="Normal"/>
    <w:pPr>
      <w:widowControl/>
      <w:suppressAutoHyphens w:val="0"/>
      <w:textAlignment w:val="auto"/>
    </w:pPr>
    <w:rPr>
      <w:rFonts w:ascii="Courier New" w:eastAsia="Times New Roman" w:hAnsi="Courier New" w:cs="Times New Roman"/>
      <w:kern w:val="0"/>
      <w:sz w:val="20"/>
      <w:szCs w:val="20"/>
      <w:lang w:val="es-ES_tradnl" w:eastAsia="es-ES" w:bidi="ar-SA"/>
    </w:rPr>
  </w:style>
  <w:style w:type="character" w:customStyle="1" w:styleId="TextonotaalfinalCar">
    <w:name w:val="Texto nota al final Car"/>
    <w:basedOn w:val="Fuentedeprrafopredeter"/>
    <w:rPr>
      <w:rFonts w:ascii="Courier New" w:eastAsia="Times New Roman" w:hAnsi="Courier New" w:cs="Times New Roman"/>
      <w:kern w:val="0"/>
      <w:sz w:val="20"/>
      <w:szCs w:val="20"/>
      <w:lang w:val="es-ES_tradnl" w:eastAsia="es-ES" w:bidi="ar-SA"/>
    </w:rPr>
  </w:style>
  <w:style w:type="character" w:styleId="Refdenotaalfinal">
    <w:name w:val="endnote reference"/>
    <w:basedOn w:val="Fuentedeprrafopredeter"/>
    <w:rPr>
      <w:position w:val="0"/>
      <w:vertAlign w:val="superscript"/>
    </w:rPr>
  </w:style>
  <w:style w:type="paragraph" w:styleId="Textonotapie">
    <w:name w:val="footnote text"/>
    <w:basedOn w:val="Normal"/>
    <w:pPr>
      <w:widowControl/>
      <w:suppressAutoHyphens w:val="0"/>
      <w:textAlignment w:val="auto"/>
    </w:pPr>
    <w:rPr>
      <w:rFonts w:ascii="Courier New" w:eastAsia="Times New Roman" w:hAnsi="Courier New" w:cs="Times New Roman"/>
      <w:kern w:val="0"/>
      <w:sz w:val="20"/>
      <w:szCs w:val="20"/>
      <w:lang w:val="es-ES_tradnl" w:eastAsia="es-ES" w:bidi="ar-SA"/>
    </w:rPr>
  </w:style>
  <w:style w:type="character" w:customStyle="1" w:styleId="TextonotapieCar">
    <w:name w:val="Texto nota pie Car"/>
    <w:basedOn w:val="Fuentedeprrafopredeter"/>
    <w:rPr>
      <w:rFonts w:ascii="Courier New" w:eastAsia="Times New Roman" w:hAnsi="Courier New" w:cs="Times New Roman"/>
      <w:kern w:val="0"/>
      <w:sz w:val="20"/>
      <w:szCs w:val="20"/>
      <w:lang w:val="es-ES_tradnl" w:eastAsia="es-ES" w:bidi="ar-SA"/>
    </w:rPr>
  </w:style>
  <w:style w:type="character" w:styleId="Refdenotaalpie">
    <w:name w:val="footnote reference"/>
    <w:basedOn w:val="Fuentedeprrafopredeter"/>
    <w:rPr>
      <w:position w:val="0"/>
      <w:vertAlign w:val="superscript"/>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5080</Words>
  <Characters>27946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Felipe Castro Arenas</cp:lastModifiedBy>
  <cp:revision>2</cp:revision>
  <cp:lastPrinted>2015-04-07T13:46:00Z</cp:lastPrinted>
  <dcterms:created xsi:type="dcterms:W3CDTF">2015-04-08T21:31:00Z</dcterms:created>
  <dcterms:modified xsi:type="dcterms:W3CDTF">2015-04-08T21:31:00Z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